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left"/>
        <w:rPr>
          <w:rFonts w:ascii="Times New Roman" w:cs="Times New Roman" w:eastAsia="Times New Roman" w:hAnsi="Times New Roman"/>
          <w:b w:val="1"/>
          <w:color w:val="20124d"/>
          <w:sz w:val="28"/>
          <w:szCs w:val="28"/>
        </w:rPr>
      </w:pPr>
      <w:r w:rsidDel="00000000" w:rsidR="00000000" w:rsidRPr="00000000">
        <w:rPr>
          <w:rFonts w:ascii="Times New Roman" w:cs="Times New Roman" w:eastAsia="Times New Roman" w:hAnsi="Times New Roman"/>
          <w:b w:val="1"/>
          <w:color w:val="20124d"/>
          <w:sz w:val="28"/>
          <w:szCs w:val="28"/>
          <w:rtl w:val="0"/>
        </w:rPr>
        <w:t xml:space="preserve">Politica </w:t>
      </w:r>
    </w:p>
    <w:p w:rsidR="00000000" w:rsidDel="00000000" w:rsidP="00000000" w:rsidRDefault="00000000" w:rsidRPr="00000000" w14:paraId="00000002">
      <w:pPr>
        <w:widowControl w:val="0"/>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Elea Demetriou </w:t>
      </w:r>
    </w:p>
    <w:p w:rsidR="00000000" w:rsidDel="00000000" w:rsidP="00000000" w:rsidRDefault="00000000" w:rsidRPr="00000000" w14:paraId="00000003">
      <w:pPr>
        <w:widowControl w:val="0"/>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Traducción: Theo N Escobedo Carlou</w:t>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Desde nuestros orígenes como cazadores y recolectores hasta ahora, la humanidad siempre ha girado alrededor de la comida, la comida es tanto un tema político como social. El surgimiento del sistema global de comida ha estado altamente influenciado por multitud de factores, la influencia de diferentes zonas climáticas en la habilidad de albergar diferentes mercados agrícolas al igual que el criado de ganado, y la desigual distribución de recursos terrestres, es lo que llevó al comercio entre continentes. Lo que algunos países carecen otros países tienen, y viceversa. Similarmente, patrones de colonización y descolonización llevaron a la evolución del sistema global de comercio, al igual que al desarrollo de la infraestructura requerida para soportarlos.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La comida es un problema político cuando es examinado desde la perspectiva de lo que los gobiernos están haciendo, o de lo que son capaces de hacer, para mantener la estabilidad alimentaria en su nación. También es un problema político cuando se ve desde el punto de vista de importaciones y exportaciones, tanto como desde el punto de vista de la economía de un país. Si el PIB de un cierto país viene primordialmente de la producción agrícola, por consecuencia ese país va a tener más interés político en comida que un país del que la mayoría de su PIB proviene  de los servicios.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La comida implica temas de consumo, producción y distribución a través de niveles tanto nacionales como locales. Este artículo explorará la política de la comida desde el punto de vista de comercio global y de suministro global asi como desde la perspectiva de los derechos de los agricultores y sus intereses. En últimos términos, explorará el </w:t>
      </w:r>
      <w:r w:rsidDel="00000000" w:rsidR="00000000" w:rsidRPr="00000000">
        <w:rPr>
          <w:rFonts w:ascii="Times New Roman" w:cs="Times New Roman" w:eastAsia="Times New Roman" w:hAnsi="Times New Roman"/>
          <w:i w:val="1"/>
          <w:sz w:val="24"/>
          <w:szCs w:val="24"/>
          <w:rtl w:val="0"/>
        </w:rPr>
        <w:t xml:space="preserve">dumping</w:t>
      </w:r>
      <w:r w:rsidDel="00000000" w:rsidR="00000000" w:rsidRPr="00000000">
        <w:rPr>
          <w:rFonts w:ascii="Times New Roman" w:cs="Times New Roman" w:eastAsia="Times New Roman" w:hAnsi="Times New Roman"/>
          <w:sz w:val="24"/>
          <w:szCs w:val="24"/>
          <w:rtl w:val="0"/>
        </w:rPr>
        <w:t xml:space="preserve"> de comida-un fenómeno más reciente en el mercado global de comida.</w:t>
      </w:r>
    </w:p>
    <w:p w:rsidR="00000000" w:rsidDel="00000000" w:rsidP="00000000" w:rsidRDefault="00000000" w:rsidRPr="00000000" w14:paraId="00000006">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cadenas de suministro global (CSG) son, por definición, redes que probablemente se expanden a través de múltiples países y continentes con el propósito de distribuir y suministrar bienes (como comida) y servicios. Estos CSG son indispensables para conectar países en vías de desarrollo a los mercados internacionales.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Partes sustanciales de la porción productora de los CSG ocurre en países en vías de desarrollo, los cuales ofrecen a estos países tanto oportunidades como desafíos. Por un lado, la dependencia de los mercados internacionales en estos países les da a estos países poder y conexiones en un nivel internacional. Sin embargo, este poder conlleva inmensas cantidades de presión, responsabilidad y expectativas. Ser un país productor también introduce competencia con otros países productores.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Hay gente que argumenta que este mercado viciosamente competitivo ayuda al desarrollo, ya que fuerza a los países a desarrollar infraestructuras de producción maduras a grandes velocidades (por ende mejorando su PIB). Sin embargo, otras personas piensan que lleva  a alejarse del desarrollo y al contrario resulta en destrucción a un nivel socio-económico.</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uso de los CSG como un arma por países como China y EUA es muy prominente ya que hay política involucrada en cada aspecto de los CSG. Ejemplos de este uso belico son tarifas y sanciones provenientes de conflictos internacionales los cuales resultan en inaccesibilidad de comida para algunas poblaciones. Viendo la industrialización de China, la nación ha dominado estas cadenas de suministro. Ejemplos de esto pueden ser vistos en su fabricación, construcción y operación de puertos, logística de distribución y envió, e incluso en el día a día de la supervisión y seguridad marítima. Esto es un problema para países como Arabia Saudita o Qatar, en los cuales el PIB es casi completamente dominado por servicios y casi no por agricultura. Como Arabia Saudita y Qatar no tienen por mucho los  niveles necesarios de  producción agrícola para mantener a sus poblaciones dentro de sus fronteras, tiene una alta dependencia en importaciones Chinas de comida. Así es como la militarización de las Cadenas de Suministro Global ocurre.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Podemos ver ejemplos de la política de las cadenas de suministro e intercambio a través del globo gracias al COVID-19. Durante la pandemia, los productores han sido forzados a replantear sus cadenas de suministro. Los gobiernos a través del mundo van a enfrentarse a una presión significativa  en el previsible futuro, de incrementar la producción doméstica, incrementar la tasa de empleo, reducir su dependencia en fuentes de alto riesgo, y repensar estrategias de inventarios pequeños y reabastecimiento de última hora. En otras palabras, la crisis del  COVID-19 ha llevado a algunos países a repensar sus propios niveles de dependencia alimenticia.</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09">
      <w:pPr>
        <w:widowControl w:val="0"/>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en el interés de los países (especialmente para aquellos que su PIB es mayormente el sector agricultor) de dirigir a sus agricultores, con el fin de incrementar la producción lo más posible y tener mucho más control de su mercado interno. En 1949-1978</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China asistió a sus agricultores creando comunidades y arrebatando terreno privado. Los esfuerzos de los gobiernos para controlar la producción están causando insatisfacción en algunos países. En India, por ejemplo, hay en este momento inquietud generada por las discusiones  relativas a los derechos de los agricultores, lo cual ha causado protestas nacionales. Los agricultores han estado intentando alentar a su primer ministro para que reduzca la dependencia de la economía India que tienen los sectores de  agricultura y en lugar empuje por un nivel más alto de inversionista privado para incrementar el crecimiento. Sin embargo, el Primer Ministro Modi tiene planes para duplicar la economía nacional antes del 2024 a pesar que está claudicando el ya bajo nivel de la producción agrícola que está en decadencia.</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Esto solo es un ejemplo donde el gobierno nacional y la política está involucrada con la producción de la comida que exportan. Esto muestra que hay política involucrada en todo aspecto de la comida - desde su producción hasta su distribución. </w:t>
      </w:r>
    </w:p>
    <w:p w:rsidR="00000000" w:rsidDel="00000000" w:rsidP="00000000" w:rsidRDefault="00000000" w:rsidRPr="00000000" w14:paraId="0000000B">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mundo donde 850 millones de personas viven con hambruna,</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la ayuda alimentaria es fundamental. Sin embargo, esta misma ayuda alimentaria puede llegar a tener razones menos benevolentes, como la escasez de productos de ingeniería para aumentar el precio del producto. Si hay un excedente de algún producto alimenticio producido por un país , por ejemplo, trigo, los precios bajarán ya que hay menos demanda. Pero si hay escasez, los precios aumentarán ya que hay más demanda por el producto, resultando en que algunos están dispuestas a pagar más por el producto.</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Países como EUA han encontrado que en ciertos casos, la solución para prevenir la disminución causada por el excedente de productos es tirar (dump) los excedentes en países en vías de desarrollo y disfrazarlo como ayuda alimenticia. En teoría, esto no sería causa de problema ya que estos países necesitan comida. Sin embargo, hay ramificaciones preocupantes a todo este exceso de ayuda alimenticia que han captado la atención de las agencias de la  ONU y </w:t>
      </w:r>
      <w:r w:rsidDel="00000000" w:rsidR="00000000" w:rsidRPr="00000000">
        <w:rPr>
          <w:rFonts w:ascii="Times New Roman" w:cs="Times New Roman" w:eastAsia="Times New Roman" w:hAnsi="Times New Roman"/>
          <w:sz w:val="24"/>
          <w:szCs w:val="24"/>
          <w:rtl w:val="0"/>
        </w:rPr>
        <w:t xml:space="preserve">NGO</w:t>
      </w:r>
      <w:r w:rsidDel="00000000" w:rsidR="00000000" w:rsidRPr="00000000">
        <w:rPr>
          <w:rFonts w:ascii="Times New Roman" w:cs="Times New Roman" w:eastAsia="Times New Roman" w:hAnsi="Times New Roman"/>
          <w:sz w:val="24"/>
          <w:szCs w:val="24"/>
          <w:rtl w:val="0"/>
        </w:rPr>
        <w:t xml:space="preserve">s, pues preocupa cómo todo este exceso de comida estorba al desarrollo independiente de estos países.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Esta ‘ayuda alimentaria’ es en algunos casos más tirar comida que ayudar. </w:t>
      </w:r>
    </w:p>
    <w:p w:rsidR="00000000" w:rsidDel="00000000" w:rsidP="00000000" w:rsidRDefault="00000000" w:rsidRPr="00000000" w14:paraId="0000000C">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Mirando el caso de Etiopía, un país destrozado por la guerra esforzándose por desarrollarse, se puede observar un país que tiene problemas de inseguridad alimentaria. Solo el 1% de una población que requiere comida y que se estima en 5.2 millones, de hecho la recibe.</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Exportaciones de comida  estadounidenses como ayuda hacia Ethiopia fueron un total de $109 millones en 2019, de lo cual mitad fueron exportaciones de trigo ($62 millones)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Este conocimiento nos puede llevar a la conclusión  de que incluso con los EUA ayudando al máximo, la situación en Etiopía no está mejorando. De hecho está perjudicando más de lo que está ayudando. El tiradero de comida que ocurre en Etiopía disfrazado de ayuda por los EUA le está causando dificultades a la producción doméstica. Ya que EUA está regalando trigo, nadie en Etiopía está comprando el trigo que es producido por agricultores locales porque saben que lo pueden obtener gratis de la ayuda. Sin agricultores exitosos, no hay desarrollo. La meta es que Etiopía se desarrolle independientemente para sostenerse y soportarse a sí mismo y a su demanda con comida en un largo plazo. Este ejemplo es uno de muchos casos similares de relaciones políticas a través del mundo.</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0D">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1954, La World Trade Organization (WTO), organizó un Subcomite de Consulta sobre la Disposciòn de Excedentes (Consultative Subcomité on Surplus Disposal (CSSD)), para monitorear y reportar al igual que como centro de quejas sobre el abuso de ayuda. Lamentablemente, entre 1991 y 2001, el promedio de casos reportados disminuyó de un 80% a un 4% dejando que el tiradero de comida continuara.</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Esto resultó en que países como Etiopía siguieran teniendo problemas y crearan formas independientes para proveer comida suficiente para su país. La comida es un gran tema político y social. La emergencia de las rutas de comercio internacionales es gracias a los diferentes patrones de colonización que ocurrieron en nuestra historia. En este momento en el tiempo, la comida  es un problema político ya que examina qué es lo que está haciendo un gobierno, o lo que es capaz de hacer,  con tal de mantener la estabilidad alimentaria en su país . También es un problema político cuando es analizado desde un punto de vista de exportación e importaciones, al igual que desde la perspectiva de la economía de un país. La evolución de Cadenas Globales de Suministro (Global Supply Chains (GCS)) diseñadas por la sociedad tienen sus propios y complicados arreglos políticos correspondientes. Esto se puede ver en la militarización de los GSC, al igual que en situaciones más circunstanciales como la reciente crisis del COVID-19. Además, un gran aspecto de la política en comida viene de países intentando controlar su producción doméstica, y por ello regulan sus sectores de agricultura. Ultimamente, es importante reconocer el más reciente problema con el tiradero de comida a través del mundo, el cual es un aspecto de política alimentaria nacido a través de la economía y mercados globales. </w:t>
      </w:r>
    </w:p>
    <w:p w:rsidR="00000000" w:rsidDel="00000000" w:rsidP="00000000" w:rsidRDefault="00000000" w:rsidRPr="00000000" w14:paraId="0000000E">
      <w:pPr>
        <w:widowControl w:val="0"/>
        <w:spacing w:line="276" w:lineRule="auto"/>
        <w:rPr>
          <w:rFonts w:ascii="Times New Roman" w:cs="Times New Roman" w:eastAsia="Times New Roman" w:hAnsi="Times New Roman"/>
          <w:sz w:val="20"/>
          <w:szCs w:val="20"/>
          <w:highlight w:val="white"/>
        </w:rPr>
      </w:pPr>
      <w:r w:rsidDel="00000000" w:rsidR="00000000" w:rsidRPr="00000000">
        <w:rPr>
          <w:rtl w:val="0"/>
        </w:rPr>
      </w:r>
    </w:p>
    <w:sectPr>
      <w:headerReference r:id="rId7" w:type="first"/>
      <w:foot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Food and Agriculture Organization. "World Agriculture: Towards 2015/2030 - An FAO Perspective." www.fao.org/3/y4252e/y4252e11.htm.</w:t>
      </w:r>
      <w:r w:rsidDel="00000000" w:rsidR="00000000" w:rsidRPr="00000000">
        <w:rPr>
          <w:rtl w:val="0"/>
        </w:rPr>
      </w:r>
    </w:p>
  </w:footnote>
  <w:footnote w:id="1">
    <w:p w:rsidR="00000000" w:rsidDel="00000000" w:rsidP="00000000" w:rsidRDefault="00000000" w:rsidRPr="00000000" w14:paraId="00000012">
      <w:pPr>
        <w:spacing w:line="240" w:lineRule="auto"/>
        <w:rPr>
          <w:rFonts w:ascii="Times New Roman" w:cs="Times New Roman" w:eastAsia="Times New Roman" w:hAnsi="Times New Roman"/>
          <w:sz w:val="16"/>
          <w:szCs w:val="16"/>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 Leach, Melissa, et al. "Food Politics and Development." </w:t>
      </w:r>
      <w:r w:rsidDel="00000000" w:rsidR="00000000" w:rsidRPr="00000000">
        <w:rPr>
          <w:rFonts w:ascii="Times New Roman" w:cs="Times New Roman" w:eastAsia="Times New Roman" w:hAnsi="Times New Roman"/>
          <w:i w:val="1"/>
          <w:sz w:val="16"/>
          <w:szCs w:val="16"/>
          <w:rtl w:val="0"/>
        </w:rPr>
        <w:t xml:space="preserve">ScienceDirect.com | Science, Health and Medical Journals, Full Text Articles and Books</w:t>
      </w:r>
      <w:r w:rsidDel="00000000" w:rsidR="00000000" w:rsidRPr="00000000">
        <w:rPr>
          <w:rFonts w:ascii="Times New Roman" w:cs="Times New Roman" w:eastAsia="Times New Roman" w:hAnsi="Times New Roman"/>
          <w:sz w:val="16"/>
          <w:szCs w:val="16"/>
          <w:highlight w:val="white"/>
          <w:rtl w:val="0"/>
        </w:rPr>
        <w:t xml:space="preserve">, </w:t>
      </w:r>
      <w:hyperlink r:id="rId1">
        <w:r w:rsidDel="00000000" w:rsidR="00000000" w:rsidRPr="00000000">
          <w:rPr>
            <w:rFonts w:ascii="Times New Roman" w:cs="Times New Roman" w:eastAsia="Times New Roman" w:hAnsi="Times New Roman"/>
            <w:sz w:val="16"/>
            <w:szCs w:val="16"/>
            <w:highlight w:val="white"/>
            <w:u w:val="single"/>
            <w:rtl w:val="0"/>
          </w:rPr>
          <w:t xml:space="preserve">www.sciencedirect.com/science/article/pii/S0305750X20301509</w:t>
        </w:r>
      </w:hyperlink>
      <w:r w:rsidDel="00000000" w:rsidR="00000000" w:rsidRPr="00000000">
        <w:rPr>
          <w:rFonts w:ascii="Times New Roman" w:cs="Times New Roman" w:eastAsia="Times New Roman" w:hAnsi="Times New Roman"/>
          <w:sz w:val="16"/>
          <w:szCs w:val="16"/>
          <w:highlight w:val="white"/>
          <w:rtl w:val="0"/>
        </w:rPr>
        <w:t xml:space="preserve">.</w:t>
      </w:r>
    </w:p>
  </w:footnote>
  <w:footnote w:id="2">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 CIPS. "Global Supply Chains." </w:t>
      </w:r>
      <w:r w:rsidDel="00000000" w:rsidR="00000000" w:rsidRPr="00000000">
        <w:rPr>
          <w:rFonts w:ascii="Times New Roman" w:cs="Times New Roman" w:eastAsia="Times New Roman" w:hAnsi="Times New Roman"/>
          <w:i w:val="1"/>
          <w:sz w:val="16"/>
          <w:szCs w:val="16"/>
          <w:rtl w:val="0"/>
        </w:rPr>
        <w:t xml:space="preserve">The Chartered Institute of Procurement and Supply</w:t>
      </w:r>
      <w:r w:rsidDel="00000000" w:rsidR="00000000" w:rsidRPr="00000000">
        <w:rPr>
          <w:rFonts w:ascii="Times New Roman" w:cs="Times New Roman" w:eastAsia="Times New Roman" w:hAnsi="Times New Roman"/>
          <w:sz w:val="16"/>
          <w:szCs w:val="16"/>
          <w:highlight w:val="white"/>
          <w:rtl w:val="0"/>
        </w:rPr>
        <w:t xml:space="preserve">, </w:t>
      </w:r>
      <w:r w:rsidDel="00000000" w:rsidR="00000000" w:rsidRPr="00000000">
        <w:rPr>
          <w:rtl w:val="0"/>
        </w:rPr>
      </w:r>
    </w:p>
  </w:footnote>
  <w:footnote w:id="3">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 Nicita, Alessandro, et al. "POLICY ISSUES IN INTERNATIONAL TRADE AND COMMODITIES STUDY SERIES No. 55." </w:t>
      </w:r>
      <w:r w:rsidDel="00000000" w:rsidR="00000000" w:rsidRPr="00000000">
        <w:rPr>
          <w:rFonts w:ascii="Times New Roman" w:cs="Times New Roman" w:eastAsia="Times New Roman" w:hAnsi="Times New Roman"/>
          <w:i w:val="1"/>
          <w:sz w:val="16"/>
          <w:szCs w:val="16"/>
          <w:rtl w:val="0"/>
        </w:rPr>
        <w:t xml:space="preserve">UNCTAD</w:t>
      </w:r>
      <w:r w:rsidDel="00000000" w:rsidR="00000000" w:rsidRPr="00000000">
        <w:rPr>
          <w:rFonts w:ascii="Times New Roman" w:cs="Times New Roman" w:eastAsia="Times New Roman" w:hAnsi="Times New Roman"/>
          <w:sz w:val="16"/>
          <w:szCs w:val="16"/>
          <w:highlight w:val="white"/>
          <w:rtl w:val="0"/>
        </w:rPr>
        <w:t xml:space="preserve">, unctad.org/system/files/official-document/itcdtab56_en.pdf.</w:t>
      </w:r>
      <w:r w:rsidDel="00000000" w:rsidR="00000000" w:rsidRPr="00000000">
        <w:rPr>
          <w:rtl w:val="0"/>
        </w:rPr>
      </w:r>
    </w:p>
  </w:footnote>
  <w:footnote w:id="4">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 Nicita, Alessandro, et al. "POLICY ISSUES IN INTERNATIONAL TRADE AND COMMODITIES STUDY SERIES No. 55." </w:t>
      </w:r>
      <w:r w:rsidDel="00000000" w:rsidR="00000000" w:rsidRPr="00000000">
        <w:rPr>
          <w:rFonts w:ascii="Times New Roman" w:cs="Times New Roman" w:eastAsia="Times New Roman" w:hAnsi="Times New Roman"/>
          <w:i w:val="1"/>
          <w:sz w:val="16"/>
          <w:szCs w:val="16"/>
          <w:rtl w:val="0"/>
        </w:rPr>
        <w:t xml:space="preserve">UNCTAD</w:t>
      </w:r>
      <w:r w:rsidDel="00000000" w:rsidR="00000000" w:rsidRPr="00000000">
        <w:rPr>
          <w:rFonts w:ascii="Times New Roman" w:cs="Times New Roman" w:eastAsia="Times New Roman" w:hAnsi="Times New Roman"/>
          <w:sz w:val="16"/>
          <w:szCs w:val="16"/>
          <w:highlight w:val="white"/>
          <w:rtl w:val="0"/>
        </w:rPr>
        <w:t xml:space="preserve">, unctad.org/system/files/official-document/itcdtab56_en.pdf.</w:t>
      </w:r>
      <w:r w:rsidDel="00000000" w:rsidR="00000000" w:rsidRPr="00000000">
        <w:rPr>
          <w:rtl w:val="0"/>
        </w:rPr>
      </w:r>
    </w:p>
  </w:footnote>
  <w:footnote w:id="5">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O'dea, Christopher R. "How China Weaponized the Global Supply Chain." </w:t>
      </w:r>
      <w:r w:rsidDel="00000000" w:rsidR="00000000" w:rsidRPr="00000000">
        <w:rPr>
          <w:rFonts w:ascii="Times New Roman" w:cs="Times New Roman" w:eastAsia="Times New Roman" w:hAnsi="Times New Roman"/>
          <w:i w:val="1"/>
          <w:sz w:val="16"/>
          <w:szCs w:val="16"/>
          <w:rtl w:val="0"/>
        </w:rPr>
        <w:t xml:space="preserve">National Review</w:t>
      </w:r>
      <w:r w:rsidDel="00000000" w:rsidR="00000000" w:rsidRPr="00000000">
        <w:rPr>
          <w:rFonts w:ascii="Times New Roman" w:cs="Times New Roman" w:eastAsia="Times New Roman" w:hAnsi="Times New Roman"/>
          <w:sz w:val="16"/>
          <w:szCs w:val="16"/>
          <w:highlight w:val="white"/>
          <w:rtl w:val="0"/>
        </w:rPr>
        <w:t xml:space="preserve">, 14 Oct. 2021, www.nationalreview.com/magazine/2019/07/08/how-china-weaponized-the-global-supply-chain/.</w:t>
      </w:r>
      <w:r w:rsidDel="00000000" w:rsidR="00000000" w:rsidRPr="00000000">
        <w:rPr>
          <w:rtl w:val="0"/>
        </w:rPr>
      </w:r>
    </w:p>
  </w:footnote>
  <w:footnote w:id="6">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Sihih, Willy C. "Global Supply Chains in a Post-Pandemic World." </w:t>
      </w:r>
      <w:r w:rsidDel="00000000" w:rsidR="00000000" w:rsidRPr="00000000">
        <w:rPr>
          <w:rFonts w:ascii="Times New Roman" w:cs="Times New Roman" w:eastAsia="Times New Roman" w:hAnsi="Times New Roman"/>
          <w:i w:val="1"/>
          <w:sz w:val="16"/>
          <w:szCs w:val="16"/>
          <w:rtl w:val="0"/>
        </w:rPr>
        <w:t xml:space="preserve">Harvard Business Review</w:t>
      </w:r>
      <w:r w:rsidDel="00000000" w:rsidR="00000000" w:rsidRPr="00000000">
        <w:rPr>
          <w:rFonts w:ascii="Times New Roman" w:cs="Times New Roman" w:eastAsia="Times New Roman" w:hAnsi="Times New Roman"/>
          <w:sz w:val="16"/>
          <w:szCs w:val="16"/>
          <w:highlight w:val="white"/>
          <w:rtl w:val="0"/>
        </w:rPr>
        <w:t xml:space="preserve">, 1 Sept. 2020, hbr.org/2020/09/global-supply-chains-in-a-post-pandemic-world?sa=D.</w:t>
      </w:r>
      <w:r w:rsidDel="00000000" w:rsidR="00000000" w:rsidRPr="00000000">
        <w:rPr>
          <w:rtl w:val="0"/>
        </w:rPr>
      </w:r>
    </w:p>
  </w:footnote>
  <w:footnote w:id="7">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Nations Encyclopedia. "China - Overview of Economy." </w:t>
      </w:r>
      <w:r w:rsidDel="00000000" w:rsidR="00000000" w:rsidRPr="00000000">
        <w:rPr>
          <w:rFonts w:ascii="Times New Roman" w:cs="Times New Roman" w:eastAsia="Times New Roman" w:hAnsi="Times New Roman"/>
          <w:i w:val="1"/>
          <w:sz w:val="16"/>
          <w:szCs w:val="16"/>
          <w:rtl w:val="0"/>
        </w:rPr>
        <w:t xml:space="preserve">Encyclopedia of the Nations</w:t>
      </w:r>
      <w:r w:rsidDel="00000000" w:rsidR="00000000" w:rsidRPr="00000000">
        <w:rPr>
          <w:rFonts w:ascii="Times New Roman" w:cs="Times New Roman" w:eastAsia="Times New Roman" w:hAnsi="Times New Roman"/>
          <w:sz w:val="16"/>
          <w:szCs w:val="16"/>
          <w:highlight w:val="white"/>
          <w:rtl w:val="0"/>
        </w:rPr>
        <w:t xml:space="preserve">, www.nationsencyclopedia.com/economies/Asia-and-the-Pacific/China-OVERVIEW-OF-ECONOMY.html.</w:t>
      </w:r>
      <w:r w:rsidDel="00000000" w:rsidR="00000000" w:rsidRPr="00000000">
        <w:rPr>
          <w:rtl w:val="0"/>
        </w:rPr>
      </w:r>
    </w:p>
  </w:footnote>
  <w:footnote w:id="8">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NYT. "Why Are Farmers Protesting in India?" </w:t>
      </w:r>
      <w:r w:rsidDel="00000000" w:rsidR="00000000" w:rsidRPr="00000000">
        <w:rPr>
          <w:rFonts w:ascii="Times New Roman" w:cs="Times New Roman" w:eastAsia="Times New Roman" w:hAnsi="Times New Roman"/>
          <w:i w:val="1"/>
          <w:sz w:val="16"/>
          <w:szCs w:val="16"/>
          <w:rtl w:val="0"/>
        </w:rPr>
        <w:t xml:space="preserve">The New York Times</w:t>
      </w:r>
      <w:r w:rsidDel="00000000" w:rsidR="00000000" w:rsidRPr="00000000">
        <w:rPr>
          <w:rFonts w:ascii="Times New Roman" w:cs="Times New Roman" w:eastAsia="Times New Roman" w:hAnsi="Times New Roman"/>
          <w:sz w:val="16"/>
          <w:szCs w:val="16"/>
          <w:highlight w:val="white"/>
          <w:rtl w:val="0"/>
        </w:rPr>
        <w:t xml:space="preserve">, NYT, 27 Jan. 2021, www.nytimes.com/2021/01/27/world/asia/india-farmer-protest.html.</w:t>
      </w:r>
      <w:r w:rsidDel="00000000" w:rsidR="00000000" w:rsidRPr="00000000">
        <w:rPr>
          <w:rtl w:val="0"/>
        </w:rPr>
      </w:r>
    </w:p>
  </w:footnote>
  <w:footnote w:id="9">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Kripke, Gawain. "Food aid or hidden dumping?" </w:t>
      </w:r>
      <w:r w:rsidDel="00000000" w:rsidR="00000000" w:rsidRPr="00000000">
        <w:rPr>
          <w:rFonts w:ascii="Times New Roman" w:cs="Times New Roman" w:eastAsia="Times New Roman" w:hAnsi="Times New Roman"/>
          <w:i w:val="1"/>
          <w:sz w:val="16"/>
          <w:szCs w:val="16"/>
          <w:rtl w:val="0"/>
        </w:rPr>
        <w:t xml:space="preserve">oxfam library</w:t>
      </w:r>
      <w:r w:rsidDel="00000000" w:rsidR="00000000" w:rsidRPr="00000000">
        <w:rPr>
          <w:rFonts w:ascii="Times New Roman" w:cs="Times New Roman" w:eastAsia="Times New Roman" w:hAnsi="Times New Roman"/>
          <w:sz w:val="16"/>
          <w:szCs w:val="16"/>
          <w:highlight w:val="white"/>
          <w:rtl w:val="0"/>
        </w:rPr>
        <w:t xml:space="preserve">, Oxfam, oxfamilibrary.openrepository.com/bitstream/handle/10546/114492/bp71-food-aid-or-hidden-dumping-240305-en.pdf.</w:t>
      </w:r>
      <w:r w:rsidDel="00000000" w:rsidR="00000000" w:rsidRPr="00000000">
        <w:rPr>
          <w:rtl w:val="0"/>
        </w:rPr>
      </w:r>
    </w:p>
  </w:footnote>
  <w:footnote w:id="10">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Kripke, Gawain. "Food aid or hidden dumping?" </w:t>
      </w:r>
      <w:r w:rsidDel="00000000" w:rsidR="00000000" w:rsidRPr="00000000">
        <w:rPr>
          <w:rFonts w:ascii="Times New Roman" w:cs="Times New Roman" w:eastAsia="Times New Roman" w:hAnsi="Times New Roman"/>
          <w:i w:val="1"/>
          <w:sz w:val="16"/>
          <w:szCs w:val="16"/>
          <w:rtl w:val="0"/>
        </w:rPr>
        <w:t xml:space="preserve">oxfam library</w:t>
      </w:r>
      <w:r w:rsidDel="00000000" w:rsidR="00000000" w:rsidRPr="00000000">
        <w:rPr>
          <w:rFonts w:ascii="Times New Roman" w:cs="Times New Roman" w:eastAsia="Times New Roman" w:hAnsi="Times New Roman"/>
          <w:sz w:val="16"/>
          <w:szCs w:val="16"/>
          <w:highlight w:val="white"/>
          <w:rtl w:val="0"/>
        </w:rPr>
        <w:t xml:space="preserve">, Oxfam, oxfamilibrary.openrepository.com/bitstream/handle/10546/114492/bp71-food-aid-or-hidden-dumping-240305-en.pdf.</w:t>
      </w:r>
      <w:r w:rsidDel="00000000" w:rsidR="00000000" w:rsidRPr="00000000">
        <w:rPr>
          <w:rtl w:val="0"/>
        </w:rPr>
      </w:r>
    </w:p>
  </w:footnote>
  <w:footnote w:id="11">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Kripke, Gawain. "Food aid or hidden dumping?" </w:t>
      </w:r>
      <w:r w:rsidDel="00000000" w:rsidR="00000000" w:rsidRPr="00000000">
        <w:rPr>
          <w:rFonts w:ascii="Times New Roman" w:cs="Times New Roman" w:eastAsia="Times New Roman" w:hAnsi="Times New Roman"/>
          <w:i w:val="1"/>
          <w:sz w:val="16"/>
          <w:szCs w:val="16"/>
          <w:rtl w:val="0"/>
        </w:rPr>
        <w:t xml:space="preserve">oxfam library</w:t>
      </w:r>
      <w:r w:rsidDel="00000000" w:rsidR="00000000" w:rsidRPr="00000000">
        <w:rPr>
          <w:rFonts w:ascii="Times New Roman" w:cs="Times New Roman" w:eastAsia="Times New Roman" w:hAnsi="Times New Roman"/>
          <w:sz w:val="16"/>
          <w:szCs w:val="16"/>
          <w:highlight w:val="white"/>
          <w:rtl w:val="0"/>
        </w:rPr>
        <w:t xml:space="preserve">, Oxfam, oxfamilibrary.openrepository.com/bitstream/handle/10546/114492/bp71-food-aid-or-hidden-dumping-240305-en.pdf.</w:t>
      </w:r>
      <w:r w:rsidDel="00000000" w:rsidR="00000000" w:rsidRPr="00000000">
        <w:rPr>
          <w:rtl w:val="0"/>
        </w:rPr>
      </w:r>
    </w:p>
  </w:footnote>
  <w:footnote w:id="12">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Jerving, Sara. "In Ethiopia's Tigray, only 1% of people needing food aid received it." </w:t>
      </w:r>
      <w:r w:rsidDel="00000000" w:rsidR="00000000" w:rsidRPr="00000000">
        <w:rPr>
          <w:rFonts w:ascii="Times New Roman" w:cs="Times New Roman" w:eastAsia="Times New Roman" w:hAnsi="Times New Roman"/>
          <w:i w:val="1"/>
          <w:sz w:val="16"/>
          <w:szCs w:val="16"/>
          <w:rtl w:val="0"/>
        </w:rPr>
        <w:t xml:space="preserve">Devex.com</w:t>
      </w:r>
      <w:r w:rsidDel="00000000" w:rsidR="00000000" w:rsidRPr="00000000">
        <w:rPr>
          <w:rFonts w:ascii="Times New Roman" w:cs="Times New Roman" w:eastAsia="Times New Roman" w:hAnsi="Times New Roman"/>
          <w:sz w:val="16"/>
          <w:szCs w:val="16"/>
          <w:highlight w:val="white"/>
          <w:rtl w:val="0"/>
        </w:rPr>
        <w:t xml:space="preserve">, Devex, 22 Oct. 2021, www.devex.com/news/in-ethiopia-s-tigray-only-1-of-people-needing-food-aid-received-it-101901.</w:t>
      </w:r>
      <w:r w:rsidDel="00000000" w:rsidR="00000000" w:rsidRPr="00000000">
        <w:rPr>
          <w:rtl w:val="0"/>
        </w:rPr>
      </w:r>
    </w:p>
  </w:footnote>
  <w:footnote w:id="13">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United States Trade Representative. "Ethiopia." </w:t>
      </w:r>
      <w:r w:rsidDel="00000000" w:rsidR="00000000" w:rsidRPr="00000000">
        <w:rPr>
          <w:rFonts w:ascii="Times New Roman" w:cs="Times New Roman" w:eastAsia="Times New Roman" w:hAnsi="Times New Roman"/>
          <w:i w:val="1"/>
          <w:sz w:val="16"/>
          <w:szCs w:val="16"/>
          <w:rtl w:val="0"/>
        </w:rPr>
        <w:t xml:space="preserve">United States Trade Representative</w:t>
      </w:r>
      <w:r w:rsidDel="00000000" w:rsidR="00000000" w:rsidRPr="00000000">
        <w:rPr>
          <w:rFonts w:ascii="Times New Roman" w:cs="Times New Roman" w:eastAsia="Times New Roman" w:hAnsi="Times New Roman"/>
          <w:sz w:val="16"/>
          <w:szCs w:val="16"/>
          <w:highlight w:val="white"/>
          <w:rtl w:val="0"/>
        </w:rPr>
        <w:t xml:space="preserve">, Executive Office of the President, ustr.gov/countries-regions/africa/east-africa/ethiopia.</w:t>
      </w:r>
      <w:r w:rsidDel="00000000" w:rsidR="00000000" w:rsidRPr="00000000">
        <w:rPr>
          <w:rtl w:val="0"/>
        </w:rPr>
      </w:r>
    </w:p>
  </w:footnote>
  <w:footnote w:id="14">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Kripke, Gawain. "Food aid or hidden dumping?" </w:t>
      </w:r>
      <w:r w:rsidDel="00000000" w:rsidR="00000000" w:rsidRPr="00000000">
        <w:rPr>
          <w:rFonts w:ascii="Times New Roman" w:cs="Times New Roman" w:eastAsia="Times New Roman" w:hAnsi="Times New Roman"/>
          <w:i w:val="1"/>
          <w:sz w:val="16"/>
          <w:szCs w:val="16"/>
          <w:rtl w:val="0"/>
        </w:rPr>
        <w:t xml:space="preserve">oxfam library</w:t>
      </w:r>
      <w:r w:rsidDel="00000000" w:rsidR="00000000" w:rsidRPr="00000000">
        <w:rPr>
          <w:rFonts w:ascii="Times New Roman" w:cs="Times New Roman" w:eastAsia="Times New Roman" w:hAnsi="Times New Roman"/>
          <w:sz w:val="16"/>
          <w:szCs w:val="16"/>
          <w:highlight w:val="white"/>
          <w:rtl w:val="0"/>
        </w:rPr>
        <w:t xml:space="preserve">, Oxfam, oxfamilibrary.openrepository.com/bitstream/handle/10546/114492/bp71-food-aid-or-hidden-dumping-240305-en.pdf.</w:t>
      </w:r>
      <w:r w:rsidDel="00000000" w:rsidR="00000000" w:rsidRPr="00000000">
        <w:rPr>
          <w:rtl w:val="0"/>
        </w:rPr>
      </w:r>
    </w:p>
  </w:footnote>
  <w:footnote w:id="15">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Kripke, Gawain. "Food aid or hidden dumping?" </w:t>
      </w:r>
      <w:r w:rsidDel="00000000" w:rsidR="00000000" w:rsidRPr="00000000">
        <w:rPr>
          <w:rFonts w:ascii="Times New Roman" w:cs="Times New Roman" w:eastAsia="Times New Roman" w:hAnsi="Times New Roman"/>
          <w:i w:val="1"/>
          <w:sz w:val="16"/>
          <w:szCs w:val="16"/>
          <w:rtl w:val="0"/>
        </w:rPr>
        <w:t xml:space="preserve">oxfam library</w:t>
      </w:r>
      <w:r w:rsidDel="00000000" w:rsidR="00000000" w:rsidRPr="00000000">
        <w:rPr>
          <w:rFonts w:ascii="Times New Roman" w:cs="Times New Roman" w:eastAsia="Times New Roman" w:hAnsi="Times New Roman"/>
          <w:sz w:val="16"/>
          <w:szCs w:val="16"/>
          <w:highlight w:val="white"/>
          <w:rtl w:val="0"/>
        </w:rPr>
        <w:t xml:space="preserve">, Oxfam, oxfamilibrary.openrepository.com/bitstream/handle/10546/114492/bp71-food-aid-or-hidden-dumping-240305-en.pdf.</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ciencedirect.com/science/article/pii/S0305750X20301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