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left"/>
        <w:rPr>
          <w:color w:val="073763"/>
          <w:sz w:val="28"/>
          <w:szCs w:val="28"/>
        </w:rPr>
      </w:pPr>
      <w:r w:rsidDel="00000000" w:rsidR="00000000" w:rsidRPr="00000000">
        <w:rPr>
          <w:color w:val="073763"/>
          <w:sz w:val="28"/>
          <w:szCs w:val="28"/>
          <w:rtl w:val="1"/>
        </w:rPr>
        <w:t xml:space="preserve">الفقر</w:t>
      </w:r>
      <w:r w:rsidDel="00000000" w:rsidR="00000000" w:rsidRPr="00000000">
        <w:rPr>
          <w:color w:val="073763"/>
          <w:sz w:val="28"/>
          <w:szCs w:val="28"/>
          <w:rtl w:val="1"/>
        </w:rPr>
        <w:t xml:space="preserve"> </w:t>
      </w:r>
      <w:r w:rsidDel="00000000" w:rsidR="00000000" w:rsidRPr="00000000">
        <w:rPr>
          <w:color w:val="073763"/>
          <w:sz w:val="28"/>
          <w:szCs w:val="28"/>
          <w:rtl w:val="1"/>
        </w:rPr>
        <w:t xml:space="preserve">والإقتصاد</w:t>
      </w:r>
    </w:p>
    <w:p w:rsidR="00000000" w:rsidDel="00000000" w:rsidP="00000000" w:rsidRDefault="00000000" w:rsidRPr="00000000" w14:paraId="00000002">
      <w:pPr>
        <w:bidi w:val="1"/>
        <w:jc w:val="left"/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Demetriou</w:t>
      </w:r>
    </w:p>
    <w:p w:rsidR="00000000" w:rsidDel="00000000" w:rsidP="00000000" w:rsidRDefault="00000000" w:rsidRPr="00000000" w14:paraId="00000003">
      <w:pPr>
        <w:bidi w:val="1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الترجمة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بواسطة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Salim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Alhaddabi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وانعدام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والنتائج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الناتجة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تحديدها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مسبق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الثراء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المادي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انعدام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للأسرة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الأثرياء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يتمتعون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بسهولة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أغذية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الجودة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وغنية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بالعناصر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الأفراد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المنخفض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يضطرون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اختيار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أرخص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وغني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بالطاقة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تتبع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صفات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النظام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ونتائجها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السيئة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تدرج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اجتماعي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زيادة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الأسعار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الإجمالية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التفاوتات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التدرج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والاقتصادي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الزيادة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نسبة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تكلفة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متناسبة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المرتفع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مقابل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المنخفض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تنفق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الأمريكية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المتوسطة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١١٪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المتاح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نفسه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ينتهي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الفقر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الإنفاق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بنسبة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٣٥٪.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الدراسات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أجريت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البلدان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المرتفع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الوضع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والاقتصادي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العالي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يتمتعون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بسهولة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وكذلك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استهلاك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للفواكه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والخضروات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الأشخاص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يعيشون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مناطق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ومحلات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الفواكه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والخضروات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المتخصصة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والأسواق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المفتوحة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بمعنى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آخر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أولئك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يعيشون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ثراء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عرضة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للحصول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وجبات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العكس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المنخفض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لديها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والمزيد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متجر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الوجبات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السريعة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يجعلها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تعرض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للأطعمة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يقتصر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المناطق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الوضع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والاقتصادي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المنخفض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لديها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أكبر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الأسواق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المحلية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الصغيرة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ومحلات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ولكن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الأطعمة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المتاجر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أصغر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منخفضة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بأسعار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يشير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مصطلح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لينينج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ظاهرة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إغلاق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سلاسل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والمحلات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الأحياء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الفقيرة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تحديد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المتاجر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الضواحي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والمناطق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ثراء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بدلا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الداخلية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والأحياء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المنخفض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غرار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الأشكال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الأخرى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الخط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الأحمر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الممارسة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مدفوعة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بالمفاهيم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المتصورة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لخطر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السرقة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وانخفاض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وانخفاض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حافة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الربح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التمكين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صحارى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وتسمى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الفصل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العنصري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للطعام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مناطق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جغرافية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يكون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السكان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خيارات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الميسور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التكلفة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خاصة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الفواكه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والخضروات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الطازجة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موجود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بسبب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البقالة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مسافة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سفر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مناسبة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يسمى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مشروع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التمكين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خاصيتين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رئيسيتين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للحلويات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والحالة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والاقتصادية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يتعلق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بالأول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وزارة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الزراعة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الأمريكية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حوالي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٢.٣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مليون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٢.٢٪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الأمريكية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يعيشون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ساعة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يمتلكون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سيارة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يعيش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آخرون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مناطق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حضرية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تسمح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وسائل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بالوصول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السهل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البقالة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علاوة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الحلويات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شيوع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مجتمعات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والبني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والمناطق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منخفضة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؛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تحتوي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المرتفع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حوالي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٣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أضعاف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المنخفض</w:t>
      </w:r>
    </w:p>
    <w:p w:rsidR="00000000" w:rsidDel="00000000" w:rsidP="00000000" w:rsidRDefault="00000000" w:rsidRPr="00000000" w14:paraId="0000000C">
      <w:pPr>
        <w:bidi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وتحتوي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الأحياء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البيضاء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أربعة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أضعاف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يغلب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عليها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حلوى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احتواء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وفرة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سلاسل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الوجبات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السريعة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يدفع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سكان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الحضر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يشترون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البقالة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متاجر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الأحياء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الصغيرة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٣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٣٧٪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أولئك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يشترون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نفس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المنتجات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مدينة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نيويورك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وحدها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يعيش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يقدر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بنحو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٠٠٠ ٧٥٠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الحلويات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عامي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١٩٨٩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٢٠٠٥ 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ارتفع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السعر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الإجمالي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للفواكه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والخضروات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بنحو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٧٥٪،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انخفض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سعر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الأطعمة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الدهنية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بنسبة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٢٦٪.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عواقب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المحدود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الطويل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الأطعمة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أحد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الأسباب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الرئيسية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تجعل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الأقليات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العرقية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والمجتمعات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منخفضة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تعاني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معدلات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السمنة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ومرض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السكري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٢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وأمراض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القلب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والأوعية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الدموية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أمور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أخرى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الحلوى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متناسب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المناطق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ترتفع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معدلات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الفقر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السكان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ومعدلات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المنازل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الشاغرة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والسكان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ذوي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المستويات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التعليمية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المنخفضة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ومعدلات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البطالة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المرتفعة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وفق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لدراسة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أجرتها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جامعة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جونز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هوبكنز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توجد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الحلوى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متناسب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السوداء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الدراسة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مقارنة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الحضرية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بمستويات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فقر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مماثلة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لدى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السوداء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بينما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البيضاء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لديها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عدد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أكبر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المثير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للاهتمام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متعددة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الأعراق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مكان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الوسط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مجموعة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يقرب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٣٩.٥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مليون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١٢.٨٪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سكان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الولايات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تحديدهم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يعيشون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مناطق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منخفضة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منخفضة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الباحثون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١٩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مليون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شخص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٦.٢٪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سكان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الولايات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محدود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لمحلات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ومحلات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البقالة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لسوء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الوباء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تحديث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لانعدام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٢٠٢٠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معهد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بروكينغز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أفاد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يقرب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١٠٪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الآباء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والأمهات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لديهم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أطفال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فقط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تبلغ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أعمارهم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٥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سنوات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بعدم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وجود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يكفي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لأسرهم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وعدم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كفاية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الموارد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لشراء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spacing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spacing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هناك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وعي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متزايد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النتائج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والتفاوتات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تسترشد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بالمحددات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أكثر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الرعاية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الطبية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يتأثر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الناس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الغالب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بالظروف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والاقتصادية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والمادية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يقضون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معظم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الوقت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ضمن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المحددات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الاجتماعية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يعتبر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الفقر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وانعدام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أبرزها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ولهما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الارتباط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الأبرز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بأكثر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المشكلات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الصحية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خطورة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وتكلفة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الولايات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المتحدة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العثور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المنخفض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الفقيرة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لديها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القليل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الموارد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المتعلقة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بالصحة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متاجر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البقالة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كاملة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الخدمات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توفر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طعام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ميسور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التكلفة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التعرض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لمخاطر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مثل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جودة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المياه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وظروف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الإسكان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السيئة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5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bidi w:val="1"/>
        <w:spacing w:line="240" w:lineRule="auto"/>
        <w:ind w:left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لقد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سلط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الوباء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الضوء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انعدام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وأدى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تفاقمه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ارتفاع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معدلات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البطالة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وفقدان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الوجبات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المدرسية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وسلاسل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الإمداد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الموثوق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تضاعفت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معدلات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انعدام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جميع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فبراير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٢٠٢٠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مايو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٢٠٢٠.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وبالمثل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تضاعف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انعدام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ثلاث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داخل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لديها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أطفال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الرغم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الجغرافي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راسخ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كسبب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للصحارى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فإن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العامل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الأساسي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الذي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يقود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انعدام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انعدام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المالي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حتى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قبل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الوباء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كان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يقدر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بنحو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١٠.٥٪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الأمريكية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تواجه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انعدام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خلال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الجائحة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زادت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الإحصائية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بشكل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المنخفض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تعيش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٣٤.٩٪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تعيش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الفقر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وتواجه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انعدام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line="24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يؤثر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انعدام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المالي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والوضع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الاجتماعي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والاقتصادي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بشدة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ويرجع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جزء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كبير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العلاقة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الموقع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غالب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يغذي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يسمى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الخطوط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الحمراء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للسوبر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ماركت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الحلوى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الغذائية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تصف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الظواهر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أو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الأماكن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التي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تعاني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ندرة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المتاجر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الكبرى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نتيجة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لذلك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تؤدي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الأحداث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ارتفاع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الأسعار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بالإضافة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تقليل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تنوع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خيارات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الطعام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المتاحة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لأولئك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الموجودين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المجتمع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نظر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الوجبات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السريعة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أرخص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عموم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تميل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العائلات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الدخل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المنخفض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اللجوء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خيارات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غير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حين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الأسر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الأكثر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ثراء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تستطيع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تحمل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تكلفة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الفواكه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والخضروات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باهظة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الثمن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هذا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أيض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له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تباينات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عرقية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شديدة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،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حيث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يعيش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المزيد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من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المجتمعات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السوداء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والبنية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في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صحاري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غذائية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ذات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أسعار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أعلى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وإمكانية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وصول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أقل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إلى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خيارات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غذائية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صحية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1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"The Correlation between Socioeconomic Status and Healthy Diets: An Overview." </w:t>
      </w: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FrieslandCampina Institute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, 15 Sept. 2019, www.frieslandcampinainstitute.com/ng/health/maternal-nutrition/correlation-socioeconomic-status-healthy-diets-overview/. Accessed 7 Dec. 2021</w:t>
      </w:r>
      <w:r w:rsidDel="00000000" w:rsidR="00000000" w:rsidRPr="00000000">
        <w:rPr>
          <w:rFonts w:ascii="Times" w:cs="Times" w:eastAsia="Times" w:hAnsi="Times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8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Costa, B.V.L., et al. "Does Access to Healthy Food Vary According to Socioeconomic Status and to Food Store Type? An Ecologic Study." </w:t>
      </w: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BMC Public Health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, 18 June 2019, doi.org/10.1186/s12889-019-6975-y. Accessed 16 Nov. 2021.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9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Zhang, Mengyao, and Ghosh Debarchana. "Spatial Supermarket Redlining and Neighborhood Vulnerability: A Case Study of Hartford, Connecticut." </w:t>
      </w: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NCBI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, 26 Mar. 2015, www.ncbi.nlm.nih.gov/pmc/articles/PMC4810442/. Accessed 5 Dec. 2022.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1A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Food Empowerment Project. "Food Deserts." </w:t>
      </w: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Food Empowerment Project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, 2021, foodispower.org/access-health/food-deserts/. Accessed 6 Dec. 2021.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1B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Annie E. Casey Foundation. "Food Deserts in the United States." </w:t>
      </w: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Annie E. Casey Foundation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, 13 Feb. 2021, www.aecf.org/blog/exploring-americas-food-deserts. Accessed 6 Dec. 2021.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1C">
      <w:pPr>
        <w:spacing w:line="240" w:lineRule="auto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The Impact of Poverty, Food Insecurity, and Poor Nutrition on Health and Well-Being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. Food Research and Action Center, Dec. 2017, frac.org/wp-content/uploads/hunger-health-impact-poverty-food-insecurity-health-well-being.pdf. Accessed 8 Dec. 2021.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1D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George, Caroline, and Adie Tomer. "Beyond 'Food Deserts': America Needs a New Approach to Mapping Food Insecurity." </w:t>
      </w:r>
      <w:r w:rsidDel="00000000" w:rsidR="00000000" w:rsidRPr="00000000">
        <w:rPr>
          <w:rFonts w:ascii="Times" w:cs="Times" w:eastAsia="Times" w:hAnsi="Times"/>
          <w:i w:val="1"/>
          <w:sz w:val="16"/>
          <w:szCs w:val="16"/>
          <w:rtl w:val="0"/>
        </w:rPr>
        <w:t xml:space="preserve">Brookings</w:t>
      </w:r>
      <w:r w:rsidDel="00000000" w:rsidR="00000000" w:rsidRPr="00000000">
        <w:rPr>
          <w:rFonts w:ascii="Times" w:cs="Times" w:eastAsia="Times" w:hAnsi="Times"/>
          <w:sz w:val="16"/>
          <w:szCs w:val="16"/>
          <w:rtl w:val="0"/>
        </w:rPr>
        <w:t xml:space="preserve">, 17 Aug. 2021, www.brookings.edu/research/beyond-food-deserts-america-needs-a-new-approach-to-mapping-food-insecurity/. Accessed 4 Dec. 2021.</w:t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