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DB2" w:rsidRPr="00415DB2" w:rsidRDefault="00415DB2">
      <w:r w:rsidRPr="00415DB2">
        <w:rPr>
          <w:b/>
        </w:rPr>
        <w:t>To</w:t>
      </w:r>
      <w:r w:rsidRPr="00415DB2">
        <w:t xml:space="preserve">: Ordinance Committee </w:t>
      </w:r>
    </w:p>
    <w:p w:rsidR="00415DB2" w:rsidRDefault="00415DB2">
      <w:r w:rsidRPr="00415DB2">
        <w:rPr>
          <w:b/>
        </w:rPr>
        <w:t>From</w:t>
      </w:r>
      <w:r w:rsidRPr="00415DB2">
        <w:t>: Jay Chace, Planning Director</w:t>
      </w:r>
    </w:p>
    <w:p w:rsidR="006230F9" w:rsidRPr="006230F9" w:rsidRDefault="006230F9">
      <w:r w:rsidRPr="006230F9">
        <w:rPr>
          <w:b/>
        </w:rPr>
        <w:t>Date</w:t>
      </w:r>
      <w:r w:rsidRPr="006230F9">
        <w:t>: October 19, 2020</w:t>
      </w:r>
    </w:p>
    <w:p w:rsidR="005867E5" w:rsidRDefault="00415DB2" w:rsidP="00070EDB">
      <w:pPr>
        <w:pBdr>
          <w:bottom w:val="single" w:sz="4" w:space="1" w:color="auto"/>
        </w:pBdr>
      </w:pPr>
      <w:r>
        <w:rPr>
          <w:b/>
        </w:rPr>
        <w:t xml:space="preserve">RE: </w:t>
      </w:r>
      <w:r w:rsidR="00070EDB">
        <w:t>R</w:t>
      </w:r>
      <w:r w:rsidR="00CC7B0C">
        <w:t>esponses to questions posed in JMC/Ord. Committee questions received on Oct 13, 2020</w:t>
      </w:r>
    </w:p>
    <w:p w:rsidR="00CC7B0C" w:rsidRPr="00D701D3" w:rsidRDefault="00CC7B0C" w:rsidP="00CC7B0C">
      <w:pPr>
        <w:pStyle w:val="ListParagraph"/>
        <w:numPr>
          <w:ilvl w:val="0"/>
          <w:numId w:val="1"/>
        </w:numPr>
        <w:rPr>
          <w:i/>
        </w:rPr>
      </w:pPr>
      <w:r w:rsidRPr="00D701D3">
        <w:rPr>
          <w:i/>
        </w:rPr>
        <w:t xml:space="preserve">Could we have the recommendations from the LRPC as well as the Planning Board on </w:t>
      </w:r>
      <w:proofErr w:type="gramStart"/>
      <w:r w:rsidRPr="00D701D3">
        <w:rPr>
          <w:i/>
        </w:rPr>
        <w:t>short and long term</w:t>
      </w:r>
      <w:proofErr w:type="gramEnd"/>
      <w:r w:rsidRPr="00D701D3">
        <w:rPr>
          <w:i/>
        </w:rPr>
        <w:t xml:space="preserve"> measures?</w:t>
      </w:r>
    </w:p>
    <w:p w:rsidR="00986822" w:rsidRDefault="00CC7B0C" w:rsidP="00CC7B0C">
      <w:r>
        <w:t xml:space="preserve">At the request of the Ordinance Committee, the LRPC reviewed issues related to the Growth Management Ordinance at their meetings of June 19, July 24 and August 7.  </w:t>
      </w:r>
      <w:r w:rsidR="00986822">
        <w:t>The recommendations from the LRPC were provided in a memo dated August 7, 202</w:t>
      </w:r>
      <w:r w:rsidR="00415DB2">
        <w:t>0</w:t>
      </w:r>
      <w:r w:rsidR="00986822">
        <w:t xml:space="preserve"> to the Ordinance Committee and discussed at the Committee meeting of August 20.  </w:t>
      </w:r>
    </w:p>
    <w:p w:rsidR="00CC7B0C" w:rsidRDefault="00986822" w:rsidP="00CC7B0C">
      <w:r>
        <w:t>The August 7, 2020 memo with the LRPC recommendations</w:t>
      </w:r>
      <w:r w:rsidR="00415DB2">
        <w:t>, along with the meeting minutes,</w:t>
      </w:r>
      <w:r>
        <w:t xml:space="preserve"> </w:t>
      </w:r>
      <w:r w:rsidR="00415DB2">
        <w:t>are</w:t>
      </w:r>
      <w:r>
        <w:t xml:space="preserve"> provided under separate cover.     </w:t>
      </w:r>
    </w:p>
    <w:p w:rsidR="00CC7B0C" w:rsidRPr="00D701D3" w:rsidRDefault="00CC7B0C" w:rsidP="00CC7B0C">
      <w:pPr>
        <w:pStyle w:val="ListParagraph"/>
        <w:numPr>
          <w:ilvl w:val="0"/>
          <w:numId w:val="1"/>
        </w:numPr>
        <w:rPr>
          <w:i/>
        </w:rPr>
      </w:pPr>
      <w:r w:rsidRPr="00D701D3">
        <w:rPr>
          <w:i/>
        </w:rPr>
        <w:t xml:space="preserve">Please summarize the takeaways from the information and analysis that you have developed and shared including enrollment projections, permits approved and in the pipeline, as well as proposals to streamline approvals for master plan and subdivision work.  This would include </w:t>
      </w:r>
      <w:proofErr w:type="gramStart"/>
      <w:r w:rsidRPr="00D701D3">
        <w:rPr>
          <w:i/>
        </w:rPr>
        <w:t>10 year</w:t>
      </w:r>
      <w:proofErr w:type="gramEnd"/>
      <w:r w:rsidRPr="00D701D3">
        <w:rPr>
          <w:i/>
        </w:rPr>
        <w:t xml:space="preserve"> averages of units, minus Hillcrest and contract zones.</w:t>
      </w:r>
    </w:p>
    <w:p w:rsidR="003C1431" w:rsidRDefault="003C1431" w:rsidP="00986822">
      <w:r>
        <w:t>Among the key take ways from the LRPC work is that</w:t>
      </w:r>
      <w:r w:rsidR="000535DC">
        <w:t xml:space="preserve"> additional </w:t>
      </w:r>
      <w:r w:rsidR="000535DC" w:rsidRPr="000535DC">
        <w:t xml:space="preserve">study of the impacts </w:t>
      </w:r>
      <w:r w:rsidR="000535DC">
        <w:t xml:space="preserve">of multi-family development is needed, particularly </w:t>
      </w:r>
      <w:r w:rsidR="000535DC" w:rsidRPr="000535DC">
        <w:t>by unit size and bedroom count.  Information such as; correlation between number of cars and bedrooms in a unit, anticipated trips generated by unit size/type, student population per unit, public safety impacts and demands on public services, sanitary demands, demands on access to parks, beaches other natural resources.</w:t>
      </w:r>
      <w:r w:rsidR="000535DC">
        <w:t xml:space="preserve"> Staff </w:t>
      </w:r>
      <w:r w:rsidR="00415DB2">
        <w:t xml:space="preserve">is working to pull this data together and anticipates having the information by the end of 2020. </w:t>
      </w:r>
      <w:r w:rsidR="000535DC">
        <w:t xml:space="preserve">  </w:t>
      </w:r>
    </w:p>
    <w:p w:rsidR="00986822" w:rsidRDefault="00986822" w:rsidP="00986822">
      <w:r>
        <w:t xml:space="preserve">The </w:t>
      </w:r>
      <w:r w:rsidR="000535DC">
        <w:t>information we have to date</w:t>
      </w:r>
      <w:r>
        <w:t xml:space="preserve"> is broken down as follows:</w:t>
      </w:r>
    </w:p>
    <w:p w:rsidR="00986822" w:rsidRPr="00986822" w:rsidRDefault="00986822" w:rsidP="00986822">
      <w:pPr>
        <w:pStyle w:val="ListParagraph"/>
        <w:numPr>
          <w:ilvl w:val="0"/>
          <w:numId w:val="4"/>
        </w:numPr>
        <w:rPr>
          <w:i/>
        </w:rPr>
      </w:pPr>
      <w:r w:rsidRPr="00986822">
        <w:rPr>
          <w:i/>
        </w:rPr>
        <w:t>Please summarize the takeaways from the information and analysis that you have developed and shared including enrollment projections</w:t>
      </w:r>
    </w:p>
    <w:p w:rsidR="00930641" w:rsidRDefault="00930641" w:rsidP="00986822">
      <w:r>
        <w:t xml:space="preserve">See Slide 1 on accompanying PowerPoint for data.  </w:t>
      </w:r>
    </w:p>
    <w:p w:rsidR="00986822" w:rsidRPr="00986822" w:rsidRDefault="00986822" w:rsidP="00986822">
      <w:r>
        <w:t xml:space="preserve">This data is from the 2019-20 school year, but the findings suggest that </w:t>
      </w:r>
      <w:r w:rsidR="00465094" w:rsidRPr="00986822">
        <w:t xml:space="preserve">the </w:t>
      </w:r>
      <w:r w:rsidR="00930641">
        <w:t xml:space="preserve">school growth </w:t>
      </w:r>
      <w:r w:rsidR="00465094" w:rsidRPr="00986822">
        <w:t xml:space="preserve">is still feeling the impacts of rapid single-family </w:t>
      </w:r>
      <w:r w:rsidRPr="00986822">
        <w:t xml:space="preserve">growth that led to the establishment of the Growth Management Ord.  </w:t>
      </w:r>
    </w:p>
    <w:p w:rsidR="00986822" w:rsidRPr="00986822" w:rsidRDefault="00986822" w:rsidP="00986822">
      <w:r>
        <w:t xml:space="preserve">Staff is working with our partners in the School Dept. to run a similar analysis for the </w:t>
      </w:r>
      <w:r w:rsidR="00415DB2">
        <w:t>20</w:t>
      </w:r>
      <w:r>
        <w:t xml:space="preserve">20-21 school enrollment; with a focus on the entire school population and not just the Kindergarten class.  </w:t>
      </w:r>
    </w:p>
    <w:p w:rsidR="00986822" w:rsidRDefault="000535DC" w:rsidP="000535DC">
      <w:pPr>
        <w:pStyle w:val="ListParagraph"/>
        <w:numPr>
          <w:ilvl w:val="0"/>
          <w:numId w:val="4"/>
        </w:numPr>
        <w:rPr>
          <w:i/>
        </w:rPr>
      </w:pPr>
      <w:r w:rsidRPr="000535DC">
        <w:rPr>
          <w:i/>
        </w:rPr>
        <w:t>permits approved and in the pipeline</w:t>
      </w:r>
    </w:p>
    <w:p w:rsidR="00986822" w:rsidRDefault="00930641" w:rsidP="00986822">
      <w:r>
        <w:t>See Slides 2</w:t>
      </w:r>
      <w:r w:rsidR="00415DB2">
        <w:t xml:space="preserve">, </w:t>
      </w:r>
      <w:r>
        <w:t>3</w:t>
      </w:r>
      <w:r w:rsidR="00415DB2">
        <w:t xml:space="preserve">, 4 &amp; 5 </w:t>
      </w:r>
      <w:r>
        <w:t xml:space="preserve">on </w:t>
      </w:r>
      <w:r w:rsidR="00415DB2">
        <w:t xml:space="preserve">the </w:t>
      </w:r>
      <w:r>
        <w:t>accompanying PowerPoint for data.</w:t>
      </w:r>
    </w:p>
    <w:p w:rsidR="00930641" w:rsidRPr="00930641" w:rsidRDefault="00930641" w:rsidP="00930641">
      <w:pPr>
        <w:pStyle w:val="ListParagraph"/>
        <w:numPr>
          <w:ilvl w:val="0"/>
          <w:numId w:val="4"/>
        </w:numPr>
        <w:rPr>
          <w:i/>
        </w:rPr>
      </w:pPr>
      <w:r w:rsidRPr="00930641">
        <w:rPr>
          <w:i/>
        </w:rPr>
        <w:t>proposals to streamline approvals for master plan and subdivision work</w:t>
      </w:r>
    </w:p>
    <w:p w:rsidR="00930641" w:rsidRDefault="00930641" w:rsidP="00930641">
      <w:r>
        <w:lastRenderedPageBreak/>
        <w:t xml:space="preserve">Staff is not aware of streamline proposals for master plans or subdivisions at this time. I believe this is </w:t>
      </w:r>
      <w:r w:rsidR="00415DB2">
        <w:t>in reference</w:t>
      </w:r>
      <w:r>
        <w:t xml:space="preserve"> to the site plan review administrative review process that the Town Manager and Council leadership asked the staff to work on. </w:t>
      </w:r>
    </w:p>
    <w:p w:rsidR="00930641" w:rsidRDefault="00930641" w:rsidP="00930641">
      <w:r>
        <w:t xml:space="preserve">To that end, the Planning Board conducted a workshop on this </w:t>
      </w:r>
      <w:r w:rsidR="001521B3">
        <w:t xml:space="preserve">topic </w:t>
      </w:r>
      <w:r>
        <w:t xml:space="preserve">on October 1.  With direction and input from the Board, staff is developing language for further consideration by Council—anticipated to be available early November.   </w:t>
      </w:r>
    </w:p>
    <w:p w:rsidR="00F86123" w:rsidRPr="00F86123" w:rsidRDefault="00F86123" w:rsidP="00F86123">
      <w:pPr>
        <w:pStyle w:val="ListParagraph"/>
        <w:numPr>
          <w:ilvl w:val="0"/>
          <w:numId w:val="4"/>
        </w:numPr>
        <w:rPr>
          <w:i/>
        </w:rPr>
      </w:pPr>
      <w:proofErr w:type="gramStart"/>
      <w:r w:rsidRPr="00F86123">
        <w:rPr>
          <w:i/>
        </w:rPr>
        <w:t>10 year</w:t>
      </w:r>
      <w:proofErr w:type="gramEnd"/>
      <w:r w:rsidRPr="00F86123">
        <w:rPr>
          <w:i/>
        </w:rPr>
        <w:t xml:space="preserve"> averages of units, minus Hillcrest and contract zones</w:t>
      </w:r>
    </w:p>
    <w:tbl>
      <w:tblPr>
        <w:tblW w:w="972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293"/>
        <w:gridCol w:w="1032"/>
        <w:gridCol w:w="1240"/>
        <w:gridCol w:w="1259"/>
        <w:gridCol w:w="1011"/>
        <w:gridCol w:w="1179"/>
        <w:gridCol w:w="1155"/>
      </w:tblGrid>
      <w:tr w:rsidR="00A045F0" w:rsidRPr="00A045F0" w:rsidTr="005F3791">
        <w:trPr>
          <w:trHeight w:val="275"/>
        </w:trPr>
        <w:tc>
          <w:tcPr>
            <w:tcW w:w="1559" w:type="dxa"/>
            <w:shd w:val="clear" w:color="auto" w:fill="auto"/>
            <w:noWrap/>
            <w:vAlign w:val="bottom"/>
          </w:tcPr>
          <w:p w:rsidR="00A045F0" w:rsidRPr="00A045F0" w:rsidRDefault="00A045F0" w:rsidP="00A045F0">
            <w:pPr>
              <w:spacing w:after="0" w:line="240" w:lineRule="auto"/>
              <w:rPr>
                <w:rFonts w:ascii="Calibri Light" w:eastAsia="Times New Roman" w:hAnsi="Calibri Light" w:cs="Calibri Light"/>
                <w:b/>
                <w:bCs/>
              </w:rPr>
            </w:pPr>
            <w:r w:rsidRPr="00A045F0">
              <w:rPr>
                <w:rFonts w:ascii="Calibri Light" w:eastAsia="Times New Roman" w:hAnsi="Calibri Light" w:cs="Calibri Light"/>
                <w:b/>
                <w:bCs/>
              </w:rPr>
              <w:t>Year</w:t>
            </w:r>
          </w:p>
        </w:tc>
        <w:tc>
          <w:tcPr>
            <w:tcW w:w="1293" w:type="dxa"/>
            <w:shd w:val="clear" w:color="auto" w:fill="auto"/>
            <w:noWrap/>
            <w:vAlign w:val="bottom"/>
          </w:tcPr>
          <w:p w:rsidR="00A045F0" w:rsidRPr="00A045F0" w:rsidRDefault="00A045F0" w:rsidP="00A045F0">
            <w:pPr>
              <w:spacing w:after="0" w:line="240" w:lineRule="auto"/>
              <w:jc w:val="center"/>
              <w:rPr>
                <w:rFonts w:ascii="Calibri Light" w:eastAsia="Times New Roman" w:hAnsi="Calibri Light" w:cs="Calibri Light"/>
                <w:b/>
                <w:bCs/>
              </w:rPr>
            </w:pPr>
            <w:r w:rsidRPr="00A045F0">
              <w:rPr>
                <w:rFonts w:ascii="Calibri Light" w:eastAsia="Times New Roman" w:hAnsi="Calibri Light" w:cs="Calibri Light"/>
                <w:b/>
                <w:bCs/>
              </w:rPr>
              <w:t>Single-Family Dwelling</w:t>
            </w:r>
          </w:p>
        </w:tc>
        <w:tc>
          <w:tcPr>
            <w:tcW w:w="1032" w:type="dxa"/>
            <w:shd w:val="clear" w:color="auto" w:fill="auto"/>
            <w:noWrap/>
            <w:vAlign w:val="bottom"/>
          </w:tcPr>
          <w:p w:rsidR="00A045F0" w:rsidRPr="00A045F0" w:rsidRDefault="00A045F0" w:rsidP="00A045F0">
            <w:pPr>
              <w:spacing w:after="0" w:line="240" w:lineRule="auto"/>
              <w:jc w:val="center"/>
              <w:rPr>
                <w:rFonts w:ascii="Calibri Light" w:eastAsia="Times New Roman" w:hAnsi="Calibri Light" w:cs="Calibri Light"/>
                <w:b/>
                <w:bCs/>
              </w:rPr>
            </w:pPr>
            <w:r w:rsidRPr="00A045F0">
              <w:rPr>
                <w:rFonts w:ascii="Calibri Light" w:eastAsia="Times New Roman" w:hAnsi="Calibri Light" w:cs="Calibri Light"/>
                <w:b/>
                <w:bCs/>
              </w:rPr>
              <w:t>Duplex</w:t>
            </w:r>
          </w:p>
        </w:tc>
        <w:tc>
          <w:tcPr>
            <w:tcW w:w="1240" w:type="dxa"/>
            <w:shd w:val="clear" w:color="auto" w:fill="auto"/>
            <w:noWrap/>
            <w:vAlign w:val="bottom"/>
          </w:tcPr>
          <w:p w:rsidR="00A045F0" w:rsidRPr="00A045F0" w:rsidRDefault="00A045F0" w:rsidP="00A045F0">
            <w:pPr>
              <w:spacing w:after="0" w:line="240" w:lineRule="auto"/>
              <w:jc w:val="center"/>
              <w:rPr>
                <w:rFonts w:ascii="Calibri Light" w:eastAsia="Times New Roman" w:hAnsi="Calibri Light" w:cs="Calibri Light"/>
                <w:b/>
                <w:bCs/>
              </w:rPr>
            </w:pPr>
            <w:r w:rsidRPr="00A045F0">
              <w:rPr>
                <w:rFonts w:ascii="Calibri Light" w:eastAsia="Times New Roman" w:hAnsi="Calibri Light" w:cs="Calibri Light"/>
                <w:b/>
                <w:bCs/>
              </w:rPr>
              <w:t>Multi - Apartment</w:t>
            </w:r>
          </w:p>
        </w:tc>
        <w:tc>
          <w:tcPr>
            <w:tcW w:w="1259" w:type="dxa"/>
          </w:tcPr>
          <w:p w:rsidR="00A045F0" w:rsidRPr="00A045F0" w:rsidRDefault="00A045F0" w:rsidP="00A045F0">
            <w:pPr>
              <w:spacing w:after="0" w:line="240" w:lineRule="auto"/>
              <w:jc w:val="center"/>
              <w:rPr>
                <w:rFonts w:ascii="Calibri Light" w:eastAsia="Times New Roman" w:hAnsi="Calibri Light" w:cs="Calibri Light"/>
                <w:b/>
                <w:bCs/>
              </w:rPr>
            </w:pPr>
          </w:p>
          <w:p w:rsidR="00A045F0" w:rsidRPr="00A045F0" w:rsidRDefault="00A045F0" w:rsidP="00A045F0">
            <w:pPr>
              <w:spacing w:after="0" w:line="240" w:lineRule="auto"/>
              <w:jc w:val="center"/>
              <w:rPr>
                <w:rFonts w:ascii="Calibri Light" w:eastAsia="Times New Roman" w:hAnsi="Calibri Light" w:cs="Calibri Light"/>
                <w:b/>
                <w:bCs/>
              </w:rPr>
            </w:pPr>
          </w:p>
          <w:p w:rsidR="00A045F0" w:rsidRPr="00A045F0" w:rsidRDefault="00A045F0" w:rsidP="00A045F0">
            <w:pPr>
              <w:spacing w:after="0" w:line="240" w:lineRule="auto"/>
              <w:jc w:val="center"/>
              <w:rPr>
                <w:rFonts w:ascii="Calibri Light" w:eastAsia="Times New Roman" w:hAnsi="Calibri Light" w:cs="Calibri Light"/>
                <w:b/>
                <w:bCs/>
              </w:rPr>
            </w:pPr>
            <w:r w:rsidRPr="00A045F0">
              <w:rPr>
                <w:rFonts w:ascii="Calibri Light" w:eastAsia="Times New Roman" w:hAnsi="Calibri Light" w:cs="Calibri Light"/>
                <w:b/>
                <w:bCs/>
              </w:rPr>
              <w:t>Affordable</w:t>
            </w:r>
          </w:p>
        </w:tc>
        <w:tc>
          <w:tcPr>
            <w:tcW w:w="1011" w:type="dxa"/>
            <w:shd w:val="clear" w:color="auto" w:fill="auto"/>
            <w:noWrap/>
            <w:vAlign w:val="bottom"/>
          </w:tcPr>
          <w:p w:rsidR="00A045F0" w:rsidRPr="00A045F0" w:rsidRDefault="00A045F0" w:rsidP="00A045F0">
            <w:pPr>
              <w:spacing w:after="0" w:line="240" w:lineRule="auto"/>
              <w:jc w:val="center"/>
              <w:rPr>
                <w:rFonts w:ascii="Calibri Light" w:eastAsia="Times New Roman" w:hAnsi="Calibri Light" w:cs="Calibri Light"/>
                <w:b/>
                <w:bCs/>
              </w:rPr>
            </w:pPr>
            <w:r w:rsidRPr="00A045F0">
              <w:rPr>
                <w:rFonts w:ascii="Calibri Light" w:eastAsia="Times New Roman" w:hAnsi="Calibri Light" w:cs="Calibri Light"/>
                <w:b/>
                <w:bCs/>
              </w:rPr>
              <w:t>Total Units</w:t>
            </w:r>
          </w:p>
        </w:tc>
        <w:tc>
          <w:tcPr>
            <w:tcW w:w="1179" w:type="dxa"/>
          </w:tcPr>
          <w:p w:rsidR="00A045F0" w:rsidRPr="00A045F0" w:rsidRDefault="00A045F0" w:rsidP="00A045F0">
            <w:pPr>
              <w:spacing w:after="0" w:line="240" w:lineRule="auto"/>
              <w:jc w:val="center"/>
              <w:rPr>
                <w:rFonts w:ascii="Calibri Light" w:eastAsia="Times New Roman" w:hAnsi="Calibri Light" w:cs="Calibri Light"/>
                <w:b/>
                <w:bCs/>
              </w:rPr>
            </w:pPr>
            <w:r w:rsidRPr="00A045F0">
              <w:rPr>
                <w:rFonts w:ascii="Calibri Light" w:eastAsia="Times New Roman" w:hAnsi="Calibri Light" w:cs="Calibri Light"/>
                <w:b/>
                <w:bCs/>
              </w:rPr>
              <w:t>Total Growth Permits</w:t>
            </w:r>
          </w:p>
        </w:tc>
        <w:tc>
          <w:tcPr>
            <w:tcW w:w="1155" w:type="dxa"/>
          </w:tcPr>
          <w:p w:rsidR="00A045F0" w:rsidRPr="00A045F0" w:rsidRDefault="00A045F0" w:rsidP="00A045F0">
            <w:pPr>
              <w:spacing w:after="0" w:line="240" w:lineRule="auto"/>
              <w:jc w:val="center"/>
              <w:rPr>
                <w:rFonts w:ascii="Calibri Light" w:eastAsia="Times New Roman" w:hAnsi="Calibri Light" w:cs="Calibri Light"/>
                <w:b/>
                <w:bCs/>
              </w:rPr>
            </w:pPr>
            <w:r w:rsidRPr="00A045F0">
              <w:rPr>
                <w:rFonts w:ascii="Calibri Light" w:eastAsia="Times New Roman" w:hAnsi="Calibri Light" w:cs="Calibri Light"/>
                <w:b/>
                <w:bCs/>
              </w:rPr>
              <w:t xml:space="preserve">Total </w:t>
            </w:r>
          </w:p>
          <w:p w:rsidR="00A045F0" w:rsidRPr="00A045F0" w:rsidRDefault="00A045F0" w:rsidP="00A045F0">
            <w:pPr>
              <w:spacing w:after="0" w:line="240" w:lineRule="auto"/>
              <w:jc w:val="center"/>
              <w:rPr>
                <w:rFonts w:ascii="Calibri Light" w:eastAsia="Times New Roman" w:hAnsi="Calibri Light" w:cs="Calibri Light"/>
                <w:b/>
                <w:bCs/>
              </w:rPr>
            </w:pPr>
            <w:r w:rsidRPr="00A045F0">
              <w:rPr>
                <w:rFonts w:ascii="Calibri Light" w:eastAsia="Times New Roman" w:hAnsi="Calibri Light" w:cs="Calibri Light"/>
                <w:b/>
                <w:bCs/>
              </w:rPr>
              <w:t>Permits</w:t>
            </w:r>
          </w:p>
          <w:p w:rsidR="00A045F0" w:rsidRPr="00A045F0" w:rsidRDefault="00A045F0" w:rsidP="00A045F0">
            <w:pPr>
              <w:spacing w:after="0" w:line="240" w:lineRule="auto"/>
              <w:jc w:val="center"/>
              <w:rPr>
                <w:rFonts w:ascii="Calibri Light" w:eastAsia="Times New Roman" w:hAnsi="Calibri Light" w:cs="Calibri Light"/>
                <w:b/>
                <w:bCs/>
              </w:rPr>
            </w:pPr>
            <w:r w:rsidRPr="00A045F0">
              <w:rPr>
                <w:rFonts w:ascii="Calibri Light" w:eastAsia="Times New Roman" w:hAnsi="Calibri Light" w:cs="Calibri Light"/>
                <w:b/>
                <w:bCs/>
              </w:rPr>
              <w:t>Issued</w:t>
            </w:r>
          </w:p>
        </w:tc>
      </w:tr>
      <w:tr w:rsidR="00A045F0" w:rsidRPr="00A045F0" w:rsidTr="005F3791">
        <w:trPr>
          <w:trHeight w:val="275"/>
        </w:trPr>
        <w:tc>
          <w:tcPr>
            <w:tcW w:w="1559" w:type="dxa"/>
            <w:shd w:val="clear" w:color="auto" w:fill="auto"/>
            <w:noWrap/>
          </w:tcPr>
          <w:p w:rsidR="00A045F0" w:rsidRPr="00E72B55" w:rsidRDefault="005F3791" w:rsidP="00A045F0">
            <w:pPr>
              <w:spacing w:after="0" w:line="240" w:lineRule="auto"/>
              <w:jc w:val="right"/>
              <w:rPr>
                <w:rFonts w:ascii="Calibri Light" w:eastAsia="Times New Roman" w:hAnsi="Calibri Light" w:cs="Calibri Light"/>
                <w:b/>
              </w:rPr>
            </w:pPr>
            <w:r w:rsidRPr="00E72B55">
              <w:rPr>
                <w:rFonts w:ascii="Calibri Light" w:eastAsia="Times New Roman" w:hAnsi="Calibri Light" w:cs="Calibri Light"/>
                <w:b/>
              </w:rPr>
              <w:t xml:space="preserve">2010-19 </w:t>
            </w:r>
            <w:r w:rsidR="00A045F0" w:rsidRPr="00E72B55">
              <w:rPr>
                <w:rFonts w:ascii="Calibri Light" w:eastAsia="Times New Roman" w:hAnsi="Calibri Light" w:cs="Calibri Light"/>
                <w:b/>
              </w:rPr>
              <w:t>Totals</w:t>
            </w:r>
          </w:p>
        </w:tc>
        <w:tc>
          <w:tcPr>
            <w:tcW w:w="1293" w:type="dxa"/>
            <w:shd w:val="clear" w:color="auto" w:fill="auto"/>
            <w:noWrap/>
          </w:tcPr>
          <w:p w:rsidR="00A045F0" w:rsidRPr="00A045F0" w:rsidRDefault="00A045F0" w:rsidP="00A045F0">
            <w:pPr>
              <w:spacing w:after="0" w:line="240" w:lineRule="auto"/>
              <w:jc w:val="right"/>
              <w:rPr>
                <w:rFonts w:ascii="Calibri Light" w:eastAsia="Times New Roman" w:hAnsi="Calibri Light" w:cs="Calibri Light"/>
              </w:rPr>
            </w:pPr>
            <w:r w:rsidRPr="00A045F0">
              <w:rPr>
                <w:rFonts w:ascii="Calibri Light" w:eastAsia="Times New Roman" w:hAnsi="Calibri Light" w:cs="Calibri Light"/>
              </w:rPr>
              <w:t>827</w:t>
            </w:r>
          </w:p>
        </w:tc>
        <w:tc>
          <w:tcPr>
            <w:tcW w:w="1032" w:type="dxa"/>
            <w:shd w:val="clear" w:color="auto" w:fill="auto"/>
            <w:noWrap/>
          </w:tcPr>
          <w:p w:rsidR="00A045F0" w:rsidRPr="00A045F0" w:rsidRDefault="00A045F0" w:rsidP="00A045F0">
            <w:pPr>
              <w:spacing w:after="0" w:line="240" w:lineRule="auto"/>
              <w:jc w:val="right"/>
              <w:rPr>
                <w:rFonts w:ascii="Calibri Light" w:eastAsia="Times New Roman" w:hAnsi="Calibri Light" w:cs="Calibri Light"/>
              </w:rPr>
            </w:pPr>
            <w:r w:rsidRPr="00A045F0">
              <w:rPr>
                <w:rFonts w:ascii="Calibri Light" w:eastAsia="Times New Roman" w:hAnsi="Calibri Light" w:cs="Calibri Light"/>
              </w:rPr>
              <w:t>66</w:t>
            </w:r>
          </w:p>
        </w:tc>
        <w:tc>
          <w:tcPr>
            <w:tcW w:w="1240" w:type="dxa"/>
            <w:shd w:val="clear" w:color="auto" w:fill="auto"/>
            <w:noWrap/>
          </w:tcPr>
          <w:p w:rsidR="00A045F0" w:rsidRPr="00A045F0" w:rsidRDefault="00A045F0" w:rsidP="00A045F0">
            <w:pPr>
              <w:spacing w:after="0" w:line="240" w:lineRule="auto"/>
              <w:jc w:val="right"/>
              <w:rPr>
                <w:rFonts w:ascii="Calibri Light" w:eastAsia="Times New Roman" w:hAnsi="Calibri Light" w:cs="Calibri Light"/>
              </w:rPr>
            </w:pPr>
            <w:r w:rsidRPr="00A045F0">
              <w:rPr>
                <w:rFonts w:ascii="Calibri Light" w:eastAsia="Times New Roman" w:hAnsi="Calibri Light" w:cs="Calibri Light"/>
              </w:rPr>
              <w:t>660.5</w:t>
            </w:r>
          </w:p>
        </w:tc>
        <w:tc>
          <w:tcPr>
            <w:tcW w:w="1259" w:type="dxa"/>
          </w:tcPr>
          <w:p w:rsidR="00A045F0" w:rsidRPr="00A045F0" w:rsidRDefault="00A045F0" w:rsidP="00A045F0">
            <w:pPr>
              <w:spacing w:after="0" w:line="240" w:lineRule="auto"/>
              <w:jc w:val="right"/>
              <w:rPr>
                <w:rFonts w:ascii="Calibri Light" w:eastAsia="Times New Roman" w:hAnsi="Calibri Light" w:cs="Calibri Light"/>
              </w:rPr>
            </w:pPr>
            <w:r w:rsidRPr="00A045F0">
              <w:rPr>
                <w:rFonts w:ascii="Calibri Light" w:eastAsia="Times New Roman" w:hAnsi="Calibri Light" w:cs="Calibri Light"/>
              </w:rPr>
              <w:t>35</w:t>
            </w:r>
          </w:p>
        </w:tc>
        <w:tc>
          <w:tcPr>
            <w:tcW w:w="1011" w:type="dxa"/>
            <w:shd w:val="clear" w:color="auto" w:fill="auto"/>
            <w:noWrap/>
          </w:tcPr>
          <w:p w:rsidR="00A045F0" w:rsidRPr="00A045F0" w:rsidRDefault="00A045F0" w:rsidP="00A045F0">
            <w:pPr>
              <w:spacing w:after="0" w:line="240" w:lineRule="auto"/>
              <w:jc w:val="right"/>
              <w:rPr>
                <w:rFonts w:ascii="Calibri Light" w:eastAsia="Times New Roman" w:hAnsi="Calibri Light" w:cs="Calibri Light"/>
              </w:rPr>
            </w:pPr>
            <w:r w:rsidRPr="00A045F0">
              <w:rPr>
                <w:rFonts w:ascii="Calibri Light" w:eastAsia="Times New Roman" w:hAnsi="Calibri Light" w:cs="Calibri Light"/>
              </w:rPr>
              <w:t>1567.5</w:t>
            </w:r>
          </w:p>
        </w:tc>
        <w:tc>
          <w:tcPr>
            <w:tcW w:w="1179" w:type="dxa"/>
          </w:tcPr>
          <w:p w:rsidR="00A045F0" w:rsidRPr="00A045F0" w:rsidRDefault="00A045F0" w:rsidP="00A045F0">
            <w:pPr>
              <w:spacing w:after="0" w:line="240" w:lineRule="auto"/>
              <w:jc w:val="right"/>
              <w:rPr>
                <w:rFonts w:ascii="Calibri Light" w:eastAsia="Times New Roman" w:hAnsi="Calibri Light" w:cs="Calibri Light"/>
              </w:rPr>
            </w:pPr>
            <w:r w:rsidRPr="00A045F0">
              <w:rPr>
                <w:rFonts w:ascii="Calibri Light" w:eastAsia="Times New Roman" w:hAnsi="Calibri Light" w:cs="Calibri Light"/>
              </w:rPr>
              <w:t>1180.65</w:t>
            </w:r>
          </w:p>
        </w:tc>
        <w:tc>
          <w:tcPr>
            <w:tcW w:w="1155" w:type="dxa"/>
          </w:tcPr>
          <w:p w:rsidR="00A045F0" w:rsidRPr="00A045F0" w:rsidRDefault="00A045F0" w:rsidP="00A045F0">
            <w:pPr>
              <w:spacing w:after="0" w:line="240" w:lineRule="auto"/>
              <w:jc w:val="right"/>
              <w:rPr>
                <w:rFonts w:ascii="Calibri Light" w:eastAsia="Times New Roman" w:hAnsi="Calibri Light" w:cs="Calibri Light"/>
              </w:rPr>
            </w:pPr>
            <w:r w:rsidRPr="00A045F0">
              <w:rPr>
                <w:rFonts w:ascii="Calibri Light" w:eastAsia="Times New Roman" w:hAnsi="Calibri Light" w:cs="Calibri Light"/>
              </w:rPr>
              <w:t>1311.65</w:t>
            </w:r>
          </w:p>
        </w:tc>
      </w:tr>
      <w:tr w:rsidR="00A045F0" w:rsidRPr="00A045F0" w:rsidTr="005F3791">
        <w:trPr>
          <w:trHeight w:val="275"/>
        </w:trPr>
        <w:tc>
          <w:tcPr>
            <w:tcW w:w="1559" w:type="dxa"/>
            <w:shd w:val="clear" w:color="auto" w:fill="auto"/>
            <w:noWrap/>
          </w:tcPr>
          <w:p w:rsidR="00A045F0" w:rsidRPr="00415DB2" w:rsidRDefault="00A045F0" w:rsidP="00A045F0">
            <w:pPr>
              <w:spacing w:after="0" w:line="240" w:lineRule="auto"/>
              <w:jc w:val="right"/>
              <w:rPr>
                <w:rFonts w:ascii="Calibri Light" w:eastAsia="Times New Roman" w:hAnsi="Calibri Light" w:cs="Calibri Light"/>
                <w:b/>
              </w:rPr>
            </w:pPr>
            <w:r w:rsidRPr="00415DB2">
              <w:rPr>
                <w:rFonts w:ascii="Calibri Light" w:eastAsia="Times New Roman" w:hAnsi="Calibri Light" w:cs="Calibri Light"/>
                <w:b/>
              </w:rPr>
              <w:t>10 Year Averages</w:t>
            </w:r>
          </w:p>
        </w:tc>
        <w:tc>
          <w:tcPr>
            <w:tcW w:w="1293" w:type="dxa"/>
            <w:shd w:val="clear" w:color="auto" w:fill="auto"/>
            <w:noWrap/>
          </w:tcPr>
          <w:p w:rsidR="00A045F0" w:rsidRPr="00415DB2" w:rsidRDefault="00A045F0" w:rsidP="00A045F0">
            <w:pPr>
              <w:spacing w:after="0" w:line="240" w:lineRule="auto"/>
              <w:jc w:val="right"/>
              <w:rPr>
                <w:rFonts w:ascii="Calibri Light" w:eastAsia="Times New Roman" w:hAnsi="Calibri Light" w:cs="Calibri Light"/>
                <w:b/>
              </w:rPr>
            </w:pPr>
            <w:r w:rsidRPr="00415DB2">
              <w:rPr>
                <w:rFonts w:ascii="Calibri Light" w:eastAsia="Times New Roman" w:hAnsi="Calibri Light" w:cs="Calibri Light"/>
                <w:b/>
              </w:rPr>
              <w:t>82.7</w:t>
            </w:r>
          </w:p>
        </w:tc>
        <w:tc>
          <w:tcPr>
            <w:tcW w:w="1032" w:type="dxa"/>
            <w:shd w:val="clear" w:color="auto" w:fill="auto"/>
            <w:noWrap/>
          </w:tcPr>
          <w:p w:rsidR="00A045F0" w:rsidRPr="00415DB2" w:rsidRDefault="00A045F0" w:rsidP="00A045F0">
            <w:pPr>
              <w:spacing w:after="0" w:line="240" w:lineRule="auto"/>
              <w:jc w:val="right"/>
              <w:rPr>
                <w:rFonts w:ascii="Calibri Light" w:eastAsia="Times New Roman" w:hAnsi="Calibri Light" w:cs="Calibri Light"/>
                <w:b/>
              </w:rPr>
            </w:pPr>
            <w:r w:rsidRPr="00415DB2">
              <w:rPr>
                <w:rFonts w:ascii="Calibri Light" w:eastAsia="Times New Roman" w:hAnsi="Calibri Light" w:cs="Calibri Light"/>
                <w:b/>
              </w:rPr>
              <w:t>6.6</w:t>
            </w:r>
          </w:p>
        </w:tc>
        <w:tc>
          <w:tcPr>
            <w:tcW w:w="1240" w:type="dxa"/>
            <w:shd w:val="clear" w:color="auto" w:fill="auto"/>
            <w:noWrap/>
          </w:tcPr>
          <w:p w:rsidR="00A045F0" w:rsidRPr="00415DB2" w:rsidRDefault="00A045F0" w:rsidP="00A045F0">
            <w:pPr>
              <w:spacing w:after="0" w:line="240" w:lineRule="auto"/>
              <w:jc w:val="right"/>
              <w:rPr>
                <w:rFonts w:ascii="Calibri Light" w:eastAsia="Times New Roman" w:hAnsi="Calibri Light" w:cs="Calibri Light"/>
                <w:b/>
              </w:rPr>
            </w:pPr>
            <w:r w:rsidRPr="00415DB2">
              <w:rPr>
                <w:rFonts w:ascii="Calibri Light" w:eastAsia="Times New Roman" w:hAnsi="Calibri Light" w:cs="Calibri Light"/>
                <w:b/>
              </w:rPr>
              <w:t>66.05</w:t>
            </w:r>
          </w:p>
        </w:tc>
        <w:tc>
          <w:tcPr>
            <w:tcW w:w="1259" w:type="dxa"/>
          </w:tcPr>
          <w:p w:rsidR="00A045F0" w:rsidRPr="00415DB2" w:rsidRDefault="00A045F0" w:rsidP="00A045F0">
            <w:pPr>
              <w:spacing w:after="0" w:line="240" w:lineRule="auto"/>
              <w:jc w:val="right"/>
              <w:rPr>
                <w:rFonts w:ascii="Calibri Light" w:eastAsia="Times New Roman" w:hAnsi="Calibri Light" w:cs="Calibri Light"/>
                <w:b/>
              </w:rPr>
            </w:pPr>
            <w:r w:rsidRPr="00415DB2">
              <w:rPr>
                <w:rFonts w:ascii="Calibri Light" w:eastAsia="Times New Roman" w:hAnsi="Calibri Light" w:cs="Calibri Light"/>
                <w:b/>
              </w:rPr>
              <w:t>3.5</w:t>
            </w:r>
          </w:p>
        </w:tc>
        <w:tc>
          <w:tcPr>
            <w:tcW w:w="1011" w:type="dxa"/>
            <w:shd w:val="clear" w:color="auto" w:fill="auto"/>
            <w:noWrap/>
          </w:tcPr>
          <w:p w:rsidR="00A045F0" w:rsidRPr="00415DB2" w:rsidRDefault="00A045F0" w:rsidP="00A045F0">
            <w:pPr>
              <w:spacing w:after="0" w:line="240" w:lineRule="auto"/>
              <w:jc w:val="right"/>
              <w:rPr>
                <w:rFonts w:ascii="Calibri Light" w:eastAsia="Times New Roman" w:hAnsi="Calibri Light" w:cs="Calibri Light"/>
                <w:b/>
              </w:rPr>
            </w:pPr>
            <w:r w:rsidRPr="00415DB2">
              <w:rPr>
                <w:rFonts w:ascii="Calibri Light" w:eastAsia="Times New Roman" w:hAnsi="Calibri Light" w:cs="Calibri Light"/>
                <w:b/>
              </w:rPr>
              <w:t>156.75</w:t>
            </w:r>
          </w:p>
        </w:tc>
        <w:tc>
          <w:tcPr>
            <w:tcW w:w="1179" w:type="dxa"/>
          </w:tcPr>
          <w:p w:rsidR="00A045F0" w:rsidRPr="00415DB2" w:rsidRDefault="00A045F0" w:rsidP="00A045F0">
            <w:pPr>
              <w:spacing w:after="0" w:line="240" w:lineRule="auto"/>
              <w:jc w:val="right"/>
              <w:rPr>
                <w:rFonts w:ascii="Calibri Light" w:eastAsia="Times New Roman" w:hAnsi="Calibri Light" w:cs="Calibri Light"/>
                <w:b/>
              </w:rPr>
            </w:pPr>
            <w:r w:rsidRPr="00415DB2">
              <w:rPr>
                <w:rFonts w:ascii="Calibri Light" w:eastAsia="Times New Roman" w:hAnsi="Calibri Light" w:cs="Calibri Light"/>
                <w:b/>
              </w:rPr>
              <w:t>118.07</w:t>
            </w:r>
          </w:p>
        </w:tc>
        <w:tc>
          <w:tcPr>
            <w:tcW w:w="1155" w:type="dxa"/>
          </w:tcPr>
          <w:p w:rsidR="00A045F0" w:rsidRPr="00415DB2" w:rsidRDefault="00A045F0" w:rsidP="00A045F0">
            <w:pPr>
              <w:spacing w:after="0" w:line="240" w:lineRule="auto"/>
              <w:jc w:val="right"/>
              <w:rPr>
                <w:rFonts w:ascii="Calibri Light" w:eastAsia="Times New Roman" w:hAnsi="Calibri Light" w:cs="Calibri Light"/>
                <w:b/>
              </w:rPr>
            </w:pPr>
            <w:r w:rsidRPr="00415DB2">
              <w:rPr>
                <w:rFonts w:ascii="Calibri Light" w:eastAsia="Times New Roman" w:hAnsi="Calibri Light" w:cs="Calibri Light"/>
                <w:b/>
              </w:rPr>
              <w:t>131.17</w:t>
            </w:r>
          </w:p>
        </w:tc>
      </w:tr>
      <w:tr w:rsidR="005F3791" w:rsidRPr="00A045F0" w:rsidTr="005F3791">
        <w:trPr>
          <w:trHeight w:val="275"/>
        </w:trPr>
        <w:tc>
          <w:tcPr>
            <w:tcW w:w="1559" w:type="dxa"/>
            <w:shd w:val="clear" w:color="auto" w:fill="auto"/>
            <w:noWrap/>
          </w:tcPr>
          <w:p w:rsidR="005F3791" w:rsidRDefault="005F3791" w:rsidP="00A045F0">
            <w:pPr>
              <w:spacing w:after="0" w:line="240" w:lineRule="auto"/>
              <w:jc w:val="right"/>
              <w:rPr>
                <w:rFonts w:ascii="Calibri Light" w:eastAsia="Times New Roman" w:hAnsi="Calibri Light" w:cs="Calibri Light"/>
              </w:rPr>
            </w:pPr>
          </w:p>
        </w:tc>
        <w:tc>
          <w:tcPr>
            <w:tcW w:w="1293" w:type="dxa"/>
            <w:shd w:val="clear" w:color="auto" w:fill="auto"/>
            <w:noWrap/>
          </w:tcPr>
          <w:p w:rsidR="005F3791" w:rsidRDefault="005F3791" w:rsidP="00A045F0">
            <w:pPr>
              <w:spacing w:after="0" w:line="240" w:lineRule="auto"/>
              <w:jc w:val="right"/>
              <w:rPr>
                <w:rFonts w:ascii="Calibri Light" w:eastAsia="Times New Roman" w:hAnsi="Calibri Light" w:cs="Calibri Light"/>
              </w:rPr>
            </w:pPr>
          </w:p>
        </w:tc>
        <w:tc>
          <w:tcPr>
            <w:tcW w:w="1032" w:type="dxa"/>
            <w:shd w:val="clear" w:color="auto" w:fill="auto"/>
            <w:noWrap/>
          </w:tcPr>
          <w:p w:rsidR="005F3791" w:rsidRPr="00A045F0" w:rsidRDefault="005F3791" w:rsidP="00A045F0">
            <w:pPr>
              <w:spacing w:after="0" w:line="240" w:lineRule="auto"/>
              <w:jc w:val="right"/>
              <w:rPr>
                <w:rFonts w:ascii="Calibri Light" w:eastAsia="Times New Roman" w:hAnsi="Calibri Light" w:cs="Calibri Light"/>
              </w:rPr>
            </w:pPr>
          </w:p>
        </w:tc>
        <w:tc>
          <w:tcPr>
            <w:tcW w:w="1240" w:type="dxa"/>
            <w:shd w:val="clear" w:color="auto" w:fill="auto"/>
            <w:noWrap/>
          </w:tcPr>
          <w:p w:rsidR="005F3791" w:rsidRPr="00A045F0" w:rsidRDefault="005F3791" w:rsidP="00A045F0">
            <w:pPr>
              <w:spacing w:after="0" w:line="240" w:lineRule="auto"/>
              <w:jc w:val="right"/>
              <w:rPr>
                <w:rFonts w:ascii="Calibri Light" w:eastAsia="Times New Roman" w:hAnsi="Calibri Light" w:cs="Calibri Light"/>
              </w:rPr>
            </w:pPr>
          </w:p>
        </w:tc>
        <w:tc>
          <w:tcPr>
            <w:tcW w:w="1259" w:type="dxa"/>
          </w:tcPr>
          <w:p w:rsidR="005F3791" w:rsidRPr="00A045F0" w:rsidRDefault="005F3791" w:rsidP="00A045F0">
            <w:pPr>
              <w:spacing w:after="0" w:line="240" w:lineRule="auto"/>
              <w:jc w:val="right"/>
              <w:rPr>
                <w:rFonts w:ascii="Calibri Light" w:eastAsia="Times New Roman" w:hAnsi="Calibri Light" w:cs="Calibri Light"/>
              </w:rPr>
            </w:pPr>
          </w:p>
        </w:tc>
        <w:tc>
          <w:tcPr>
            <w:tcW w:w="1011" w:type="dxa"/>
            <w:shd w:val="clear" w:color="auto" w:fill="auto"/>
            <w:noWrap/>
          </w:tcPr>
          <w:p w:rsidR="005F3791" w:rsidRDefault="005F3791" w:rsidP="00A045F0">
            <w:pPr>
              <w:spacing w:after="0" w:line="240" w:lineRule="auto"/>
              <w:jc w:val="right"/>
              <w:rPr>
                <w:rFonts w:ascii="Calibri Light" w:eastAsia="Times New Roman" w:hAnsi="Calibri Light" w:cs="Calibri Light"/>
              </w:rPr>
            </w:pPr>
          </w:p>
        </w:tc>
        <w:tc>
          <w:tcPr>
            <w:tcW w:w="1179" w:type="dxa"/>
          </w:tcPr>
          <w:p w:rsidR="005F3791" w:rsidRDefault="005F3791" w:rsidP="00A045F0">
            <w:pPr>
              <w:spacing w:after="0" w:line="240" w:lineRule="auto"/>
              <w:jc w:val="right"/>
              <w:rPr>
                <w:rFonts w:ascii="Calibri Light" w:eastAsia="Times New Roman" w:hAnsi="Calibri Light" w:cs="Calibri Light"/>
              </w:rPr>
            </w:pPr>
          </w:p>
        </w:tc>
        <w:tc>
          <w:tcPr>
            <w:tcW w:w="1155" w:type="dxa"/>
          </w:tcPr>
          <w:p w:rsidR="005F3791" w:rsidRDefault="005F3791" w:rsidP="00A045F0">
            <w:pPr>
              <w:spacing w:after="0" w:line="240" w:lineRule="auto"/>
              <w:jc w:val="right"/>
              <w:rPr>
                <w:rFonts w:ascii="Calibri Light" w:eastAsia="Times New Roman" w:hAnsi="Calibri Light" w:cs="Calibri Light"/>
              </w:rPr>
            </w:pPr>
          </w:p>
        </w:tc>
      </w:tr>
      <w:tr w:rsidR="00A045F0" w:rsidRPr="00A045F0" w:rsidTr="005F3791">
        <w:trPr>
          <w:trHeight w:val="275"/>
        </w:trPr>
        <w:tc>
          <w:tcPr>
            <w:tcW w:w="1559" w:type="dxa"/>
            <w:shd w:val="clear" w:color="auto" w:fill="auto"/>
            <w:noWrap/>
          </w:tcPr>
          <w:p w:rsidR="00A045F0" w:rsidRPr="00A045F0" w:rsidRDefault="00A045F0" w:rsidP="00A045F0">
            <w:pPr>
              <w:spacing w:after="0" w:line="240" w:lineRule="auto"/>
              <w:jc w:val="right"/>
              <w:rPr>
                <w:rFonts w:ascii="Calibri Light" w:eastAsia="Times New Roman" w:hAnsi="Calibri Light" w:cs="Calibri Light"/>
              </w:rPr>
            </w:pPr>
            <w:r>
              <w:rPr>
                <w:rFonts w:ascii="Calibri Light" w:eastAsia="Times New Roman" w:hAnsi="Calibri Light" w:cs="Calibri Light"/>
              </w:rPr>
              <w:t>Hillcrest</w:t>
            </w:r>
          </w:p>
        </w:tc>
        <w:tc>
          <w:tcPr>
            <w:tcW w:w="1293" w:type="dxa"/>
            <w:shd w:val="clear" w:color="auto" w:fill="auto"/>
            <w:noWrap/>
          </w:tcPr>
          <w:p w:rsidR="00A045F0" w:rsidRPr="00A045F0" w:rsidRDefault="00A045F0" w:rsidP="00A045F0">
            <w:pPr>
              <w:spacing w:after="0" w:line="240" w:lineRule="auto"/>
              <w:jc w:val="right"/>
              <w:rPr>
                <w:rFonts w:ascii="Calibri Light" w:eastAsia="Times New Roman" w:hAnsi="Calibri Light" w:cs="Calibri Light"/>
              </w:rPr>
            </w:pPr>
            <w:r>
              <w:rPr>
                <w:rFonts w:ascii="Calibri Light" w:eastAsia="Times New Roman" w:hAnsi="Calibri Light" w:cs="Calibri Light"/>
              </w:rPr>
              <w:t>13</w:t>
            </w:r>
            <w:r w:rsidR="00EE7A41">
              <w:rPr>
                <w:rFonts w:ascii="Calibri Light" w:eastAsia="Times New Roman" w:hAnsi="Calibri Light" w:cs="Calibri Light"/>
              </w:rPr>
              <w:t>1</w:t>
            </w:r>
          </w:p>
        </w:tc>
        <w:tc>
          <w:tcPr>
            <w:tcW w:w="1032" w:type="dxa"/>
            <w:shd w:val="clear" w:color="auto" w:fill="auto"/>
            <w:noWrap/>
          </w:tcPr>
          <w:p w:rsidR="00A045F0" w:rsidRPr="00A045F0" w:rsidRDefault="00A045F0" w:rsidP="00A045F0">
            <w:pPr>
              <w:spacing w:after="0" w:line="240" w:lineRule="auto"/>
              <w:jc w:val="right"/>
              <w:rPr>
                <w:rFonts w:ascii="Calibri Light" w:eastAsia="Times New Roman" w:hAnsi="Calibri Light" w:cs="Calibri Light"/>
              </w:rPr>
            </w:pPr>
          </w:p>
        </w:tc>
        <w:tc>
          <w:tcPr>
            <w:tcW w:w="1240" w:type="dxa"/>
            <w:shd w:val="clear" w:color="auto" w:fill="auto"/>
            <w:noWrap/>
          </w:tcPr>
          <w:p w:rsidR="00A045F0" w:rsidRPr="00A045F0" w:rsidRDefault="00A045F0" w:rsidP="00A045F0">
            <w:pPr>
              <w:spacing w:after="0" w:line="240" w:lineRule="auto"/>
              <w:jc w:val="right"/>
              <w:rPr>
                <w:rFonts w:ascii="Calibri Light" w:eastAsia="Times New Roman" w:hAnsi="Calibri Light" w:cs="Calibri Light"/>
              </w:rPr>
            </w:pPr>
          </w:p>
        </w:tc>
        <w:tc>
          <w:tcPr>
            <w:tcW w:w="1259" w:type="dxa"/>
          </w:tcPr>
          <w:p w:rsidR="00A045F0" w:rsidRPr="00A045F0" w:rsidRDefault="00A045F0" w:rsidP="00A045F0">
            <w:pPr>
              <w:spacing w:after="0" w:line="240" w:lineRule="auto"/>
              <w:jc w:val="right"/>
              <w:rPr>
                <w:rFonts w:ascii="Calibri Light" w:eastAsia="Times New Roman" w:hAnsi="Calibri Light" w:cs="Calibri Light"/>
              </w:rPr>
            </w:pPr>
          </w:p>
        </w:tc>
        <w:tc>
          <w:tcPr>
            <w:tcW w:w="1011" w:type="dxa"/>
            <w:shd w:val="clear" w:color="auto" w:fill="auto"/>
            <w:noWrap/>
          </w:tcPr>
          <w:p w:rsidR="00A045F0" w:rsidRPr="00A045F0" w:rsidRDefault="00A045F0" w:rsidP="00A045F0">
            <w:pPr>
              <w:spacing w:after="0" w:line="240" w:lineRule="auto"/>
              <w:jc w:val="right"/>
              <w:rPr>
                <w:rFonts w:ascii="Calibri Light" w:eastAsia="Times New Roman" w:hAnsi="Calibri Light" w:cs="Calibri Light"/>
              </w:rPr>
            </w:pPr>
            <w:r>
              <w:rPr>
                <w:rFonts w:ascii="Calibri Light" w:eastAsia="Times New Roman" w:hAnsi="Calibri Light" w:cs="Calibri Light"/>
              </w:rPr>
              <w:t>13</w:t>
            </w:r>
            <w:r w:rsidR="00EE7A41">
              <w:rPr>
                <w:rFonts w:ascii="Calibri Light" w:eastAsia="Times New Roman" w:hAnsi="Calibri Light" w:cs="Calibri Light"/>
              </w:rPr>
              <w:t>1</w:t>
            </w:r>
          </w:p>
        </w:tc>
        <w:tc>
          <w:tcPr>
            <w:tcW w:w="1179" w:type="dxa"/>
          </w:tcPr>
          <w:p w:rsidR="00A045F0" w:rsidRPr="00A045F0" w:rsidRDefault="00A045F0" w:rsidP="00A045F0">
            <w:pPr>
              <w:spacing w:after="0" w:line="240" w:lineRule="auto"/>
              <w:jc w:val="right"/>
              <w:rPr>
                <w:rFonts w:ascii="Calibri Light" w:eastAsia="Times New Roman" w:hAnsi="Calibri Light" w:cs="Calibri Light"/>
              </w:rPr>
            </w:pPr>
            <w:r>
              <w:rPr>
                <w:rFonts w:ascii="Calibri Light" w:eastAsia="Times New Roman" w:hAnsi="Calibri Light" w:cs="Calibri Light"/>
              </w:rPr>
              <w:t>0</w:t>
            </w:r>
          </w:p>
        </w:tc>
        <w:tc>
          <w:tcPr>
            <w:tcW w:w="1155" w:type="dxa"/>
          </w:tcPr>
          <w:p w:rsidR="00A045F0" w:rsidRPr="00A045F0" w:rsidRDefault="00A045F0" w:rsidP="00A045F0">
            <w:pPr>
              <w:spacing w:after="0" w:line="240" w:lineRule="auto"/>
              <w:jc w:val="right"/>
              <w:rPr>
                <w:rFonts w:ascii="Calibri Light" w:eastAsia="Times New Roman" w:hAnsi="Calibri Light" w:cs="Calibri Light"/>
              </w:rPr>
            </w:pPr>
            <w:r>
              <w:rPr>
                <w:rFonts w:ascii="Calibri Light" w:eastAsia="Times New Roman" w:hAnsi="Calibri Light" w:cs="Calibri Light"/>
              </w:rPr>
              <w:t>13</w:t>
            </w:r>
            <w:r w:rsidR="00EE7A41">
              <w:rPr>
                <w:rFonts w:ascii="Calibri Light" w:eastAsia="Times New Roman" w:hAnsi="Calibri Light" w:cs="Calibri Light"/>
              </w:rPr>
              <w:t>1</w:t>
            </w:r>
          </w:p>
        </w:tc>
      </w:tr>
      <w:tr w:rsidR="00A045F0" w:rsidRPr="00A045F0" w:rsidTr="005F3791">
        <w:trPr>
          <w:trHeight w:val="275"/>
        </w:trPr>
        <w:tc>
          <w:tcPr>
            <w:tcW w:w="1559" w:type="dxa"/>
            <w:shd w:val="clear" w:color="auto" w:fill="auto"/>
            <w:noWrap/>
          </w:tcPr>
          <w:p w:rsidR="00A045F0" w:rsidRPr="00A045F0" w:rsidRDefault="00A045F0" w:rsidP="00A045F0">
            <w:pPr>
              <w:spacing w:after="0" w:line="240" w:lineRule="auto"/>
              <w:jc w:val="right"/>
              <w:rPr>
                <w:rFonts w:ascii="Calibri Light" w:eastAsia="Times New Roman" w:hAnsi="Calibri Light" w:cs="Calibri Light"/>
              </w:rPr>
            </w:pPr>
            <w:r>
              <w:rPr>
                <w:rFonts w:ascii="Calibri Light" w:eastAsia="Times New Roman" w:hAnsi="Calibri Light" w:cs="Calibri Light"/>
              </w:rPr>
              <w:t>Contract Zones 2010-19</w:t>
            </w:r>
          </w:p>
        </w:tc>
        <w:tc>
          <w:tcPr>
            <w:tcW w:w="1293" w:type="dxa"/>
            <w:shd w:val="clear" w:color="auto" w:fill="auto"/>
            <w:noWrap/>
          </w:tcPr>
          <w:p w:rsidR="00A045F0" w:rsidRPr="00A045F0" w:rsidRDefault="00A045F0" w:rsidP="00A045F0">
            <w:pPr>
              <w:spacing w:after="0" w:line="240" w:lineRule="auto"/>
              <w:jc w:val="right"/>
              <w:rPr>
                <w:rFonts w:ascii="Calibri Light" w:eastAsia="Times New Roman" w:hAnsi="Calibri Light" w:cs="Calibri Light"/>
              </w:rPr>
            </w:pPr>
          </w:p>
        </w:tc>
        <w:tc>
          <w:tcPr>
            <w:tcW w:w="1032" w:type="dxa"/>
            <w:shd w:val="clear" w:color="auto" w:fill="auto"/>
            <w:noWrap/>
          </w:tcPr>
          <w:p w:rsidR="00A045F0" w:rsidRPr="00A045F0" w:rsidRDefault="00A045F0" w:rsidP="00A045F0">
            <w:pPr>
              <w:spacing w:after="0" w:line="240" w:lineRule="auto"/>
              <w:jc w:val="right"/>
              <w:rPr>
                <w:rFonts w:ascii="Calibri Light" w:eastAsia="Times New Roman" w:hAnsi="Calibri Light" w:cs="Calibri Light"/>
              </w:rPr>
            </w:pPr>
          </w:p>
        </w:tc>
        <w:tc>
          <w:tcPr>
            <w:tcW w:w="1240" w:type="dxa"/>
            <w:shd w:val="clear" w:color="auto" w:fill="auto"/>
            <w:noWrap/>
          </w:tcPr>
          <w:p w:rsidR="00A045F0" w:rsidRPr="00A045F0" w:rsidRDefault="00E15F40" w:rsidP="00A045F0">
            <w:pPr>
              <w:spacing w:after="0" w:line="240" w:lineRule="auto"/>
              <w:jc w:val="right"/>
              <w:rPr>
                <w:rFonts w:ascii="Calibri Light" w:eastAsia="Times New Roman" w:hAnsi="Calibri Light" w:cs="Calibri Light"/>
              </w:rPr>
            </w:pPr>
            <w:r>
              <w:rPr>
                <w:rFonts w:ascii="Calibri Light" w:eastAsia="Times New Roman" w:hAnsi="Calibri Light" w:cs="Calibri Light"/>
              </w:rPr>
              <w:t>326</w:t>
            </w:r>
          </w:p>
        </w:tc>
        <w:tc>
          <w:tcPr>
            <w:tcW w:w="1259" w:type="dxa"/>
          </w:tcPr>
          <w:p w:rsidR="00A045F0" w:rsidRPr="00A045F0" w:rsidRDefault="00A045F0" w:rsidP="00A045F0">
            <w:pPr>
              <w:spacing w:after="0" w:line="240" w:lineRule="auto"/>
              <w:jc w:val="right"/>
              <w:rPr>
                <w:rFonts w:ascii="Calibri Light" w:eastAsia="Times New Roman" w:hAnsi="Calibri Light" w:cs="Calibri Light"/>
              </w:rPr>
            </w:pPr>
          </w:p>
        </w:tc>
        <w:tc>
          <w:tcPr>
            <w:tcW w:w="1011" w:type="dxa"/>
            <w:shd w:val="clear" w:color="auto" w:fill="auto"/>
            <w:noWrap/>
          </w:tcPr>
          <w:p w:rsidR="00A045F0" w:rsidRPr="00A045F0" w:rsidRDefault="00E15F40" w:rsidP="00A045F0">
            <w:pPr>
              <w:spacing w:after="0" w:line="240" w:lineRule="auto"/>
              <w:jc w:val="right"/>
              <w:rPr>
                <w:rFonts w:ascii="Calibri Light" w:eastAsia="Times New Roman" w:hAnsi="Calibri Light" w:cs="Calibri Light"/>
              </w:rPr>
            </w:pPr>
            <w:r>
              <w:rPr>
                <w:rFonts w:ascii="Calibri Light" w:eastAsia="Times New Roman" w:hAnsi="Calibri Light" w:cs="Calibri Light"/>
              </w:rPr>
              <w:t>326</w:t>
            </w:r>
          </w:p>
        </w:tc>
        <w:tc>
          <w:tcPr>
            <w:tcW w:w="1179" w:type="dxa"/>
          </w:tcPr>
          <w:p w:rsidR="00A045F0" w:rsidRPr="00A045F0" w:rsidRDefault="005F3791" w:rsidP="00A045F0">
            <w:pPr>
              <w:spacing w:after="0" w:line="240" w:lineRule="auto"/>
              <w:jc w:val="right"/>
              <w:rPr>
                <w:rFonts w:ascii="Calibri Light" w:eastAsia="Times New Roman" w:hAnsi="Calibri Light" w:cs="Calibri Light"/>
              </w:rPr>
            </w:pPr>
            <w:r>
              <w:rPr>
                <w:rFonts w:ascii="Calibri Light" w:eastAsia="Times New Roman" w:hAnsi="Calibri Light" w:cs="Calibri Light"/>
              </w:rPr>
              <w:t>207</w:t>
            </w:r>
          </w:p>
        </w:tc>
        <w:tc>
          <w:tcPr>
            <w:tcW w:w="1155" w:type="dxa"/>
          </w:tcPr>
          <w:p w:rsidR="00A045F0" w:rsidRPr="00A045F0" w:rsidRDefault="005F3791" w:rsidP="00A045F0">
            <w:pPr>
              <w:spacing w:after="0" w:line="240" w:lineRule="auto"/>
              <w:jc w:val="right"/>
              <w:rPr>
                <w:rFonts w:ascii="Calibri Light" w:eastAsia="Times New Roman" w:hAnsi="Calibri Light" w:cs="Calibri Light"/>
              </w:rPr>
            </w:pPr>
            <w:r>
              <w:rPr>
                <w:rFonts w:ascii="Calibri Light" w:eastAsia="Times New Roman" w:hAnsi="Calibri Light" w:cs="Calibri Light"/>
              </w:rPr>
              <w:t>207</w:t>
            </w:r>
          </w:p>
        </w:tc>
      </w:tr>
      <w:tr w:rsidR="005F3791" w:rsidRPr="00A045F0" w:rsidTr="005F3791">
        <w:trPr>
          <w:trHeight w:val="275"/>
        </w:trPr>
        <w:tc>
          <w:tcPr>
            <w:tcW w:w="1559" w:type="dxa"/>
            <w:shd w:val="clear" w:color="auto" w:fill="auto"/>
            <w:noWrap/>
          </w:tcPr>
          <w:p w:rsidR="005F3791" w:rsidRPr="005F3791" w:rsidRDefault="005F3791" w:rsidP="00A045F0">
            <w:pPr>
              <w:spacing w:after="0" w:line="240" w:lineRule="auto"/>
              <w:jc w:val="right"/>
              <w:rPr>
                <w:rFonts w:ascii="Calibri Light" w:eastAsia="Times New Roman" w:hAnsi="Calibri Light" w:cs="Calibri Light"/>
                <w:b/>
              </w:rPr>
            </w:pPr>
            <w:r w:rsidRPr="005F3791">
              <w:rPr>
                <w:rFonts w:ascii="Calibri Light" w:eastAsia="Times New Roman" w:hAnsi="Calibri Light" w:cs="Calibri Light"/>
                <w:b/>
              </w:rPr>
              <w:t>Total minus Hillcrest &amp; CZ</w:t>
            </w:r>
          </w:p>
        </w:tc>
        <w:tc>
          <w:tcPr>
            <w:tcW w:w="1293" w:type="dxa"/>
            <w:shd w:val="clear" w:color="auto" w:fill="auto"/>
            <w:noWrap/>
          </w:tcPr>
          <w:p w:rsidR="005F3791" w:rsidRPr="00415DB2" w:rsidRDefault="005F3791" w:rsidP="00A045F0">
            <w:pPr>
              <w:spacing w:after="0" w:line="240" w:lineRule="auto"/>
              <w:jc w:val="right"/>
              <w:rPr>
                <w:rFonts w:ascii="Calibri Light" w:eastAsia="Times New Roman" w:hAnsi="Calibri Light" w:cs="Calibri Light"/>
              </w:rPr>
            </w:pPr>
            <w:r w:rsidRPr="00415DB2">
              <w:rPr>
                <w:rFonts w:ascii="Calibri Light" w:eastAsia="Times New Roman" w:hAnsi="Calibri Light" w:cs="Calibri Light"/>
              </w:rPr>
              <w:t>695</w:t>
            </w:r>
          </w:p>
        </w:tc>
        <w:tc>
          <w:tcPr>
            <w:tcW w:w="1032" w:type="dxa"/>
            <w:shd w:val="clear" w:color="auto" w:fill="auto"/>
            <w:noWrap/>
          </w:tcPr>
          <w:p w:rsidR="005F3791" w:rsidRPr="00415DB2" w:rsidRDefault="005F3791" w:rsidP="00A045F0">
            <w:pPr>
              <w:spacing w:after="0" w:line="240" w:lineRule="auto"/>
              <w:jc w:val="right"/>
              <w:rPr>
                <w:rFonts w:ascii="Calibri Light" w:eastAsia="Times New Roman" w:hAnsi="Calibri Light" w:cs="Calibri Light"/>
              </w:rPr>
            </w:pPr>
          </w:p>
        </w:tc>
        <w:tc>
          <w:tcPr>
            <w:tcW w:w="1240" w:type="dxa"/>
            <w:shd w:val="clear" w:color="auto" w:fill="auto"/>
            <w:noWrap/>
          </w:tcPr>
          <w:p w:rsidR="005F3791" w:rsidRPr="00415DB2" w:rsidRDefault="005F3791" w:rsidP="00A045F0">
            <w:pPr>
              <w:spacing w:after="0" w:line="240" w:lineRule="auto"/>
              <w:jc w:val="right"/>
              <w:rPr>
                <w:rFonts w:ascii="Calibri Light" w:eastAsia="Times New Roman" w:hAnsi="Calibri Light" w:cs="Calibri Light"/>
              </w:rPr>
            </w:pPr>
            <w:r w:rsidRPr="00415DB2">
              <w:rPr>
                <w:rFonts w:ascii="Calibri Light" w:eastAsia="Times New Roman" w:hAnsi="Calibri Light" w:cs="Calibri Light"/>
              </w:rPr>
              <w:t>334.5</w:t>
            </w:r>
          </w:p>
        </w:tc>
        <w:tc>
          <w:tcPr>
            <w:tcW w:w="1259" w:type="dxa"/>
          </w:tcPr>
          <w:p w:rsidR="005F3791" w:rsidRPr="00415DB2" w:rsidRDefault="005F3791" w:rsidP="00A045F0">
            <w:pPr>
              <w:spacing w:after="0" w:line="240" w:lineRule="auto"/>
              <w:jc w:val="right"/>
              <w:rPr>
                <w:rFonts w:ascii="Calibri Light" w:eastAsia="Times New Roman" w:hAnsi="Calibri Light" w:cs="Calibri Light"/>
              </w:rPr>
            </w:pPr>
          </w:p>
        </w:tc>
        <w:tc>
          <w:tcPr>
            <w:tcW w:w="1011" w:type="dxa"/>
            <w:shd w:val="clear" w:color="auto" w:fill="auto"/>
            <w:noWrap/>
          </w:tcPr>
          <w:p w:rsidR="005F3791" w:rsidRPr="00415DB2" w:rsidRDefault="005F3791" w:rsidP="00A045F0">
            <w:pPr>
              <w:spacing w:after="0" w:line="240" w:lineRule="auto"/>
              <w:jc w:val="right"/>
              <w:rPr>
                <w:rFonts w:ascii="Calibri Light" w:eastAsia="Times New Roman" w:hAnsi="Calibri Light" w:cs="Calibri Light"/>
              </w:rPr>
            </w:pPr>
            <w:r w:rsidRPr="00415DB2">
              <w:rPr>
                <w:rFonts w:ascii="Calibri Light" w:eastAsia="Times New Roman" w:hAnsi="Calibri Light" w:cs="Calibri Light"/>
              </w:rPr>
              <w:t>1109.5</w:t>
            </w:r>
          </w:p>
        </w:tc>
        <w:tc>
          <w:tcPr>
            <w:tcW w:w="1179" w:type="dxa"/>
          </w:tcPr>
          <w:p w:rsidR="005F3791" w:rsidRPr="00415DB2" w:rsidRDefault="005F3791" w:rsidP="00A045F0">
            <w:pPr>
              <w:spacing w:after="0" w:line="240" w:lineRule="auto"/>
              <w:jc w:val="right"/>
              <w:rPr>
                <w:rFonts w:ascii="Calibri Light" w:eastAsia="Times New Roman" w:hAnsi="Calibri Light" w:cs="Calibri Light"/>
              </w:rPr>
            </w:pPr>
            <w:r w:rsidRPr="00415DB2">
              <w:rPr>
                <w:rFonts w:ascii="Calibri Light" w:eastAsia="Times New Roman" w:hAnsi="Calibri Light" w:cs="Calibri Light"/>
              </w:rPr>
              <w:t>973.65</w:t>
            </w:r>
          </w:p>
        </w:tc>
        <w:tc>
          <w:tcPr>
            <w:tcW w:w="1155" w:type="dxa"/>
          </w:tcPr>
          <w:p w:rsidR="005F3791" w:rsidRPr="00415DB2" w:rsidRDefault="005F3791" w:rsidP="00A045F0">
            <w:pPr>
              <w:spacing w:after="0" w:line="240" w:lineRule="auto"/>
              <w:jc w:val="right"/>
              <w:rPr>
                <w:rFonts w:ascii="Calibri Light" w:eastAsia="Times New Roman" w:hAnsi="Calibri Light" w:cs="Calibri Light"/>
              </w:rPr>
            </w:pPr>
            <w:r w:rsidRPr="00415DB2">
              <w:rPr>
                <w:rFonts w:ascii="Calibri Light" w:eastAsia="Times New Roman" w:hAnsi="Calibri Light" w:cs="Calibri Light"/>
              </w:rPr>
              <w:t>97</w:t>
            </w:r>
            <w:r w:rsidR="00EE7A41" w:rsidRPr="00415DB2">
              <w:rPr>
                <w:rFonts w:ascii="Calibri Light" w:eastAsia="Times New Roman" w:hAnsi="Calibri Light" w:cs="Calibri Light"/>
              </w:rPr>
              <w:t>3</w:t>
            </w:r>
            <w:r w:rsidRPr="00415DB2">
              <w:rPr>
                <w:rFonts w:ascii="Calibri Light" w:eastAsia="Times New Roman" w:hAnsi="Calibri Light" w:cs="Calibri Light"/>
              </w:rPr>
              <w:t>.65</w:t>
            </w:r>
          </w:p>
        </w:tc>
      </w:tr>
      <w:tr w:rsidR="005F3791" w:rsidRPr="00A045F0" w:rsidTr="005F3791">
        <w:trPr>
          <w:trHeight w:val="275"/>
        </w:trPr>
        <w:tc>
          <w:tcPr>
            <w:tcW w:w="1559" w:type="dxa"/>
            <w:shd w:val="clear" w:color="auto" w:fill="auto"/>
            <w:noWrap/>
          </w:tcPr>
          <w:p w:rsidR="005F3791" w:rsidRPr="00415DB2" w:rsidRDefault="005F3791" w:rsidP="00A045F0">
            <w:pPr>
              <w:spacing w:after="0" w:line="240" w:lineRule="auto"/>
              <w:jc w:val="right"/>
              <w:rPr>
                <w:rFonts w:ascii="Calibri Light" w:eastAsia="Times New Roman" w:hAnsi="Calibri Light" w:cs="Calibri Light"/>
                <w:b/>
              </w:rPr>
            </w:pPr>
            <w:r w:rsidRPr="00415DB2">
              <w:rPr>
                <w:rFonts w:ascii="Calibri Light" w:eastAsia="Times New Roman" w:hAnsi="Calibri Light" w:cs="Calibri Light"/>
                <w:b/>
              </w:rPr>
              <w:t>10 Year Averages</w:t>
            </w:r>
          </w:p>
        </w:tc>
        <w:tc>
          <w:tcPr>
            <w:tcW w:w="1293" w:type="dxa"/>
            <w:shd w:val="clear" w:color="auto" w:fill="auto"/>
            <w:noWrap/>
          </w:tcPr>
          <w:p w:rsidR="005F3791" w:rsidRPr="00415DB2" w:rsidRDefault="005F3791" w:rsidP="00A045F0">
            <w:pPr>
              <w:spacing w:after="0" w:line="240" w:lineRule="auto"/>
              <w:jc w:val="right"/>
              <w:rPr>
                <w:rFonts w:ascii="Calibri Light" w:eastAsia="Times New Roman" w:hAnsi="Calibri Light" w:cs="Calibri Light"/>
                <w:b/>
              </w:rPr>
            </w:pPr>
          </w:p>
        </w:tc>
        <w:tc>
          <w:tcPr>
            <w:tcW w:w="1032" w:type="dxa"/>
            <w:shd w:val="clear" w:color="auto" w:fill="auto"/>
            <w:noWrap/>
          </w:tcPr>
          <w:p w:rsidR="005F3791" w:rsidRPr="00415DB2" w:rsidRDefault="005F3791" w:rsidP="00A045F0">
            <w:pPr>
              <w:spacing w:after="0" w:line="240" w:lineRule="auto"/>
              <w:jc w:val="right"/>
              <w:rPr>
                <w:rFonts w:ascii="Calibri Light" w:eastAsia="Times New Roman" w:hAnsi="Calibri Light" w:cs="Calibri Light"/>
                <w:b/>
              </w:rPr>
            </w:pPr>
          </w:p>
        </w:tc>
        <w:tc>
          <w:tcPr>
            <w:tcW w:w="1240" w:type="dxa"/>
            <w:shd w:val="clear" w:color="auto" w:fill="auto"/>
            <w:noWrap/>
          </w:tcPr>
          <w:p w:rsidR="005F3791" w:rsidRPr="00415DB2" w:rsidRDefault="005F3791" w:rsidP="00A045F0">
            <w:pPr>
              <w:spacing w:after="0" w:line="240" w:lineRule="auto"/>
              <w:jc w:val="right"/>
              <w:rPr>
                <w:rFonts w:ascii="Calibri Light" w:eastAsia="Times New Roman" w:hAnsi="Calibri Light" w:cs="Calibri Light"/>
                <w:b/>
              </w:rPr>
            </w:pPr>
          </w:p>
        </w:tc>
        <w:tc>
          <w:tcPr>
            <w:tcW w:w="1259" w:type="dxa"/>
          </w:tcPr>
          <w:p w:rsidR="005F3791" w:rsidRPr="00415DB2" w:rsidRDefault="005F3791" w:rsidP="00A045F0">
            <w:pPr>
              <w:spacing w:after="0" w:line="240" w:lineRule="auto"/>
              <w:jc w:val="right"/>
              <w:rPr>
                <w:rFonts w:ascii="Calibri Light" w:eastAsia="Times New Roman" w:hAnsi="Calibri Light" w:cs="Calibri Light"/>
                <w:b/>
              </w:rPr>
            </w:pPr>
          </w:p>
        </w:tc>
        <w:tc>
          <w:tcPr>
            <w:tcW w:w="1011" w:type="dxa"/>
            <w:shd w:val="clear" w:color="auto" w:fill="auto"/>
            <w:noWrap/>
          </w:tcPr>
          <w:p w:rsidR="005F3791" w:rsidRPr="00415DB2" w:rsidRDefault="005F3791" w:rsidP="00A045F0">
            <w:pPr>
              <w:spacing w:after="0" w:line="240" w:lineRule="auto"/>
              <w:jc w:val="right"/>
              <w:rPr>
                <w:rFonts w:ascii="Calibri Light" w:eastAsia="Times New Roman" w:hAnsi="Calibri Light" w:cs="Calibri Light"/>
                <w:b/>
              </w:rPr>
            </w:pPr>
            <w:r w:rsidRPr="00415DB2">
              <w:rPr>
                <w:rFonts w:ascii="Calibri Light" w:eastAsia="Times New Roman" w:hAnsi="Calibri Light" w:cs="Calibri Light"/>
                <w:b/>
              </w:rPr>
              <w:t>110.95</w:t>
            </w:r>
          </w:p>
        </w:tc>
        <w:tc>
          <w:tcPr>
            <w:tcW w:w="1179" w:type="dxa"/>
          </w:tcPr>
          <w:p w:rsidR="005F3791" w:rsidRPr="00415DB2" w:rsidRDefault="005F3791" w:rsidP="00A045F0">
            <w:pPr>
              <w:spacing w:after="0" w:line="240" w:lineRule="auto"/>
              <w:jc w:val="right"/>
              <w:rPr>
                <w:rFonts w:ascii="Calibri Light" w:eastAsia="Times New Roman" w:hAnsi="Calibri Light" w:cs="Calibri Light"/>
                <w:b/>
              </w:rPr>
            </w:pPr>
            <w:r w:rsidRPr="00415DB2">
              <w:rPr>
                <w:rFonts w:ascii="Calibri Light" w:eastAsia="Times New Roman" w:hAnsi="Calibri Light" w:cs="Calibri Light"/>
                <w:b/>
              </w:rPr>
              <w:t>97.36</w:t>
            </w:r>
          </w:p>
        </w:tc>
        <w:tc>
          <w:tcPr>
            <w:tcW w:w="1155" w:type="dxa"/>
          </w:tcPr>
          <w:p w:rsidR="005F3791" w:rsidRPr="00415DB2" w:rsidRDefault="005F3791" w:rsidP="00A045F0">
            <w:pPr>
              <w:spacing w:after="0" w:line="240" w:lineRule="auto"/>
              <w:jc w:val="right"/>
              <w:rPr>
                <w:rFonts w:ascii="Calibri Light" w:eastAsia="Times New Roman" w:hAnsi="Calibri Light" w:cs="Calibri Light"/>
                <w:b/>
              </w:rPr>
            </w:pPr>
            <w:r w:rsidRPr="00415DB2">
              <w:rPr>
                <w:rFonts w:ascii="Calibri Light" w:eastAsia="Times New Roman" w:hAnsi="Calibri Light" w:cs="Calibri Light"/>
                <w:b/>
              </w:rPr>
              <w:t>97.</w:t>
            </w:r>
            <w:r w:rsidR="00EE7A41" w:rsidRPr="00415DB2">
              <w:rPr>
                <w:rFonts w:ascii="Calibri Light" w:eastAsia="Times New Roman" w:hAnsi="Calibri Light" w:cs="Calibri Light"/>
                <w:b/>
              </w:rPr>
              <w:t>3</w:t>
            </w:r>
            <w:r w:rsidRPr="00415DB2">
              <w:rPr>
                <w:rFonts w:ascii="Calibri Light" w:eastAsia="Times New Roman" w:hAnsi="Calibri Light" w:cs="Calibri Light"/>
                <w:b/>
              </w:rPr>
              <w:t>6</w:t>
            </w:r>
          </w:p>
        </w:tc>
      </w:tr>
      <w:tr w:rsidR="005F3791" w:rsidRPr="00A045F0" w:rsidTr="005F3791">
        <w:trPr>
          <w:trHeight w:val="275"/>
        </w:trPr>
        <w:tc>
          <w:tcPr>
            <w:tcW w:w="1559" w:type="dxa"/>
            <w:shd w:val="clear" w:color="auto" w:fill="auto"/>
            <w:noWrap/>
          </w:tcPr>
          <w:p w:rsidR="005F3791" w:rsidRDefault="005F3791" w:rsidP="00A045F0">
            <w:pPr>
              <w:spacing w:after="0" w:line="240" w:lineRule="auto"/>
              <w:jc w:val="right"/>
              <w:rPr>
                <w:rFonts w:ascii="Calibri Light" w:eastAsia="Times New Roman" w:hAnsi="Calibri Light" w:cs="Calibri Light"/>
              </w:rPr>
            </w:pPr>
          </w:p>
        </w:tc>
        <w:tc>
          <w:tcPr>
            <w:tcW w:w="1293" w:type="dxa"/>
            <w:shd w:val="clear" w:color="auto" w:fill="auto"/>
            <w:noWrap/>
          </w:tcPr>
          <w:p w:rsidR="005F3791" w:rsidRPr="00A045F0" w:rsidRDefault="005F3791" w:rsidP="00A045F0">
            <w:pPr>
              <w:spacing w:after="0" w:line="240" w:lineRule="auto"/>
              <w:jc w:val="right"/>
              <w:rPr>
                <w:rFonts w:ascii="Calibri Light" w:eastAsia="Times New Roman" w:hAnsi="Calibri Light" w:cs="Calibri Light"/>
              </w:rPr>
            </w:pPr>
          </w:p>
        </w:tc>
        <w:tc>
          <w:tcPr>
            <w:tcW w:w="1032" w:type="dxa"/>
            <w:shd w:val="clear" w:color="auto" w:fill="auto"/>
            <w:noWrap/>
          </w:tcPr>
          <w:p w:rsidR="005F3791" w:rsidRPr="00A045F0" w:rsidRDefault="005F3791" w:rsidP="00A045F0">
            <w:pPr>
              <w:spacing w:after="0" w:line="240" w:lineRule="auto"/>
              <w:jc w:val="right"/>
              <w:rPr>
                <w:rFonts w:ascii="Calibri Light" w:eastAsia="Times New Roman" w:hAnsi="Calibri Light" w:cs="Calibri Light"/>
              </w:rPr>
            </w:pPr>
          </w:p>
        </w:tc>
        <w:tc>
          <w:tcPr>
            <w:tcW w:w="1240" w:type="dxa"/>
            <w:shd w:val="clear" w:color="auto" w:fill="auto"/>
            <w:noWrap/>
          </w:tcPr>
          <w:p w:rsidR="005F3791" w:rsidRDefault="005F3791" w:rsidP="00A045F0">
            <w:pPr>
              <w:spacing w:after="0" w:line="240" w:lineRule="auto"/>
              <w:jc w:val="right"/>
              <w:rPr>
                <w:rFonts w:ascii="Calibri Light" w:eastAsia="Times New Roman" w:hAnsi="Calibri Light" w:cs="Calibri Light"/>
              </w:rPr>
            </w:pPr>
          </w:p>
        </w:tc>
        <w:tc>
          <w:tcPr>
            <w:tcW w:w="1259" w:type="dxa"/>
          </w:tcPr>
          <w:p w:rsidR="005F3791" w:rsidRDefault="005F3791" w:rsidP="00A045F0">
            <w:pPr>
              <w:spacing w:after="0" w:line="240" w:lineRule="auto"/>
              <w:jc w:val="right"/>
              <w:rPr>
                <w:rFonts w:ascii="Calibri Light" w:eastAsia="Times New Roman" w:hAnsi="Calibri Light" w:cs="Calibri Light"/>
              </w:rPr>
            </w:pPr>
          </w:p>
        </w:tc>
        <w:tc>
          <w:tcPr>
            <w:tcW w:w="1011" w:type="dxa"/>
            <w:shd w:val="clear" w:color="auto" w:fill="auto"/>
            <w:noWrap/>
          </w:tcPr>
          <w:p w:rsidR="005F3791" w:rsidRDefault="005F3791" w:rsidP="00A045F0">
            <w:pPr>
              <w:spacing w:after="0" w:line="240" w:lineRule="auto"/>
              <w:jc w:val="right"/>
              <w:rPr>
                <w:rFonts w:ascii="Calibri Light" w:eastAsia="Times New Roman" w:hAnsi="Calibri Light" w:cs="Calibri Light"/>
              </w:rPr>
            </w:pPr>
          </w:p>
        </w:tc>
        <w:tc>
          <w:tcPr>
            <w:tcW w:w="1179" w:type="dxa"/>
          </w:tcPr>
          <w:p w:rsidR="005F3791" w:rsidRDefault="005F3791" w:rsidP="00A045F0">
            <w:pPr>
              <w:spacing w:after="0" w:line="240" w:lineRule="auto"/>
              <w:jc w:val="right"/>
              <w:rPr>
                <w:rFonts w:ascii="Calibri Light" w:eastAsia="Times New Roman" w:hAnsi="Calibri Light" w:cs="Calibri Light"/>
              </w:rPr>
            </w:pPr>
          </w:p>
        </w:tc>
        <w:tc>
          <w:tcPr>
            <w:tcW w:w="1155" w:type="dxa"/>
          </w:tcPr>
          <w:p w:rsidR="005F3791" w:rsidRDefault="005F3791" w:rsidP="00A045F0">
            <w:pPr>
              <w:spacing w:after="0" w:line="240" w:lineRule="auto"/>
              <w:jc w:val="right"/>
              <w:rPr>
                <w:rFonts w:ascii="Calibri Light" w:eastAsia="Times New Roman" w:hAnsi="Calibri Light" w:cs="Calibri Light"/>
              </w:rPr>
            </w:pPr>
          </w:p>
        </w:tc>
      </w:tr>
    </w:tbl>
    <w:p w:rsidR="00F86123" w:rsidRDefault="00F86123" w:rsidP="00986822"/>
    <w:p w:rsidR="00CC7B0C" w:rsidRPr="00D701D3" w:rsidRDefault="00CC7B0C" w:rsidP="00E85BC9">
      <w:pPr>
        <w:pStyle w:val="ListParagraph"/>
        <w:numPr>
          <w:ilvl w:val="0"/>
          <w:numId w:val="1"/>
        </w:numPr>
        <w:rPr>
          <w:i/>
        </w:rPr>
      </w:pPr>
      <w:r w:rsidRPr="00D701D3">
        <w:rPr>
          <w:i/>
        </w:rPr>
        <w:t>Which developers do you think should be invited to a workshop discussion regarding Growth and potential changes to the process?</w:t>
      </w:r>
    </w:p>
    <w:p w:rsidR="00E85BC9" w:rsidRDefault="00415DB2" w:rsidP="00E85BC9">
      <w:r>
        <w:t>A community discussion about the pace of growth and amendment</w:t>
      </w:r>
      <w:r w:rsidR="001521B3">
        <w:t>s</w:t>
      </w:r>
      <w:r>
        <w:t xml:space="preserve"> to the GMO would benefit from input from many voices. With respect to developers that would like be interested</w:t>
      </w:r>
      <w:r w:rsidR="001521B3">
        <w:t>,</w:t>
      </w:r>
      <w:r>
        <w:t xml:space="preserve"> </w:t>
      </w:r>
      <w:r w:rsidR="00D701D3">
        <w:t xml:space="preserve">staff would </w:t>
      </w:r>
      <w:r w:rsidR="00E85BC9">
        <w:t xml:space="preserve">start by reaching out to the </w:t>
      </w:r>
      <w:proofErr w:type="spellStart"/>
      <w:r w:rsidR="00E85BC9">
        <w:t>Risbara</w:t>
      </w:r>
      <w:proofErr w:type="spellEnd"/>
      <w:r w:rsidR="00E85BC9">
        <w:t xml:space="preserve"> and Chamberlain families as I have heard they were very involved in the original </w:t>
      </w:r>
      <w:r w:rsidR="00D701D3">
        <w:t>deliberations</w:t>
      </w:r>
      <w:r w:rsidR="00E85BC9">
        <w:t xml:space="preserve"> of the </w:t>
      </w:r>
      <w:r w:rsidR="00D701D3">
        <w:t xml:space="preserve">Growth Management </w:t>
      </w:r>
      <w:r w:rsidR="00E85BC9">
        <w:t xml:space="preserve">Ordinance. </w:t>
      </w:r>
      <w:r w:rsidR="00D701D3">
        <w:t>Staff</w:t>
      </w:r>
      <w:r w:rsidR="00E85BC9">
        <w:t xml:space="preserve"> would suggest reaching out to other developers of all sizes, from Anderson</w:t>
      </w:r>
      <w:r>
        <w:t xml:space="preserve">, </w:t>
      </w:r>
      <w:proofErr w:type="spellStart"/>
      <w:r>
        <w:t>Frustaci</w:t>
      </w:r>
      <w:proofErr w:type="spellEnd"/>
      <w:r>
        <w:t>,</w:t>
      </w:r>
      <w:r w:rsidR="00E85BC9">
        <w:t xml:space="preserve"> and </w:t>
      </w:r>
      <w:proofErr w:type="spellStart"/>
      <w:r w:rsidR="00E85BC9">
        <w:t>Maiett</w:t>
      </w:r>
      <w:r>
        <w:t>a</w:t>
      </w:r>
      <w:proofErr w:type="spellEnd"/>
      <w:r w:rsidR="00D701D3">
        <w:t>,</w:t>
      </w:r>
      <w:r w:rsidR="00E85BC9">
        <w:t xml:space="preserve"> to those that get involved with individual projects such as O’Leary, </w:t>
      </w:r>
      <w:proofErr w:type="spellStart"/>
      <w:r w:rsidR="00E85BC9">
        <w:t>Wasina</w:t>
      </w:r>
      <w:proofErr w:type="spellEnd"/>
      <w:r w:rsidR="00E85BC9">
        <w:t xml:space="preserve">, Kerr, </w:t>
      </w:r>
      <w:proofErr w:type="spellStart"/>
      <w:r w:rsidR="00E85BC9">
        <w:t>M</w:t>
      </w:r>
      <w:r w:rsidR="00D701D3">
        <w:t>ezoian</w:t>
      </w:r>
      <w:proofErr w:type="spellEnd"/>
      <w:r w:rsidR="00D701D3">
        <w:t>, as well as individual home owners that have built outside of subdivision</w:t>
      </w:r>
      <w:r>
        <w:t>s</w:t>
      </w:r>
      <w:r w:rsidR="00D701D3">
        <w:t xml:space="preserve">. It may be beneficial to also bring in representatives from affordable housing developments such as </w:t>
      </w:r>
      <w:proofErr w:type="spellStart"/>
      <w:r w:rsidR="00D701D3">
        <w:t>Avesta</w:t>
      </w:r>
      <w:proofErr w:type="spellEnd"/>
      <w:r w:rsidR="00D701D3">
        <w:t xml:space="preserve">, South Portland Housing, Developers Collaborative and Burnham. </w:t>
      </w:r>
      <w:proofErr w:type="gramStart"/>
      <w:r w:rsidR="00D701D3">
        <w:t>Certainly</w:t>
      </w:r>
      <w:proofErr w:type="gramEnd"/>
      <w:r w:rsidR="00D701D3">
        <w:t xml:space="preserve"> this list </w:t>
      </w:r>
      <w:r w:rsidR="001521B3">
        <w:t>is not</w:t>
      </w:r>
      <w:r w:rsidR="00D701D3">
        <w:t xml:space="preserve"> all inclusive and staff would suggest opening the discussion to the public generally, but our department can be prepared to generate a more comprehensive list of those that have pulled permits over the past year or more.  </w:t>
      </w:r>
      <w:r w:rsidR="00E85BC9">
        <w:t xml:space="preserve"> </w:t>
      </w:r>
    </w:p>
    <w:p w:rsidR="00CC7B0C" w:rsidRPr="00D701D3" w:rsidRDefault="00CC7B0C" w:rsidP="00CC7B0C">
      <w:pPr>
        <w:rPr>
          <w:i/>
        </w:rPr>
      </w:pPr>
      <w:r w:rsidRPr="00D701D3">
        <w:rPr>
          <w:i/>
        </w:rPr>
        <w:t>Overall, this is what we plan to discuss as a Committee:</w:t>
      </w:r>
    </w:p>
    <w:p w:rsidR="00D701D3" w:rsidRPr="00D701D3" w:rsidRDefault="00CC7B0C" w:rsidP="00CC7B0C">
      <w:pPr>
        <w:rPr>
          <w:i/>
        </w:rPr>
      </w:pPr>
      <w:r w:rsidRPr="00D701D3">
        <w:rPr>
          <w:i/>
        </w:rPr>
        <w:t>a. Eliminate practice of fractionalization of permits. Evaluate risks and benefits.</w:t>
      </w:r>
    </w:p>
    <w:p w:rsidR="00D701D3" w:rsidRPr="00D701D3" w:rsidRDefault="00D701D3" w:rsidP="00CC7B0C">
      <w:r w:rsidRPr="00D701D3">
        <w:t xml:space="preserve">This is any area that Ordinance Committee identified </w:t>
      </w:r>
      <w:r w:rsidR="001521B3">
        <w:t>the</w:t>
      </w:r>
      <w:r w:rsidR="00415DB2">
        <w:t xml:space="preserve"> </w:t>
      </w:r>
      <w:r w:rsidRPr="00D701D3">
        <w:t>need</w:t>
      </w:r>
      <w:r w:rsidR="001521B3">
        <w:t xml:space="preserve"> for</w:t>
      </w:r>
      <w:r w:rsidRPr="00D701D3">
        <w:t xml:space="preserve"> additional data and analysis</w:t>
      </w:r>
      <w:r w:rsidR="001521B3">
        <w:t xml:space="preserve"> during the August deliberation</w:t>
      </w:r>
      <w:r w:rsidRPr="00D701D3">
        <w:t xml:space="preserve">. Staff is working to provide the additional data by the end of the calendar year so that the GMO discussion can follow directly on the heels of the Comp Plan review by the Council without delay. </w:t>
      </w:r>
    </w:p>
    <w:p w:rsidR="00D701D3" w:rsidRPr="00D701D3" w:rsidRDefault="00D701D3" w:rsidP="00CC7B0C">
      <w:r w:rsidRPr="00D701D3">
        <w:lastRenderedPageBreak/>
        <w:t>Further details provided in the August 7, 2020 memo</w:t>
      </w:r>
      <w:r w:rsidR="00E72B55">
        <w:t xml:space="preserve"> as well as slide 6 </w:t>
      </w:r>
      <w:r w:rsidR="00E72B55">
        <w:t>on the accompanying PowerPoint</w:t>
      </w:r>
      <w:r w:rsidRPr="00D701D3">
        <w:t>.</w:t>
      </w:r>
    </w:p>
    <w:p w:rsidR="00CC7B0C" w:rsidRPr="00D701D3" w:rsidRDefault="00CC7B0C" w:rsidP="00CC7B0C">
      <w:pPr>
        <w:rPr>
          <w:i/>
        </w:rPr>
      </w:pPr>
      <w:r w:rsidRPr="00D701D3">
        <w:rPr>
          <w:i/>
        </w:rPr>
        <w:t xml:space="preserve">b. Adjust the annual number of </w:t>
      </w:r>
      <w:proofErr w:type="gramStart"/>
      <w:r w:rsidRPr="00D701D3">
        <w:rPr>
          <w:i/>
        </w:rPr>
        <w:t>growth</w:t>
      </w:r>
      <w:proofErr w:type="gramEnd"/>
      <w:r w:rsidRPr="00D701D3">
        <w:rPr>
          <w:i/>
        </w:rPr>
        <w:t xml:space="preserve"> permits to the state mandated levels of 5% over</w:t>
      </w:r>
      <w:r w:rsidR="00D701D3" w:rsidRPr="00D701D3">
        <w:rPr>
          <w:i/>
        </w:rPr>
        <w:t xml:space="preserve"> </w:t>
      </w:r>
      <w:r w:rsidRPr="00D701D3">
        <w:rPr>
          <w:i/>
        </w:rPr>
        <w:t>a rolling 10 year average.</w:t>
      </w:r>
    </w:p>
    <w:p w:rsidR="00D701D3" w:rsidRDefault="00D701D3" w:rsidP="00CC7B0C">
      <w:r>
        <w:t xml:space="preserve">Information related to the past 10 years, 2010-2019, is provided in the August 7, 2020 memo.  </w:t>
      </w:r>
    </w:p>
    <w:p w:rsidR="00CC7B0C" w:rsidRPr="00D701D3" w:rsidRDefault="00CC7B0C" w:rsidP="00CC7B0C">
      <w:pPr>
        <w:rPr>
          <w:i/>
        </w:rPr>
      </w:pPr>
      <w:r w:rsidRPr="00D701D3">
        <w:rPr>
          <w:i/>
        </w:rPr>
        <w:t>c. Reduce the reserve pool to 20 permits.</w:t>
      </w:r>
    </w:p>
    <w:p w:rsidR="00D701D3" w:rsidRPr="000F47A5" w:rsidRDefault="00D701D3" w:rsidP="00D701D3">
      <w:pPr>
        <w:rPr>
          <w:rFonts w:ascii="Calibri Light" w:eastAsia="Calibri" w:hAnsi="Calibri Light" w:cs="Calibri Light"/>
        </w:rPr>
      </w:pPr>
      <w:r>
        <w:t>As noted in August 7, 2020 memo,</w:t>
      </w:r>
      <w:r w:rsidRPr="00D701D3">
        <w:t xml:space="preserve"> the GMO, as written, provides the Council </w:t>
      </w:r>
      <w:r w:rsidR="00415DB2">
        <w:t xml:space="preserve">the </w:t>
      </w:r>
      <w:r w:rsidRPr="00D701D3">
        <w:t>authority to add permits to the reserve pool</w:t>
      </w:r>
      <w:r w:rsidR="00415DB2">
        <w:t xml:space="preserve">; </w:t>
      </w:r>
      <w:r w:rsidR="00070EDB">
        <w:t>however,</w:t>
      </w:r>
      <w:r w:rsidRPr="00D701D3">
        <w:t xml:space="preserve"> reductions to the reserve pool are accomplished only through the issuance of permits from the pool.</w:t>
      </w:r>
    </w:p>
    <w:p w:rsidR="00CC7B0C" w:rsidRPr="00D701D3" w:rsidRDefault="00CC7B0C" w:rsidP="00CC7B0C">
      <w:pPr>
        <w:rPr>
          <w:i/>
        </w:rPr>
      </w:pPr>
      <w:r w:rsidRPr="00D701D3">
        <w:rPr>
          <w:i/>
        </w:rPr>
        <w:t>d. Address the 20% distribution per developer.</w:t>
      </w:r>
    </w:p>
    <w:p w:rsidR="00D701D3" w:rsidRDefault="00D701D3" w:rsidP="00CC7B0C">
      <w:r>
        <w:t xml:space="preserve">The LRPC noted that while it is technically feasible for one ‘common scheme’ development to have enough phases that could use all the growth permits in one year this did not seem like a practical concern. As noted in the August 7, 2020 memo, after discussion the consensus was that the </w:t>
      </w:r>
      <w:r w:rsidR="00835FC0">
        <w:t>LRPC</w:t>
      </w:r>
      <w:r>
        <w:t xml:space="preserve"> did not have any issues with the town’s current provisions on this point.</w:t>
      </w:r>
    </w:p>
    <w:p w:rsidR="00CC7B0C" w:rsidRDefault="00CC7B0C" w:rsidP="00CC7B0C">
      <w:r>
        <w:t xml:space="preserve">e. </w:t>
      </w:r>
      <w:r w:rsidRPr="00225EDD">
        <w:rPr>
          <w:i/>
        </w:rPr>
        <w:t>Explain “one on one” permitting that is followed in some other Maine towns.</w:t>
      </w:r>
    </w:p>
    <w:p w:rsidR="00FE707D" w:rsidRDefault="00D701D3" w:rsidP="00CC7B0C">
      <w:r>
        <w:t xml:space="preserve">Staff assumes this is meant to read “one </w:t>
      </w:r>
      <w:r w:rsidRPr="00D701D3">
        <w:rPr>
          <w:u w:val="single"/>
        </w:rPr>
        <w:t>to</w:t>
      </w:r>
      <w:r>
        <w:t xml:space="preserve"> one” permitting</w:t>
      </w:r>
      <w:r w:rsidR="00153AFF">
        <w:t>, meaning one permit to one dwelling unit</w:t>
      </w:r>
      <w:r>
        <w:t>.</w:t>
      </w:r>
      <w:r w:rsidR="009E46E8">
        <w:t xml:space="preserve"> </w:t>
      </w:r>
      <w:r w:rsidR="00FE707D">
        <w:t>Staff has not conducted an exhaustive study,</w:t>
      </w:r>
      <w:r w:rsidR="00153AFF">
        <w:t xml:space="preserve"> but based on our conversations</w:t>
      </w:r>
      <w:r w:rsidR="00FE707D">
        <w:t xml:space="preserve"> we are not aware of other communities that utilizes fraction</w:t>
      </w:r>
      <w:r w:rsidR="001A6B63">
        <w:t>al</w:t>
      </w:r>
      <w:r w:rsidR="00FE707D">
        <w:t xml:space="preserve"> units as Scarborough does.</w:t>
      </w:r>
    </w:p>
    <w:p w:rsidR="00225EDD" w:rsidRDefault="00225EDD" w:rsidP="00225EDD">
      <w:r>
        <w:t>It should be noted that the idea of multiple units coming from a single growth permit pre-dates the current ‘fractional unit’ provision.  Prior to the 2008 amendments, the GMO had a complex system for allocating growth permits based</w:t>
      </w:r>
      <w:r w:rsidR="001A6B63">
        <w:t xml:space="preserve"> on</w:t>
      </w:r>
      <w:r>
        <w:t xml:space="preserve"> different types of housing; including a provision that stated up to 5 growth permits could be issued for multifamily developments, and that one </w:t>
      </w:r>
      <w:r w:rsidR="001521B3">
        <w:t xml:space="preserve">such </w:t>
      </w:r>
      <w:r>
        <w:t xml:space="preserve">growth permit could be used for up to 8 multifamily dwelling units (for a total of 40 multifamily units). Put in other terms, for the purposes of growth management up to 8 multifamily units equaled 1 single family unit.  </w:t>
      </w:r>
    </w:p>
    <w:p w:rsidR="00225EDD" w:rsidRDefault="00225EDD" w:rsidP="00225EDD">
      <w:r>
        <w:t xml:space="preserve">As requested </w:t>
      </w:r>
      <w:r w:rsidR="001521B3">
        <w:t xml:space="preserve">by the Ord. Committee, </w:t>
      </w:r>
      <w:bookmarkStart w:id="0" w:name="_GoBack"/>
      <w:bookmarkEnd w:id="0"/>
      <w:r>
        <w:t xml:space="preserve">staff has scanned and is providing two memos that aim to provide some </w:t>
      </w:r>
      <w:r w:rsidR="001A6B63">
        <w:t xml:space="preserve">historical </w:t>
      </w:r>
      <w:r>
        <w:t xml:space="preserve">context to the discussion. One is a 2006 working memo that starts to give shape to the variable density in the Zoning Ord., and the other is the 2008 memo that accompanied amendments to the GMO that established the ‘fractional </w:t>
      </w:r>
      <w:proofErr w:type="gramStart"/>
      <w:r>
        <w:t>units’</w:t>
      </w:r>
      <w:proofErr w:type="gramEnd"/>
      <w:r>
        <w:t xml:space="preserve">. </w:t>
      </w:r>
    </w:p>
    <w:p w:rsidR="00225EDD" w:rsidRDefault="00225EDD" w:rsidP="00225EDD">
      <w:r>
        <w:t>As identified in the provided memos, t</w:t>
      </w:r>
      <w:r w:rsidR="00CB2B7B">
        <w:t xml:space="preserve">he foundation for the </w:t>
      </w:r>
      <w:r w:rsidR="00FE707D">
        <w:t>2007 &amp; 2008 changes to the Zoning and Growth Management Ordinances</w:t>
      </w:r>
      <w:r w:rsidR="00CB2B7B">
        <w:t xml:space="preserve"> which enabled ‘fractional units’ are</w:t>
      </w:r>
      <w:r w:rsidR="009E46E8">
        <w:t xml:space="preserve"> </w:t>
      </w:r>
      <w:r w:rsidR="00090548">
        <w:t xml:space="preserve">derived from the 2006 Comprehensive Plan. </w:t>
      </w:r>
      <w:r w:rsidR="00153AFF">
        <w:t xml:space="preserve"> </w:t>
      </w:r>
    </w:p>
    <w:p w:rsidR="00E72B55" w:rsidRDefault="00E72B55" w:rsidP="00070EDB">
      <w:pPr>
        <w:pStyle w:val="NoSpacing"/>
      </w:pPr>
    </w:p>
    <w:p w:rsidR="00E72B55" w:rsidRDefault="00E72B55" w:rsidP="00070EDB">
      <w:pPr>
        <w:pStyle w:val="NoSpacing"/>
      </w:pPr>
    </w:p>
    <w:p w:rsidR="00E72B55" w:rsidRDefault="00E72B55" w:rsidP="00070EDB">
      <w:pPr>
        <w:pStyle w:val="NoSpacing"/>
      </w:pPr>
    </w:p>
    <w:p w:rsidR="00070EDB" w:rsidRDefault="00070EDB" w:rsidP="00070EDB">
      <w:pPr>
        <w:pStyle w:val="NoSpacing"/>
      </w:pPr>
      <w:r>
        <w:t>Attachments:</w:t>
      </w:r>
    </w:p>
    <w:p w:rsidR="00070EDB" w:rsidRDefault="00070EDB" w:rsidP="00070EDB">
      <w:pPr>
        <w:pStyle w:val="NoSpacing"/>
        <w:numPr>
          <w:ilvl w:val="0"/>
          <w:numId w:val="7"/>
        </w:numPr>
      </w:pPr>
      <w:r>
        <w:t>August 7, 2020 memo</w:t>
      </w:r>
    </w:p>
    <w:p w:rsidR="00D701D3" w:rsidRDefault="00070EDB" w:rsidP="00CC7B0C">
      <w:pPr>
        <w:pStyle w:val="NoSpacing"/>
        <w:numPr>
          <w:ilvl w:val="0"/>
          <w:numId w:val="7"/>
        </w:numPr>
      </w:pPr>
      <w:r>
        <w:t xml:space="preserve">Minutes from LRPC </w:t>
      </w:r>
      <w:r w:rsidR="00E72B55">
        <w:t xml:space="preserve">meetings of </w:t>
      </w:r>
      <w:r>
        <w:t>June</w:t>
      </w:r>
      <w:r w:rsidR="00E72B55">
        <w:t>,</w:t>
      </w:r>
      <w:r>
        <w:t xml:space="preserve"> July and August</w:t>
      </w:r>
    </w:p>
    <w:p w:rsidR="00070EDB" w:rsidRDefault="00070EDB" w:rsidP="00CC7B0C">
      <w:pPr>
        <w:pStyle w:val="NoSpacing"/>
        <w:numPr>
          <w:ilvl w:val="0"/>
          <w:numId w:val="7"/>
        </w:numPr>
      </w:pPr>
      <w:r>
        <w:t>2006 Memo related to Zoning Ordinance amendments</w:t>
      </w:r>
    </w:p>
    <w:p w:rsidR="00070EDB" w:rsidRDefault="00070EDB" w:rsidP="00CC7B0C">
      <w:pPr>
        <w:pStyle w:val="NoSpacing"/>
        <w:numPr>
          <w:ilvl w:val="0"/>
          <w:numId w:val="7"/>
        </w:numPr>
      </w:pPr>
      <w:r>
        <w:t>2008 Memo related to Growth Management Ordinance amendments</w:t>
      </w:r>
    </w:p>
    <w:p w:rsidR="00070EDB" w:rsidRDefault="00070EDB" w:rsidP="00CC7B0C">
      <w:pPr>
        <w:pStyle w:val="NoSpacing"/>
        <w:numPr>
          <w:ilvl w:val="0"/>
          <w:numId w:val="7"/>
        </w:numPr>
      </w:pPr>
      <w:r>
        <w:t>PowerPoint titled, “Ord Committee information Oct 2020”</w:t>
      </w:r>
      <w:r w:rsidR="00E72B55">
        <w:t xml:space="preserve"> (converted to pdf)</w:t>
      </w:r>
      <w:r>
        <w:t xml:space="preserve"> </w:t>
      </w:r>
    </w:p>
    <w:sectPr w:rsidR="00070EDB" w:rsidSect="00070ED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457" w:rsidRDefault="00F27457" w:rsidP="00070EDB">
      <w:pPr>
        <w:spacing w:after="0" w:line="240" w:lineRule="auto"/>
      </w:pPr>
      <w:r>
        <w:separator/>
      </w:r>
    </w:p>
  </w:endnote>
  <w:endnote w:type="continuationSeparator" w:id="0">
    <w:p w:rsidR="00F27457" w:rsidRDefault="00F27457" w:rsidP="0007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839531"/>
      <w:docPartObj>
        <w:docPartGallery w:val="Page Numbers (Bottom of Page)"/>
        <w:docPartUnique/>
      </w:docPartObj>
    </w:sdtPr>
    <w:sdtContent>
      <w:sdt>
        <w:sdtPr>
          <w:id w:val="1728636285"/>
          <w:docPartObj>
            <w:docPartGallery w:val="Page Numbers (Top of Page)"/>
            <w:docPartUnique/>
          </w:docPartObj>
        </w:sdtPr>
        <w:sdtContent>
          <w:p w:rsidR="00070EDB" w:rsidRDefault="00070ED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70EDB" w:rsidRDefault="00070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457" w:rsidRDefault="00F27457" w:rsidP="00070EDB">
      <w:pPr>
        <w:spacing w:after="0" w:line="240" w:lineRule="auto"/>
      </w:pPr>
      <w:r>
        <w:separator/>
      </w:r>
    </w:p>
  </w:footnote>
  <w:footnote w:type="continuationSeparator" w:id="0">
    <w:p w:rsidR="00F27457" w:rsidRDefault="00F27457" w:rsidP="00070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F125C"/>
    <w:multiLevelType w:val="hybridMultilevel"/>
    <w:tmpl w:val="E9BEB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542D8"/>
    <w:multiLevelType w:val="hybridMultilevel"/>
    <w:tmpl w:val="B38463DA"/>
    <w:lvl w:ilvl="0" w:tplc="7428A1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96002"/>
    <w:multiLevelType w:val="hybridMultilevel"/>
    <w:tmpl w:val="FB8CC8E4"/>
    <w:lvl w:ilvl="0" w:tplc="7428A1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0327E"/>
    <w:multiLevelType w:val="hybridMultilevel"/>
    <w:tmpl w:val="9F565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E5ADD"/>
    <w:multiLevelType w:val="hybridMultilevel"/>
    <w:tmpl w:val="3934ED80"/>
    <w:lvl w:ilvl="0" w:tplc="C94055DE">
      <w:start w:val="1"/>
      <w:numFmt w:val="bullet"/>
      <w:lvlText w:val=""/>
      <w:lvlJc w:val="left"/>
      <w:pPr>
        <w:tabs>
          <w:tab w:val="num" w:pos="720"/>
        </w:tabs>
        <w:ind w:left="720" w:hanging="360"/>
      </w:pPr>
      <w:rPr>
        <w:rFonts w:ascii="Wingdings" w:hAnsi="Wingdings" w:hint="default"/>
      </w:rPr>
    </w:lvl>
    <w:lvl w:ilvl="1" w:tplc="7F986576" w:tentative="1">
      <w:start w:val="1"/>
      <w:numFmt w:val="bullet"/>
      <w:lvlText w:val=""/>
      <w:lvlJc w:val="left"/>
      <w:pPr>
        <w:tabs>
          <w:tab w:val="num" w:pos="1440"/>
        </w:tabs>
        <w:ind w:left="1440" w:hanging="360"/>
      </w:pPr>
      <w:rPr>
        <w:rFonts w:ascii="Wingdings" w:hAnsi="Wingdings" w:hint="default"/>
      </w:rPr>
    </w:lvl>
    <w:lvl w:ilvl="2" w:tplc="FAEA8EBE" w:tentative="1">
      <w:start w:val="1"/>
      <w:numFmt w:val="bullet"/>
      <w:lvlText w:val=""/>
      <w:lvlJc w:val="left"/>
      <w:pPr>
        <w:tabs>
          <w:tab w:val="num" w:pos="2160"/>
        </w:tabs>
        <w:ind w:left="2160" w:hanging="360"/>
      </w:pPr>
      <w:rPr>
        <w:rFonts w:ascii="Wingdings" w:hAnsi="Wingdings" w:hint="default"/>
      </w:rPr>
    </w:lvl>
    <w:lvl w:ilvl="3" w:tplc="A57C1324" w:tentative="1">
      <w:start w:val="1"/>
      <w:numFmt w:val="bullet"/>
      <w:lvlText w:val=""/>
      <w:lvlJc w:val="left"/>
      <w:pPr>
        <w:tabs>
          <w:tab w:val="num" w:pos="2880"/>
        </w:tabs>
        <w:ind w:left="2880" w:hanging="360"/>
      </w:pPr>
      <w:rPr>
        <w:rFonts w:ascii="Wingdings" w:hAnsi="Wingdings" w:hint="default"/>
      </w:rPr>
    </w:lvl>
    <w:lvl w:ilvl="4" w:tplc="BA26EE94" w:tentative="1">
      <w:start w:val="1"/>
      <w:numFmt w:val="bullet"/>
      <w:lvlText w:val=""/>
      <w:lvlJc w:val="left"/>
      <w:pPr>
        <w:tabs>
          <w:tab w:val="num" w:pos="3600"/>
        </w:tabs>
        <w:ind w:left="3600" w:hanging="360"/>
      </w:pPr>
      <w:rPr>
        <w:rFonts w:ascii="Wingdings" w:hAnsi="Wingdings" w:hint="default"/>
      </w:rPr>
    </w:lvl>
    <w:lvl w:ilvl="5" w:tplc="368606A8" w:tentative="1">
      <w:start w:val="1"/>
      <w:numFmt w:val="bullet"/>
      <w:lvlText w:val=""/>
      <w:lvlJc w:val="left"/>
      <w:pPr>
        <w:tabs>
          <w:tab w:val="num" w:pos="4320"/>
        </w:tabs>
        <w:ind w:left="4320" w:hanging="360"/>
      </w:pPr>
      <w:rPr>
        <w:rFonts w:ascii="Wingdings" w:hAnsi="Wingdings" w:hint="default"/>
      </w:rPr>
    </w:lvl>
    <w:lvl w:ilvl="6" w:tplc="C1F8BB30" w:tentative="1">
      <w:start w:val="1"/>
      <w:numFmt w:val="bullet"/>
      <w:lvlText w:val=""/>
      <w:lvlJc w:val="left"/>
      <w:pPr>
        <w:tabs>
          <w:tab w:val="num" w:pos="5040"/>
        </w:tabs>
        <w:ind w:left="5040" w:hanging="360"/>
      </w:pPr>
      <w:rPr>
        <w:rFonts w:ascii="Wingdings" w:hAnsi="Wingdings" w:hint="default"/>
      </w:rPr>
    </w:lvl>
    <w:lvl w:ilvl="7" w:tplc="AE7EAA08" w:tentative="1">
      <w:start w:val="1"/>
      <w:numFmt w:val="bullet"/>
      <w:lvlText w:val=""/>
      <w:lvlJc w:val="left"/>
      <w:pPr>
        <w:tabs>
          <w:tab w:val="num" w:pos="5760"/>
        </w:tabs>
        <w:ind w:left="5760" w:hanging="360"/>
      </w:pPr>
      <w:rPr>
        <w:rFonts w:ascii="Wingdings" w:hAnsi="Wingdings" w:hint="default"/>
      </w:rPr>
    </w:lvl>
    <w:lvl w:ilvl="8" w:tplc="6730FC3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9F0720"/>
    <w:multiLevelType w:val="hybridMultilevel"/>
    <w:tmpl w:val="E0DE2B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092603"/>
    <w:multiLevelType w:val="hybridMultilevel"/>
    <w:tmpl w:val="EE12B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0C"/>
    <w:rsid w:val="000535DC"/>
    <w:rsid w:val="00070EDB"/>
    <w:rsid w:val="00090548"/>
    <w:rsid w:val="001521B3"/>
    <w:rsid w:val="00153AFF"/>
    <w:rsid w:val="001A6B63"/>
    <w:rsid w:val="00225EDD"/>
    <w:rsid w:val="003C1431"/>
    <w:rsid w:val="00415DB2"/>
    <w:rsid w:val="00465094"/>
    <w:rsid w:val="005867E5"/>
    <w:rsid w:val="005F3791"/>
    <w:rsid w:val="006230F9"/>
    <w:rsid w:val="0083139E"/>
    <w:rsid w:val="00835FC0"/>
    <w:rsid w:val="00930641"/>
    <w:rsid w:val="00986822"/>
    <w:rsid w:val="009E46E8"/>
    <w:rsid w:val="00A045F0"/>
    <w:rsid w:val="00CB2B7B"/>
    <w:rsid w:val="00CC7B0C"/>
    <w:rsid w:val="00D701D3"/>
    <w:rsid w:val="00E15F40"/>
    <w:rsid w:val="00E72B55"/>
    <w:rsid w:val="00E85BC9"/>
    <w:rsid w:val="00EE7A41"/>
    <w:rsid w:val="00F27457"/>
    <w:rsid w:val="00F86123"/>
    <w:rsid w:val="00FE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3E7F"/>
  <w15:chartTrackingRefBased/>
  <w15:docId w15:val="{6C4EE8F7-2A23-410B-A2A0-FE9901BB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0C"/>
    <w:pPr>
      <w:ind w:left="720"/>
      <w:contextualSpacing/>
    </w:pPr>
  </w:style>
  <w:style w:type="paragraph" w:styleId="NoSpacing">
    <w:name w:val="No Spacing"/>
    <w:uiPriority w:val="1"/>
    <w:qFormat/>
    <w:rsid w:val="00070EDB"/>
    <w:pPr>
      <w:spacing w:after="0" w:line="240" w:lineRule="auto"/>
    </w:pPr>
  </w:style>
  <w:style w:type="paragraph" w:styleId="Header">
    <w:name w:val="header"/>
    <w:basedOn w:val="Normal"/>
    <w:link w:val="HeaderChar"/>
    <w:uiPriority w:val="99"/>
    <w:unhideWhenUsed/>
    <w:rsid w:val="00070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EDB"/>
  </w:style>
  <w:style w:type="paragraph" w:styleId="Footer">
    <w:name w:val="footer"/>
    <w:basedOn w:val="Normal"/>
    <w:link w:val="FooterChar"/>
    <w:uiPriority w:val="99"/>
    <w:unhideWhenUsed/>
    <w:rsid w:val="00070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033530">
      <w:bodyDiv w:val="1"/>
      <w:marLeft w:val="0"/>
      <w:marRight w:val="0"/>
      <w:marTop w:val="0"/>
      <w:marBottom w:val="0"/>
      <w:divBdr>
        <w:top w:val="none" w:sz="0" w:space="0" w:color="auto"/>
        <w:left w:val="none" w:sz="0" w:space="0" w:color="auto"/>
        <w:bottom w:val="none" w:sz="0" w:space="0" w:color="auto"/>
        <w:right w:val="none" w:sz="0" w:space="0" w:color="auto"/>
      </w:divBdr>
      <w:divsChild>
        <w:div w:id="7277274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Scarborough</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Chace</dc:creator>
  <cp:keywords/>
  <dc:description/>
  <cp:lastModifiedBy>Jay Chace</cp:lastModifiedBy>
  <cp:revision>12</cp:revision>
  <cp:lastPrinted>2020-10-19T14:28:00Z</cp:lastPrinted>
  <dcterms:created xsi:type="dcterms:W3CDTF">2020-10-16T15:52:00Z</dcterms:created>
  <dcterms:modified xsi:type="dcterms:W3CDTF">2020-10-19T14:46:00Z</dcterms:modified>
</cp:coreProperties>
</file>