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To:</w:t>
      </w:r>
      <w:r w:rsidRPr="003B4731">
        <w:rPr>
          <w:rFonts w:asciiTheme="minorHAnsi" w:hAnsiTheme="minorHAnsi" w:cstheme="minorHAnsi"/>
          <w:sz w:val="22"/>
          <w:szCs w:val="22"/>
        </w:rPr>
        <w:tab/>
        <w:t>Tom Hall</w:t>
      </w: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Cc:</w:t>
      </w:r>
      <w:r w:rsidRPr="003B4731">
        <w:rPr>
          <w:rFonts w:asciiTheme="minorHAnsi" w:hAnsiTheme="minorHAnsi" w:cstheme="minorHAnsi"/>
          <w:sz w:val="22"/>
          <w:szCs w:val="22"/>
        </w:rPr>
        <w:tab/>
        <w:t>Town Council</w:t>
      </w: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From:</w:t>
      </w:r>
      <w:r w:rsidRPr="003B4731">
        <w:rPr>
          <w:rFonts w:asciiTheme="minorHAnsi" w:hAnsiTheme="minorHAnsi" w:cstheme="minorHAnsi"/>
          <w:sz w:val="22"/>
          <w:szCs w:val="22"/>
        </w:rPr>
        <w:tab/>
        <w:t>Jay Chace</w:t>
      </w: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Date:</w:t>
      </w:r>
      <w:r w:rsidRPr="003B4731">
        <w:rPr>
          <w:rFonts w:asciiTheme="minorHAnsi" w:hAnsiTheme="minorHAnsi" w:cstheme="minorHAnsi"/>
          <w:sz w:val="22"/>
          <w:szCs w:val="22"/>
        </w:rPr>
        <w:tab/>
        <w:t xml:space="preserve">March </w:t>
      </w:r>
      <w:r w:rsidR="004462FD">
        <w:rPr>
          <w:rFonts w:asciiTheme="minorHAnsi" w:hAnsiTheme="minorHAnsi" w:cstheme="minorHAnsi"/>
          <w:sz w:val="22"/>
          <w:szCs w:val="22"/>
        </w:rPr>
        <w:t>11</w:t>
      </w:r>
      <w:r w:rsidRPr="003B4731">
        <w:rPr>
          <w:rFonts w:asciiTheme="minorHAnsi" w:hAnsiTheme="minorHAnsi" w:cstheme="minorHAnsi"/>
          <w:sz w:val="22"/>
          <w:szCs w:val="22"/>
        </w:rPr>
        <w:t>, 2021</w:t>
      </w:r>
    </w:p>
    <w:p w:rsidR="003B4731" w:rsidRPr="003B4731" w:rsidRDefault="003B4731" w:rsidP="003B4731">
      <w:pPr>
        <w:rPr>
          <w:rFonts w:asciiTheme="minorHAnsi" w:hAnsiTheme="minorHAnsi" w:cstheme="minorHAnsi"/>
          <w:b/>
          <w:sz w:val="22"/>
          <w:szCs w:val="22"/>
        </w:rPr>
      </w:pPr>
    </w:p>
    <w:p w:rsidR="004462FD" w:rsidRDefault="004462FD" w:rsidP="003B4731">
      <w:pPr>
        <w:jc w:val="center"/>
        <w:rPr>
          <w:rFonts w:asciiTheme="minorHAnsi" w:hAnsiTheme="minorHAnsi" w:cstheme="minorHAnsi"/>
          <w:b/>
          <w:sz w:val="22"/>
          <w:szCs w:val="22"/>
        </w:rPr>
      </w:pPr>
      <w:r>
        <w:rPr>
          <w:rFonts w:asciiTheme="minorHAnsi" w:hAnsiTheme="minorHAnsi" w:cstheme="minorHAnsi"/>
          <w:b/>
          <w:sz w:val="22"/>
          <w:szCs w:val="22"/>
        </w:rPr>
        <w:t>GMO</w:t>
      </w:r>
      <w:r w:rsidR="003B4731" w:rsidRPr="003B4731">
        <w:rPr>
          <w:rFonts w:asciiTheme="minorHAnsi" w:hAnsiTheme="minorHAnsi" w:cstheme="minorHAnsi"/>
          <w:b/>
          <w:sz w:val="22"/>
          <w:szCs w:val="22"/>
        </w:rPr>
        <w:t xml:space="preserve"> </w:t>
      </w:r>
      <w:r w:rsidR="003B1955">
        <w:rPr>
          <w:rFonts w:asciiTheme="minorHAnsi" w:hAnsiTheme="minorHAnsi" w:cstheme="minorHAnsi"/>
          <w:b/>
          <w:sz w:val="22"/>
          <w:szCs w:val="22"/>
        </w:rPr>
        <w:t xml:space="preserve">Policy </w:t>
      </w:r>
      <w:r>
        <w:rPr>
          <w:rFonts w:asciiTheme="minorHAnsi" w:hAnsiTheme="minorHAnsi" w:cstheme="minorHAnsi"/>
          <w:b/>
          <w:sz w:val="22"/>
          <w:szCs w:val="22"/>
        </w:rPr>
        <w:t>Direction</w:t>
      </w:r>
      <w:r w:rsidR="003B4731" w:rsidRPr="003B4731">
        <w:rPr>
          <w:rFonts w:asciiTheme="minorHAnsi" w:hAnsiTheme="minorHAnsi" w:cstheme="minorHAnsi"/>
          <w:b/>
          <w:sz w:val="22"/>
          <w:szCs w:val="22"/>
        </w:rPr>
        <w:t xml:space="preserve"> </w:t>
      </w:r>
    </w:p>
    <w:p w:rsidR="003B4731" w:rsidRPr="003B4731" w:rsidRDefault="003B4731" w:rsidP="003B4731">
      <w:pPr>
        <w:jc w:val="center"/>
        <w:rPr>
          <w:rFonts w:asciiTheme="minorHAnsi" w:hAnsiTheme="minorHAnsi" w:cstheme="minorHAnsi"/>
          <w:b/>
          <w:sz w:val="22"/>
          <w:szCs w:val="22"/>
        </w:rPr>
      </w:pPr>
      <w:r w:rsidRPr="003B4731">
        <w:rPr>
          <w:rFonts w:asciiTheme="minorHAnsi" w:hAnsiTheme="minorHAnsi" w:cstheme="minorHAnsi"/>
          <w:b/>
          <w:sz w:val="22"/>
          <w:szCs w:val="22"/>
        </w:rPr>
        <w:t>Council Workshop</w:t>
      </w:r>
    </w:p>
    <w:p w:rsidR="003B4731" w:rsidRPr="003B4731" w:rsidRDefault="003B4731" w:rsidP="003B4731">
      <w:pPr>
        <w:jc w:val="center"/>
        <w:rPr>
          <w:rFonts w:asciiTheme="minorHAnsi" w:hAnsiTheme="minorHAnsi" w:cstheme="minorHAnsi"/>
          <w:b/>
          <w:sz w:val="22"/>
          <w:szCs w:val="22"/>
        </w:rPr>
      </w:pPr>
      <w:r w:rsidRPr="003B4731">
        <w:rPr>
          <w:rFonts w:asciiTheme="minorHAnsi" w:hAnsiTheme="minorHAnsi" w:cstheme="minorHAnsi"/>
          <w:b/>
          <w:sz w:val="22"/>
          <w:szCs w:val="22"/>
        </w:rPr>
        <w:t>March 17, 2021</w:t>
      </w:r>
    </w:p>
    <w:p w:rsidR="003B4731" w:rsidRPr="003B4731" w:rsidRDefault="003B4731" w:rsidP="003B4731">
      <w:pPr>
        <w:jc w:val="center"/>
        <w:rPr>
          <w:rFonts w:asciiTheme="minorHAnsi" w:hAnsiTheme="minorHAnsi" w:cstheme="minorHAnsi"/>
          <w:sz w:val="22"/>
          <w:szCs w:val="22"/>
        </w:rPr>
      </w:pPr>
    </w:p>
    <w:p w:rsid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 xml:space="preserve">This memo is aimed at addressing the policy directives that were recently presented by Councilors Cloutier and P. Johnson to the Ordinance Committee related to Growth Management Ordinance (GMO). Staff is seeking to understand the issues and gauge the interest of the entire Council before moving forward.  It is hoped that this memo will help spur conversation and facilitate Council discussion during the March 17, 2021 workshop.  It is anticipated that the workshop will result in </w:t>
      </w:r>
      <w:r w:rsidR="0019522C">
        <w:rPr>
          <w:rFonts w:asciiTheme="minorHAnsi" w:hAnsiTheme="minorHAnsi" w:cstheme="minorHAnsi"/>
          <w:sz w:val="22"/>
          <w:szCs w:val="22"/>
        </w:rPr>
        <w:t xml:space="preserve">a </w:t>
      </w:r>
      <w:r w:rsidRPr="003B4731">
        <w:rPr>
          <w:rFonts w:asciiTheme="minorHAnsi" w:hAnsiTheme="minorHAnsi" w:cstheme="minorHAnsi"/>
          <w:sz w:val="22"/>
          <w:szCs w:val="22"/>
        </w:rPr>
        <w:t xml:space="preserve">common set of policy directives and guidance for next step of the Growth Management Ordinance review process; perhaps even resulting in the crafting a revised Ordinance language. </w:t>
      </w:r>
    </w:p>
    <w:p w:rsidR="004462FD" w:rsidRDefault="004462FD" w:rsidP="003B4731">
      <w:pPr>
        <w:rPr>
          <w:rFonts w:asciiTheme="minorHAnsi" w:hAnsiTheme="minorHAnsi" w:cstheme="minorHAnsi"/>
          <w:sz w:val="22"/>
          <w:szCs w:val="22"/>
        </w:rPr>
      </w:pPr>
    </w:p>
    <w:p w:rsidR="004462FD" w:rsidRPr="003B4731" w:rsidRDefault="004462FD" w:rsidP="004462FD">
      <w:pPr>
        <w:rPr>
          <w:rFonts w:asciiTheme="minorHAnsi" w:hAnsiTheme="minorHAnsi" w:cstheme="minorHAnsi"/>
          <w:sz w:val="22"/>
          <w:szCs w:val="22"/>
        </w:rPr>
      </w:pPr>
      <w:r w:rsidRPr="003B4731">
        <w:rPr>
          <w:rFonts w:asciiTheme="minorHAnsi" w:hAnsiTheme="minorHAnsi" w:cstheme="minorHAnsi"/>
          <w:sz w:val="22"/>
          <w:szCs w:val="22"/>
        </w:rPr>
        <w:t xml:space="preserve">Staff understands Council is still at the early stages of the policy of the discussion. Staff is interested to hear the will and directive of the full Council before taking any further steps. </w:t>
      </w:r>
    </w:p>
    <w:p w:rsidR="004462FD" w:rsidRPr="003B4731" w:rsidRDefault="004462FD" w:rsidP="003B4731">
      <w:pPr>
        <w:rPr>
          <w:rFonts w:asciiTheme="minorHAnsi" w:hAnsiTheme="minorHAnsi" w:cstheme="minorHAnsi"/>
          <w:sz w:val="22"/>
          <w:szCs w:val="22"/>
        </w:rPr>
      </w:pPr>
    </w:p>
    <w:p w:rsidR="003B4731" w:rsidRPr="003B4731" w:rsidRDefault="003B4731" w:rsidP="003B4731">
      <w:pPr>
        <w:rPr>
          <w:rFonts w:asciiTheme="minorHAnsi" w:hAnsiTheme="minorHAnsi" w:cstheme="minorHAnsi"/>
          <w:sz w:val="22"/>
          <w:szCs w:val="22"/>
        </w:rPr>
      </w:pPr>
    </w:p>
    <w:p w:rsidR="003B4731" w:rsidRPr="003B4731" w:rsidRDefault="004462FD" w:rsidP="003B4731">
      <w:pPr>
        <w:rPr>
          <w:rFonts w:asciiTheme="minorHAnsi" w:hAnsiTheme="minorHAnsi" w:cstheme="minorHAnsi"/>
          <w:sz w:val="22"/>
          <w:szCs w:val="22"/>
        </w:rPr>
      </w:pPr>
      <w:r>
        <w:rPr>
          <w:rFonts w:asciiTheme="minorHAnsi" w:hAnsiTheme="minorHAnsi" w:cstheme="minorHAnsi"/>
          <w:b/>
          <w:sz w:val="22"/>
          <w:szCs w:val="22"/>
          <w:u w:val="single"/>
        </w:rPr>
        <w:t>Policy Directive</w:t>
      </w:r>
      <w:r w:rsidR="007D648F">
        <w:rPr>
          <w:rFonts w:asciiTheme="minorHAnsi" w:hAnsiTheme="minorHAnsi" w:cstheme="minorHAnsi"/>
          <w:b/>
          <w:sz w:val="22"/>
          <w:szCs w:val="22"/>
          <w:u w:val="single"/>
        </w:rPr>
        <w:t xml:space="preserve"> 1</w:t>
      </w:r>
      <w:r w:rsidR="003B4731" w:rsidRPr="003B4731">
        <w:rPr>
          <w:rFonts w:asciiTheme="minorHAnsi" w:hAnsiTheme="minorHAnsi" w:cstheme="minorHAnsi"/>
          <w:sz w:val="22"/>
          <w:szCs w:val="22"/>
        </w:rPr>
        <w:t xml:space="preserve">: </w:t>
      </w:r>
      <w:r w:rsidR="003B4731" w:rsidRPr="004462FD">
        <w:rPr>
          <w:rFonts w:asciiTheme="minorHAnsi" w:hAnsiTheme="minorHAnsi" w:cstheme="minorHAnsi"/>
          <w:b/>
          <w:sz w:val="22"/>
          <w:szCs w:val="22"/>
        </w:rPr>
        <w:t>Replace fractional growth permits with a 1:1 ratio of growth permits to dwellings.</w:t>
      </w: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 xml:space="preserve">To encourage the development of multifamily housing within the designated growth areas of the town, the town has adopted fractional density provisions. The fractional density provisions were similarly adopted in the GMO. The fractionalized growth permits seem to have added to the complexity and ambiguity of how many dwellings are created in town in a given year. </w:t>
      </w:r>
    </w:p>
    <w:p w:rsidR="003B4731" w:rsidRPr="003B4731" w:rsidRDefault="003B4731" w:rsidP="003B4731">
      <w:pPr>
        <w:rPr>
          <w:rFonts w:asciiTheme="minorHAnsi" w:hAnsiTheme="minorHAnsi" w:cstheme="minorHAnsi"/>
          <w:sz w:val="22"/>
          <w:szCs w:val="22"/>
        </w:rPr>
      </w:pPr>
    </w:p>
    <w:p w:rsid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One way to address this is to reconfigure the issuance of growth permits on a 1:1 ratio with the number of units. However, to be consistent State Statute the town would need to increase the number of</w:t>
      </w:r>
      <w:r w:rsidR="001F6DBF">
        <w:rPr>
          <w:rFonts w:asciiTheme="minorHAnsi" w:hAnsiTheme="minorHAnsi" w:cstheme="minorHAnsi"/>
          <w:sz w:val="22"/>
          <w:szCs w:val="22"/>
        </w:rPr>
        <w:t xml:space="preserve"> </w:t>
      </w:r>
      <w:proofErr w:type="gramStart"/>
      <w:r w:rsidRPr="003B4731">
        <w:rPr>
          <w:rFonts w:asciiTheme="minorHAnsi" w:hAnsiTheme="minorHAnsi" w:cstheme="minorHAnsi"/>
          <w:sz w:val="22"/>
          <w:szCs w:val="22"/>
        </w:rPr>
        <w:t>growth</w:t>
      </w:r>
      <w:proofErr w:type="gramEnd"/>
      <w:r w:rsidRPr="003B4731">
        <w:rPr>
          <w:rFonts w:asciiTheme="minorHAnsi" w:hAnsiTheme="minorHAnsi" w:cstheme="minorHAnsi"/>
          <w:sz w:val="22"/>
          <w:szCs w:val="22"/>
        </w:rPr>
        <w:t xml:space="preserve"> permits that are </w:t>
      </w:r>
      <w:r w:rsidR="004462FD">
        <w:rPr>
          <w:rFonts w:asciiTheme="minorHAnsi" w:hAnsiTheme="minorHAnsi" w:cstheme="minorHAnsi"/>
          <w:sz w:val="22"/>
          <w:szCs w:val="22"/>
        </w:rPr>
        <w:t xml:space="preserve">in the annual allocation to </w:t>
      </w:r>
      <w:r w:rsidRPr="003B4731">
        <w:rPr>
          <w:rFonts w:asciiTheme="minorHAnsi" w:hAnsiTheme="minorHAnsi" w:cstheme="minorHAnsi"/>
          <w:sz w:val="22"/>
          <w:szCs w:val="22"/>
        </w:rPr>
        <w:t xml:space="preserve">the 10 year average of the number of </w:t>
      </w:r>
      <w:r w:rsidR="007D648F">
        <w:rPr>
          <w:rFonts w:asciiTheme="minorHAnsi" w:hAnsiTheme="minorHAnsi" w:cstheme="minorHAnsi"/>
          <w:sz w:val="22"/>
          <w:szCs w:val="22"/>
        </w:rPr>
        <w:t>permits</w:t>
      </w:r>
      <w:r w:rsidR="000D5E8D">
        <w:rPr>
          <w:rFonts w:asciiTheme="minorHAnsi" w:hAnsiTheme="minorHAnsi" w:cstheme="minorHAnsi"/>
          <w:sz w:val="22"/>
          <w:szCs w:val="22"/>
        </w:rPr>
        <w:t xml:space="preserve"> issued</w:t>
      </w:r>
      <w:r w:rsidR="007D648F">
        <w:rPr>
          <w:rFonts w:asciiTheme="minorHAnsi" w:hAnsiTheme="minorHAnsi" w:cstheme="minorHAnsi"/>
          <w:sz w:val="22"/>
          <w:szCs w:val="22"/>
        </w:rPr>
        <w:t xml:space="preserve"> for residential dwellings</w:t>
      </w:r>
      <w:r w:rsidRPr="003B4731">
        <w:rPr>
          <w:rFonts w:asciiTheme="minorHAnsi" w:hAnsiTheme="minorHAnsi" w:cstheme="minorHAnsi"/>
          <w:sz w:val="22"/>
          <w:szCs w:val="22"/>
        </w:rPr>
        <w:t xml:space="preserve">. </w:t>
      </w:r>
    </w:p>
    <w:p w:rsidR="004462FD" w:rsidRPr="003B4731" w:rsidRDefault="004462FD" w:rsidP="003B4731">
      <w:pPr>
        <w:rPr>
          <w:rFonts w:asciiTheme="minorHAnsi" w:hAnsiTheme="minorHAnsi" w:cstheme="minorHAnsi"/>
          <w:sz w:val="22"/>
          <w:szCs w:val="22"/>
        </w:rPr>
      </w:pP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 xml:space="preserve">If the permit numbers are simply increased, theoretically, all those permits could be developed into single family homes- which is about the number of </w:t>
      </w:r>
      <w:proofErr w:type="gramStart"/>
      <w:r w:rsidRPr="003B4731">
        <w:rPr>
          <w:rFonts w:asciiTheme="minorHAnsi" w:hAnsiTheme="minorHAnsi" w:cstheme="minorHAnsi"/>
          <w:sz w:val="22"/>
          <w:szCs w:val="22"/>
        </w:rPr>
        <w:t>single family</w:t>
      </w:r>
      <w:proofErr w:type="gramEnd"/>
      <w:r w:rsidRPr="003B4731">
        <w:rPr>
          <w:rFonts w:asciiTheme="minorHAnsi" w:hAnsiTheme="minorHAnsi" w:cstheme="minorHAnsi"/>
          <w:sz w:val="22"/>
          <w:szCs w:val="22"/>
        </w:rPr>
        <w:t xml:space="preserve"> homes that were being developed per year when the town originally adopted the GMO. To address this issue, the concept of creating a differential between dwelling types has been raised. </w:t>
      </w:r>
      <w:r w:rsidR="004462FD">
        <w:rPr>
          <w:rFonts w:asciiTheme="minorHAnsi" w:hAnsiTheme="minorHAnsi" w:cstheme="minorHAnsi"/>
          <w:sz w:val="22"/>
          <w:szCs w:val="22"/>
        </w:rPr>
        <w:t>B</w:t>
      </w:r>
      <w:r w:rsidR="004462FD" w:rsidRPr="003B4731">
        <w:rPr>
          <w:rFonts w:asciiTheme="minorHAnsi" w:hAnsiTheme="minorHAnsi" w:cstheme="minorHAnsi"/>
          <w:sz w:val="22"/>
          <w:szCs w:val="22"/>
        </w:rPr>
        <w:t>ased on</w:t>
      </w:r>
      <w:r w:rsidR="004462FD">
        <w:rPr>
          <w:rFonts w:asciiTheme="minorHAnsi" w:hAnsiTheme="minorHAnsi" w:cstheme="minorHAnsi"/>
          <w:sz w:val="22"/>
          <w:szCs w:val="22"/>
        </w:rPr>
        <w:t xml:space="preserve"> comments through the revision process, the </w:t>
      </w:r>
      <w:r w:rsidR="004462FD" w:rsidRPr="003B4731">
        <w:rPr>
          <w:rFonts w:asciiTheme="minorHAnsi" w:hAnsiTheme="minorHAnsi" w:cstheme="minorHAnsi"/>
          <w:sz w:val="22"/>
          <w:szCs w:val="22"/>
        </w:rPr>
        <w:t xml:space="preserve">draft revised Comp Plan </w:t>
      </w:r>
      <w:r w:rsidR="004462FD">
        <w:rPr>
          <w:rFonts w:asciiTheme="minorHAnsi" w:hAnsiTheme="minorHAnsi" w:cstheme="minorHAnsi"/>
          <w:sz w:val="22"/>
          <w:szCs w:val="22"/>
        </w:rPr>
        <w:t>will</w:t>
      </w:r>
      <w:r w:rsidR="004462FD" w:rsidRPr="003B4731">
        <w:rPr>
          <w:rFonts w:asciiTheme="minorHAnsi" w:hAnsiTheme="minorHAnsi" w:cstheme="minorHAnsi"/>
          <w:sz w:val="22"/>
          <w:szCs w:val="22"/>
        </w:rPr>
        <w:t xml:space="preserve"> include</w:t>
      </w:r>
      <w:r w:rsidR="006467EB">
        <w:rPr>
          <w:rFonts w:asciiTheme="minorHAnsi" w:hAnsiTheme="minorHAnsi" w:cstheme="minorHAnsi"/>
          <w:sz w:val="22"/>
          <w:szCs w:val="22"/>
        </w:rPr>
        <w:t xml:space="preserve"> conceptual </w:t>
      </w:r>
      <w:r w:rsidR="007D648F">
        <w:rPr>
          <w:rFonts w:asciiTheme="minorHAnsi" w:hAnsiTheme="minorHAnsi" w:cstheme="minorHAnsi"/>
          <w:sz w:val="22"/>
          <w:szCs w:val="22"/>
        </w:rPr>
        <w:t>policy guidance</w:t>
      </w:r>
      <w:r w:rsidR="004462FD">
        <w:rPr>
          <w:rFonts w:asciiTheme="minorHAnsi" w:hAnsiTheme="minorHAnsi" w:cstheme="minorHAnsi"/>
          <w:sz w:val="22"/>
          <w:szCs w:val="22"/>
        </w:rPr>
        <w:t xml:space="preserve"> for </w:t>
      </w:r>
      <w:r w:rsidR="007D648F">
        <w:rPr>
          <w:rFonts w:asciiTheme="minorHAnsi" w:hAnsiTheme="minorHAnsi" w:cstheme="minorHAnsi"/>
          <w:sz w:val="22"/>
          <w:szCs w:val="22"/>
        </w:rPr>
        <w:t>developing</w:t>
      </w:r>
      <w:r w:rsidR="006467EB">
        <w:rPr>
          <w:rFonts w:asciiTheme="minorHAnsi" w:hAnsiTheme="minorHAnsi" w:cstheme="minorHAnsi"/>
          <w:sz w:val="22"/>
          <w:szCs w:val="22"/>
        </w:rPr>
        <w:t xml:space="preserve"> a dwelling type differential</w:t>
      </w:r>
      <w:r w:rsidR="004462FD">
        <w:rPr>
          <w:rFonts w:asciiTheme="minorHAnsi" w:hAnsiTheme="minorHAnsi" w:cstheme="minorHAnsi"/>
          <w:sz w:val="22"/>
          <w:szCs w:val="22"/>
        </w:rPr>
        <w:t xml:space="preserve"> should the </w:t>
      </w:r>
      <w:r w:rsidR="006467EB">
        <w:rPr>
          <w:rFonts w:asciiTheme="minorHAnsi" w:hAnsiTheme="minorHAnsi" w:cstheme="minorHAnsi"/>
          <w:sz w:val="22"/>
          <w:szCs w:val="22"/>
        </w:rPr>
        <w:t>Council wish to explore t</w:t>
      </w:r>
      <w:r w:rsidR="004462FD">
        <w:rPr>
          <w:rFonts w:asciiTheme="minorHAnsi" w:hAnsiTheme="minorHAnsi" w:cstheme="minorHAnsi"/>
          <w:sz w:val="22"/>
          <w:szCs w:val="22"/>
        </w:rPr>
        <w:t>his approach</w:t>
      </w:r>
      <w:r w:rsidR="006467EB">
        <w:rPr>
          <w:rFonts w:asciiTheme="minorHAnsi" w:hAnsiTheme="minorHAnsi" w:cstheme="minorHAnsi"/>
          <w:sz w:val="22"/>
          <w:szCs w:val="22"/>
        </w:rPr>
        <w:t xml:space="preserve"> further</w:t>
      </w:r>
      <w:r w:rsidR="004462FD">
        <w:rPr>
          <w:rFonts w:asciiTheme="minorHAnsi" w:hAnsiTheme="minorHAnsi" w:cstheme="minorHAnsi"/>
          <w:sz w:val="22"/>
          <w:szCs w:val="22"/>
        </w:rPr>
        <w:t xml:space="preserve">. </w:t>
      </w:r>
      <w:r w:rsidRPr="003B4731">
        <w:rPr>
          <w:rFonts w:asciiTheme="minorHAnsi" w:hAnsiTheme="minorHAnsi" w:cstheme="minorHAnsi"/>
          <w:sz w:val="22"/>
          <w:szCs w:val="22"/>
        </w:rPr>
        <w:t xml:space="preserve"> </w:t>
      </w:r>
    </w:p>
    <w:p w:rsidR="003B4731" w:rsidRPr="003B4731" w:rsidRDefault="003B4731" w:rsidP="003B4731">
      <w:pPr>
        <w:rPr>
          <w:rFonts w:asciiTheme="minorHAnsi" w:hAnsiTheme="minorHAnsi" w:cstheme="minorHAnsi"/>
          <w:sz w:val="22"/>
          <w:szCs w:val="22"/>
        </w:rPr>
      </w:pPr>
    </w:p>
    <w:p w:rsidR="004462FD" w:rsidRPr="004462FD" w:rsidRDefault="004462FD" w:rsidP="004462FD">
      <w:pPr>
        <w:rPr>
          <w:rFonts w:asciiTheme="minorHAnsi" w:hAnsiTheme="minorHAnsi" w:cstheme="minorHAnsi"/>
          <w:b/>
          <w:sz w:val="22"/>
          <w:szCs w:val="22"/>
        </w:rPr>
      </w:pPr>
      <w:r w:rsidRPr="004462FD">
        <w:rPr>
          <w:rFonts w:asciiTheme="minorHAnsi" w:hAnsiTheme="minorHAnsi" w:cstheme="minorHAnsi"/>
          <w:b/>
          <w:sz w:val="22"/>
          <w:szCs w:val="22"/>
          <w:u w:val="single"/>
        </w:rPr>
        <w:t>Policy Directive</w:t>
      </w:r>
      <w:r w:rsidR="0031612D">
        <w:rPr>
          <w:rFonts w:asciiTheme="minorHAnsi" w:hAnsiTheme="minorHAnsi" w:cstheme="minorHAnsi"/>
          <w:b/>
          <w:sz w:val="22"/>
          <w:szCs w:val="22"/>
          <w:u w:val="single"/>
        </w:rPr>
        <w:t xml:space="preserve"> </w:t>
      </w:r>
      <w:r w:rsidR="007D648F">
        <w:rPr>
          <w:rFonts w:asciiTheme="minorHAnsi" w:hAnsiTheme="minorHAnsi" w:cstheme="minorHAnsi"/>
          <w:b/>
          <w:sz w:val="22"/>
          <w:szCs w:val="22"/>
          <w:u w:val="single"/>
        </w:rPr>
        <w:t>2</w:t>
      </w:r>
      <w:r w:rsidRPr="004462FD">
        <w:rPr>
          <w:rFonts w:asciiTheme="minorHAnsi" w:hAnsiTheme="minorHAnsi" w:cstheme="minorHAnsi"/>
          <w:b/>
          <w:sz w:val="22"/>
          <w:szCs w:val="22"/>
          <w:u w:val="single"/>
        </w:rPr>
        <w:t>:</w:t>
      </w:r>
      <w:r w:rsidRPr="004462FD">
        <w:rPr>
          <w:rFonts w:asciiTheme="minorHAnsi" w:hAnsiTheme="minorHAnsi" w:cstheme="minorHAnsi"/>
          <w:b/>
          <w:sz w:val="22"/>
          <w:szCs w:val="22"/>
        </w:rPr>
        <w:t xml:space="preserve"> Reserve Pool reconsideration.</w:t>
      </w:r>
    </w:p>
    <w:p w:rsidR="004462FD" w:rsidRPr="003B4731" w:rsidRDefault="004462FD" w:rsidP="004462FD">
      <w:pPr>
        <w:rPr>
          <w:rFonts w:asciiTheme="minorHAnsi" w:hAnsiTheme="minorHAnsi" w:cstheme="minorHAnsi"/>
          <w:sz w:val="22"/>
          <w:szCs w:val="22"/>
        </w:rPr>
      </w:pPr>
      <w:r w:rsidRPr="003B4731">
        <w:rPr>
          <w:rFonts w:asciiTheme="minorHAnsi" w:hAnsiTheme="minorHAnsi" w:cstheme="minorHAnsi"/>
          <w:sz w:val="22"/>
          <w:szCs w:val="22"/>
        </w:rPr>
        <w:t xml:space="preserve">Related to above, there has been suggestion that Council would like to have more control over the permits issued that are above the annual allocation. Currently Council has full authority over the number of permits that get added to the reserve pool; however, the allocation of those permits is </w:t>
      </w:r>
      <w:r w:rsidRPr="003B4731">
        <w:rPr>
          <w:rFonts w:asciiTheme="minorHAnsi" w:hAnsiTheme="minorHAnsi" w:cstheme="minorHAnsi"/>
          <w:sz w:val="22"/>
          <w:szCs w:val="22"/>
        </w:rPr>
        <w:lastRenderedPageBreak/>
        <w:t xml:space="preserve">determine by the Planning Board. </w:t>
      </w:r>
      <w:r>
        <w:rPr>
          <w:rFonts w:asciiTheme="minorHAnsi" w:hAnsiTheme="minorHAnsi" w:cstheme="minorHAnsi"/>
          <w:sz w:val="22"/>
          <w:szCs w:val="22"/>
        </w:rPr>
        <w:t>Currently, t</w:t>
      </w:r>
      <w:r w:rsidRPr="003B4731">
        <w:rPr>
          <w:rFonts w:asciiTheme="minorHAnsi" w:hAnsiTheme="minorHAnsi" w:cstheme="minorHAnsi"/>
          <w:sz w:val="22"/>
          <w:szCs w:val="22"/>
        </w:rPr>
        <w:t>he Board can only allocate reserve pool permits if it finds the project meets one of four criteria:</w:t>
      </w:r>
    </w:p>
    <w:p w:rsidR="004462FD" w:rsidRPr="003B4731" w:rsidRDefault="004462FD" w:rsidP="004462FD">
      <w:pPr>
        <w:numPr>
          <w:ilvl w:val="0"/>
          <w:numId w:val="8"/>
        </w:numPr>
        <w:rPr>
          <w:rFonts w:asciiTheme="minorHAnsi" w:hAnsiTheme="minorHAnsi" w:cstheme="minorHAnsi"/>
          <w:sz w:val="22"/>
          <w:szCs w:val="22"/>
        </w:rPr>
      </w:pPr>
      <w:r w:rsidRPr="003B4731">
        <w:rPr>
          <w:rFonts w:asciiTheme="minorHAnsi" w:hAnsiTheme="minorHAnsi" w:cstheme="minorHAnsi"/>
          <w:sz w:val="22"/>
          <w:szCs w:val="22"/>
        </w:rPr>
        <w:t>Dwellings that are part of a contract zone;</w:t>
      </w:r>
    </w:p>
    <w:p w:rsidR="004462FD" w:rsidRPr="003B4731" w:rsidRDefault="004462FD" w:rsidP="004462FD">
      <w:pPr>
        <w:numPr>
          <w:ilvl w:val="0"/>
          <w:numId w:val="8"/>
        </w:numPr>
        <w:rPr>
          <w:rFonts w:asciiTheme="minorHAnsi" w:hAnsiTheme="minorHAnsi" w:cstheme="minorHAnsi"/>
          <w:sz w:val="22"/>
          <w:szCs w:val="22"/>
        </w:rPr>
      </w:pPr>
      <w:r w:rsidRPr="003B4731">
        <w:rPr>
          <w:rFonts w:asciiTheme="minorHAnsi" w:hAnsiTheme="minorHAnsi" w:cstheme="minorHAnsi"/>
          <w:sz w:val="22"/>
          <w:szCs w:val="22"/>
        </w:rPr>
        <w:t>Dwellings for projects in which at 50% of the dwellings are affordable;</w:t>
      </w:r>
    </w:p>
    <w:p w:rsidR="004462FD" w:rsidRPr="003B4731" w:rsidRDefault="004462FD" w:rsidP="004462FD">
      <w:pPr>
        <w:numPr>
          <w:ilvl w:val="0"/>
          <w:numId w:val="8"/>
        </w:numPr>
        <w:rPr>
          <w:rFonts w:asciiTheme="minorHAnsi" w:hAnsiTheme="minorHAnsi" w:cstheme="minorHAnsi"/>
          <w:sz w:val="22"/>
          <w:szCs w:val="22"/>
        </w:rPr>
      </w:pPr>
      <w:r w:rsidRPr="003B4731">
        <w:rPr>
          <w:rFonts w:asciiTheme="minorHAnsi" w:hAnsiTheme="minorHAnsi" w:cstheme="minorHAnsi"/>
          <w:sz w:val="22"/>
          <w:szCs w:val="22"/>
        </w:rPr>
        <w:t>Dwellings in a project that will use either the affordable housing or development transfer density bonus provisions of the Zoning Ord.;</w:t>
      </w:r>
    </w:p>
    <w:p w:rsidR="004462FD" w:rsidRPr="003B4731" w:rsidRDefault="004462FD" w:rsidP="004462FD">
      <w:pPr>
        <w:numPr>
          <w:ilvl w:val="0"/>
          <w:numId w:val="8"/>
        </w:numPr>
        <w:rPr>
          <w:rFonts w:asciiTheme="minorHAnsi" w:hAnsiTheme="minorHAnsi" w:cstheme="minorHAnsi"/>
          <w:sz w:val="22"/>
          <w:szCs w:val="22"/>
        </w:rPr>
      </w:pPr>
      <w:r w:rsidRPr="003B4731">
        <w:rPr>
          <w:rFonts w:asciiTheme="minorHAnsi" w:hAnsiTheme="minorHAnsi" w:cstheme="minorHAnsi"/>
          <w:sz w:val="22"/>
          <w:szCs w:val="22"/>
        </w:rPr>
        <w:t xml:space="preserve">Dwellings in projects approved as of the date of the adoption of the ordinance (2008) </w:t>
      </w:r>
    </w:p>
    <w:p w:rsidR="004462FD" w:rsidRPr="003B4731" w:rsidRDefault="004462FD" w:rsidP="004462FD">
      <w:pPr>
        <w:rPr>
          <w:rFonts w:asciiTheme="minorHAnsi" w:hAnsiTheme="minorHAnsi" w:cstheme="minorHAnsi"/>
          <w:sz w:val="22"/>
          <w:szCs w:val="22"/>
        </w:rPr>
      </w:pPr>
    </w:p>
    <w:p w:rsidR="004462FD" w:rsidRPr="003B4731" w:rsidRDefault="004462FD" w:rsidP="004462FD">
      <w:pPr>
        <w:rPr>
          <w:rFonts w:asciiTheme="minorHAnsi" w:hAnsiTheme="minorHAnsi" w:cstheme="minorHAnsi"/>
          <w:sz w:val="22"/>
          <w:szCs w:val="22"/>
        </w:rPr>
      </w:pPr>
      <w:r w:rsidRPr="003B4731">
        <w:rPr>
          <w:rFonts w:asciiTheme="minorHAnsi" w:hAnsiTheme="minorHAnsi" w:cstheme="minorHAnsi"/>
          <w:sz w:val="22"/>
          <w:szCs w:val="22"/>
        </w:rPr>
        <w:t xml:space="preserve">Perhaps the Council could include a discussion about preferred development types and how preferred projects would be identified. It was suggested the Council explore opportunities to allow ‘common scheme’ projects within the town’s designated growth areas to obtain permits beyond the current ordinance provisions. One potential approach could be for </w:t>
      </w:r>
      <w:r>
        <w:rPr>
          <w:rFonts w:asciiTheme="minorHAnsi" w:hAnsiTheme="minorHAnsi" w:cstheme="minorHAnsi"/>
          <w:sz w:val="22"/>
          <w:szCs w:val="22"/>
        </w:rPr>
        <w:t xml:space="preserve">the Council to identify </w:t>
      </w:r>
      <w:r w:rsidRPr="003B4731">
        <w:rPr>
          <w:rFonts w:asciiTheme="minorHAnsi" w:hAnsiTheme="minorHAnsi" w:cstheme="minorHAnsi"/>
          <w:sz w:val="22"/>
          <w:szCs w:val="22"/>
        </w:rPr>
        <w:t xml:space="preserve">preferred projects types: such as Planned Developments, projects in a TIF district, or other projects types within the designated growth areas. If this is an approach the Council has interest in, the town will want to investigate how such relief would impact the State mandate for considering the 10-year average of permits issued when developing the provisions of the annual allocation of other growth permits.        </w:t>
      </w:r>
    </w:p>
    <w:p w:rsidR="004462FD" w:rsidRDefault="004462FD" w:rsidP="003B4731">
      <w:pPr>
        <w:rPr>
          <w:rFonts w:asciiTheme="minorHAnsi" w:hAnsiTheme="minorHAnsi" w:cstheme="minorHAnsi"/>
          <w:b/>
          <w:sz w:val="22"/>
          <w:szCs w:val="22"/>
          <w:u w:val="single"/>
        </w:rPr>
      </w:pPr>
    </w:p>
    <w:p w:rsidR="004462FD" w:rsidRPr="003B4731" w:rsidRDefault="004462FD" w:rsidP="004462FD">
      <w:pPr>
        <w:rPr>
          <w:rFonts w:asciiTheme="minorHAnsi" w:hAnsiTheme="minorHAnsi" w:cstheme="minorHAnsi"/>
          <w:sz w:val="22"/>
          <w:szCs w:val="22"/>
        </w:rPr>
      </w:pPr>
      <w:r>
        <w:rPr>
          <w:rFonts w:asciiTheme="minorHAnsi" w:hAnsiTheme="minorHAnsi" w:cstheme="minorHAnsi"/>
          <w:b/>
          <w:sz w:val="22"/>
          <w:szCs w:val="22"/>
          <w:u w:val="single"/>
        </w:rPr>
        <w:t>Policy Directive</w:t>
      </w:r>
      <w:r w:rsidR="0031612D">
        <w:rPr>
          <w:rFonts w:asciiTheme="minorHAnsi" w:hAnsiTheme="minorHAnsi" w:cstheme="minorHAnsi"/>
          <w:b/>
          <w:sz w:val="22"/>
          <w:szCs w:val="22"/>
          <w:u w:val="single"/>
        </w:rPr>
        <w:t xml:space="preserve"> </w:t>
      </w:r>
      <w:r w:rsidR="007D648F">
        <w:rPr>
          <w:rFonts w:asciiTheme="minorHAnsi" w:hAnsiTheme="minorHAnsi" w:cstheme="minorHAnsi"/>
          <w:b/>
          <w:sz w:val="22"/>
          <w:szCs w:val="22"/>
          <w:u w:val="single"/>
        </w:rPr>
        <w:t>3</w:t>
      </w:r>
      <w:r w:rsidRPr="004462FD">
        <w:rPr>
          <w:rFonts w:asciiTheme="minorHAnsi" w:hAnsiTheme="minorHAnsi" w:cstheme="minorHAnsi"/>
          <w:b/>
          <w:sz w:val="22"/>
          <w:szCs w:val="22"/>
          <w:u w:val="single"/>
        </w:rPr>
        <w:t xml:space="preserve">: </w:t>
      </w:r>
      <w:r w:rsidRPr="004462FD">
        <w:rPr>
          <w:rFonts w:asciiTheme="minorHAnsi" w:hAnsiTheme="minorHAnsi" w:cstheme="minorHAnsi"/>
          <w:b/>
          <w:sz w:val="22"/>
          <w:szCs w:val="22"/>
        </w:rPr>
        <w:t>Review the equitable distribution of annual allocation permits</w:t>
      </w:r>
      <w:r>
        <w:rPr>
          <w:rFonts w:asciiTheme="minorHAnsi" w:hAnsiTheme="minorHAnsi" w:cstheme="minorHAnsi"/>
          <w:b/>
          <w:sz w:val="22"/>
          <w:szCs w:val="22"/>
        </w:rPr>
        <w:t>.</w:t>
      </w:r>
    </w:p>
    <w:p w:rsidR="004462FD" w:rsidRDefault="004462FD" w:rsidP="004462FD">
      <w:pPr>
        <w:rPr>
          <w:rFonts w:asciiTheme="minorHAnsi" w:hAnsiTheme="minorHAnsi" w:cstheme="minorHAnsi"/>
          <w:sz w:val="22"/>
          <w:szCs w:val="22"/>
        </w:rPr>
      </w:pPr>
      <w:r w:rsidRPr="003B4731">
        <w:rPr>
          <w:rFonts w:asciiTheme="minorHAnsi" w:hAnsiTheme="minorHAnsi" w:cstheme="minorHAnsi"/>
          <w:sz w:val="22"/>
          <w:szCs w:val="22"/>
        </w:rPr>
        <w:t xml:space="preserve">Council has indicated a concern about the </w:t>
      </w:r>
      <w:r w:rsidR="006467EB">
        <w:rPr>
          <w:rFonts w:asciiTheme="minorHAnsi" w:hAnsiTheme="minorHAnsi" w:cstheme="minorHAnsi"/>
          <w:sz w:val="22"/>
          <w:szCs w:val="22"/>
        </w:rPr>
        <w:t xml:space="preserve">equitable </w:t>
      </w:r>
      <w:r w:rsidRPr="003B4731">
        <w:rPr>
          <w:rFonts w:asciiTheme="minorHAnsi" w:hAnsiTheme="minorHAnsi" w:cstheme="minorHAnsi"/>
          <w:sz w:val="22"/>
          <w:szCs w:val="22"/>
        </w:rPr>
        <w:t>allocation of permits in light of the 2021 distribution and has indicated consideration of limiting the 20% threshold to apply to a ‘common scheme’ of development. This</w:t>
      </w:r>
      <w:r w:rsidR="006467EB">
        <w:rPr>
          <w:rFonts w:asciiTheme="minorHAnsi" w:hAnsiTheme="minorHAnsi" w:cstheme="minorHAnsi"/>
          <w:sz w:val="22"/>
          <w:szCs w:val="22"/>
        </w:rPr>
        <w:t xml:space="preserve"> revised approach</w:t>
      </w:r>
      <w:r w:rsidRPr="003B4731">
        <w:rPr>
          <w:rFonts w:asciiTheme="minorHAnsi" w:hAnsiTheme="minorHAnsi" w:cstheme="minorHAnsi"/>
          <w:sz w:val="22"/>
          <w:szCs w:val="22"/>
        </w:rPr>
        <w:t xml:space="preserve"> would eliminate the practice of developers creating subdivisions within subdivisions</w:t>
      </w:r>
      <w:r w:rsidR="00E901A0">
        <w:rPr>
          <w:rFonts w:asciiTheme="minorHAnsi" w:hAnsiTheme="minorHAnsi" w:cstheme="minorHAnsi"/>
          <w:sz w:val="22"/>
          <w:szCs w:val="22"/>
        </w:rPr>
        <w:t xml:space="preserve"> to obtain more than 20%. </w:t>
      </w:r>
      <w:r w:rsidRPr="003B4731">
        <w:rPr>
          <w:rFonts w:asciiTheme="minorHAnsi" w:hAnsiTheme="minorHAnsi" w:cstheme="minorHAnsi"/>
          <w:sz w:val="22"/>
          <w:szCs w:val="22"/>
        </w:rPr>
        <w:t xml:space="preserve"> </w:t>
      </w:r>
      <w:r w:rsidR="006467EB">
        <w:rPr>
          <w:rFonts w:asciiTheme="minorHAnsi" w:hAnsiTheme="minorHAnsi" w:cstheme="minorHAnsi"/>
          <w:sz w:val="22"/>
          <w:szCs w:val="22"/>
        </w:rPr>
        <w:t>Should the 20% threshold be tightened, a</w:t>
      </w:r>
      <w:r w:rsidRPr="003B4731">
        <w:rPr>
          <w:rFonts w:asciiTheme="minorHAnsi" w:hAnsiTheme="minorHAnsi" w:cstheme="minorHAnsi"/>
          <w:sz w:val="22"/>
          <w:szCs w:val="22"/>
        </w:rPr>
        <w:t>lternative approaches</w:t>
      </w:r>
      <w:r w:rsidR="006467EB">
        <w:rPr>
          <w:rFonts w:asciiTheme="minorHAnsi" w:hAnsiTheme="minorHAnsi" w:cstheme="minorHAnsi"/>
          <w:sz w:val="22"/>
          <w:szCs w:val="22"/>
        </w:rPr>
        <w:t xml:space="preserve"> to enabling large projects to move forward </w:t>
      </w:r>
      <w:r w:rsidRPr="003B4731">
        <w:rPr>
          <w:rFonts w:asciiTheme="minorHAnsi" w:hAnsiTheme="minorHAnsi" w:cstheme="minorHAnsi"/>
          <w:sz w:val="22"/>
          <w:szCs w:val="22"/>
        </w:rPr>
        <w:t xml:space="preserve">are discussed </w:t>
      </w:r>
      <w:r>
        <w:rPr>
          <w:rFonts w:asciiTheme="minorHAnsi" w:hAnsiTheme="minorHAnsi" w:cstheme="minorHAnsi"/>
          <w:sz w:val="22"/>
          <w:szCs w:val="22"/>
        </w:rPr>
        <w:t>in</w:t>
      </w:r>
      <w:r w:rsidR="006467EB">
        <w:rPr>
          <w:rFonts w:asciiTheme="minorHAnsi" w:hAnsiTheme="minorHAnsi" w:cstheme="minorHAnsi"/>
          <w:sz w:val="22"/>
          <w:szCs w:val="22"/>
        </w:rPr>
        <w:t xml:space="preserve"> </w:t>
      </w:r>
      <w:r>
        <w:rPr>
          <w:rFonts w:asciiTheme="minorHAnsi" w:hAnsiTheme="minorHAnsi" w:cstheme="minorHAnsi"/>
          <w:sz w:val="22"/>
          <w:szCs w:val="22"/>
        </w:rPr>
        <w:t>Policy Directive</w:t>
      </w:r>
      <w:r w:rsidR="0031612D">
        <w:rPr>
          <w:rFonts w:asciiTheme="minorHAnsi" w:hAnsiTheme="minorHAnsi" w:cstheme="minorHAnsi"/>
          <w:sz w:val="22"/>
          <w:szCs w:val="22"/>
        </w:rPr>
        <w:t xml:space="preserve"> </w:t>
      </w:r>
      <w:r w:rsidR="006467EB">
        <w:rPr>
          <w:rFonts w:asciiTheme="minorHAnsi" w:hAnsiTheme="minorHAnsi" w:cstheme="minorHAnsi"/>
          <w:sz w:val="22"/>
          <w:szCs w:val="22"/>
        </w:rPr>
        <w:t>2</w:t>
      </w:r>
      <w:r>
        <w:rPr>
          <w:rFonts w:asciiTheme="minorHAnsi" w:hAnsiTheme="minorHAnsi" w:cstheme="minorHAnsi"/>
          <w:sz w:val="22"/>
          <w:szCs w:val="22"/>
        </w:rPr>
        <w:t xml:space="preserve"> above</w:t>
      </w:r>
      <w:r w:rsidRPr="003B4731">
        <w:rPr>
          <w:rFonts w:asciiTheme="minorHAnsi" w:hAnsiTheme="minorHAnsi" w:cstheme="minorHAnsi"/>
          <w:sz w:val="22"/>
          <w:szCs w:val="22"/>
        </w:rPr>
        <w:t xml:space="preserve">. </w:t>
      </w:r>
    </w:p>
    <w:p w:rsidR="004462FD" w:rsidRPr="003B4731" w:rsidRDefault="004462FD" w:rsidP="004462FD">
      <w:pPr>
        <w:rPr>
          <w:rFonts w:asciiTheme="minorHAnsi" w:hAnsiTheme="minorHAnsi" w:cstheme="minorHAnsi"/>
          <w:sz w:val="22"/>
          <w:szCs w:val="22"/>
        </w:rPr>
      </w:pPr>
    </w:p>
    <w:p w:rsidR="003B4731" w:rsidRPr="004462FD" w:rsidRDefault="004462FD" w:rsidP="003B4731">
      <w:pPr>
        <w:rPr>
          <w:rFonts w:asciiTheme="minorHAnsi" w:hAnsiTheme="minorHAnsi" w:cstheme="minorHAnsi"/>
          <w:b/>
          <w:sz w:val="22"/>
          <w:szCs w:val="22"/>
        </w:rPr>
      </w:pPr>
      <w:r w:rsidRPr="004462FD">
        <w:rPr>
          <w:rFonts w:asciiTheme="minorHAnsi" w:hAnsiTheme="minorHAnsi" w:cstheme="minorHAnsi"/>
          <w:b/>
          <w:sz w:val="22"/>
          <w:szCs w:val="22"/>
          <w:u w:val="single"/>
        </w:rPr>
        <w:t>Policy Directive</w:t>
      </w:r>
      <w:r w:rsidR="007D648F">
        <w:rPr>
          <w:rFonts w:asciiTheme="minorHAnsi" w:hAnsiTheme="minorHAnsi" w:cstheme="minorHAnsi"/>
          <w:b/>
          <w:sz w:val="22"/>
          <w:szCs w:val="22"/>
          <w:u w:val="single"/>
        </w:rPr>
        <w:t xml:space="preserve"> 4</w:t>
      </w:r>
      <w:r w:rsidR="003B4731" w:rsidRPr="004462FD">
        <w:rPr>
          <w:rFonts w:asciiTheme="minorHAnsi" w:hAnsiTheme="minorHAnsi" w:cstheme="minorHAnsi"/>
          <w:b/>
          <w:sz w:val="22"/>
          <w:szCs w:val="22"/>
          <w:u w:val="single"/>
        </w:rPr>
        <w:t>:</w:t>
      </w:r>
      <w:r w:rsidR="003B4731" w:rsidRPr="003B4731">
        <w:rPr>
          <w:rFonts w:asciiTheme="minorHAnsi" w:hAnsiTheme="minorHAnsi" w:cstheme="minorHAnsi"/>
          <w:sz w:val="22"/>
          <w:szCs w:val="22"/>
        </w:rPr>
        <w:t xml:space="preserve"> </w:t>
      </w:r>
      <w:r w:rsidR="003B4731" w:rsidRPr="004462FD">
        <w:rPr>
          <w:rFonts w:asciiTheme="minorHAnsi" w:hAnsiTheme="minorHAnsi" w:cstheme="minorHAnsi"/>
          <w:b/>
          <w:sz w:val="22"/>
          <w:szCs w:val="22"/>
        </w:rPr>
        <w:t xml:space="preserve">Protect the </w:t>
      </w:r>
      <w:r>
        <w:rPr>
          <w:rFonts w:asciiTheme="minorHAnsi" w:hAnsiTheme="minorHAnsi" w:cstheme="minorHAnsi"/>
          <w:b/>
          <w:sz w:val="22"/>
          <w:szCs w:val="22"/>
        </w:rPr>
        <w:t xml:space="preserve">rural </w:t>
      </w:r>
      <w:r w:rsidR="003B4731" w:rsidRPr="004462FD">
        <w:rPr>
          <w:rFonts w:asciiTheme="minorHAnsi" w:hAnsiTheme="minorHAnsi" w:cstheme="minorHAnsi"/>
          <w:b/>
          <w:sz w:val="22"/>
          <w:szCs w:val="22"/>
        </w:rPr>
        <w:t xml:space="preserve">character of the town </w:t>
      </w:r>
      <w:r>
        <w:rPr>
          <w:rFonts w:asciiTheme="minorHAnsi" w:hAnsiTheme="minorHAnsi" w:cstheme="minorHAnsi"/>
          <w:b/>
          <w:sz w:val="22"/>
          <w:szCs w:val="22"/>
        </w:rPr>
        <w:t>by</w:t>
      </w:r>
      <w:r w:rsidR="003B4731" w:rsidRPr="004462FD">
        <w:rPr>
          <w:rFonts w:asciiTheme="minorHAnsi" w:hAnsiTheme="minorHAnsi" w:cstheme="minorHAnsi"/>
          <w:b/>
          <w:sz w:val="22"/>
          <w:szCs w:val="22"/>
        </w:rPr>
        <w:t xml:space="preserve"> direct</w:t>
      </w:r>
      <w:r>
        <w:rPr>
          <w:rFonts w:asciiTheme="minorHAnsi" w:hAnsiTheme="minorHAnsi" w:cstheme="minorHAnsi"/>
          <w:b/>
          <w:sz w:val="22"/>
          <w:szCs w:val="22"/>
        </w:rPr>
        <w:t>ing</w:t>
      </w:r>
      <w:r w:rsidR="003B4731" w:rsidRPr="004462FD">
        <w:rPr>
          <w:rFonts w:asciiTheme="minorHAnsi" w:hAnsiTheme="minorHAnsi" w:cstheme="minorHAnsi"/>
          <w:b/>
          <w:sz w:val="22"/>
          <w:szCs w:val="22"/>
        </w:rPr>
        <w:t xml:space="preserve"> most residential growth to the designated growth areas. </w:t>
      </w:r>
    </w:p>
    <w:p w:rsidR="003B4731" w:rsidRPr="003B4731" w:rsidRDefault="003B4731" w:rsidP="003B4731">
      <w:pPr>
        <w:rPr>
          <w:rFonts w:asciiTheme="minorHAnsi" w:hAnsiTheme="minorHAnsi" w:cstheme="minorHAnsi"/>
          <w:sz w:val="22"/>
          <w:szCs w:val="22"/>
        </w:rPr>
      </w:pPr>
      <w:r w:rsidRPr="003B4731">
        <w:rPr>
          <w:rFonts w:asciiTheme="minorHAnsi" w:hAnsiTheme="minorHAnsi" w:cstheme="minorHAnsi"/>
          <w:sz w:val="22"/>
          <w:szCs w:val="22"/>
        </w:rPr>
        <w:t xml:space="preserve">The current GMO provisions address this by regulating that </w:t>
      </w:r>
      <w:r w:rsidR="00E901A0">
        <w:rPr>
          <w:rFonts w:asciiTheme="minorHAnsi" w:hAnsiTheme="minorHAnsi" w:cstheme="minorHAnsi"/>
          <w:sz w:val="22"/>
          <w:szCs w:val="22"/>
        </w:rPr>
        <w:t>n</w:t>
      </w:r>
      <w:r w:rsidRPr="003B4731">
        <w:rPr>
          <w:rFonts w:asciiTheme="minorHAnsi" w:hAnsiTheme="minorHAnsi" w:cstheme="minorHAnsi"/>
          <w:sz w:val="22"/>
          <w:szCs w:val="22"/>
        </w:rPr>
        <w:t xml:space="preserve">o more than 50 growth permits may be issued in limited growth areas west of the turnpike. Should Council wish to explore this provision further, additional data can be provided </w:t>
      </w:r>
      <w:r w:rsidR="00E901A0">
        <w:rPr>
          <w:rFonts w:asciiTheme="minorHAnsi" w:hAnsiTheme="minorHAnsi" w:cstheme="minorHAnsi"/>
          <w:sz w:val="22"/>
          <w:szCs w:val="22"/>
        </w:rPr>
        <w:t xml:space="preserve">to </w:t>
      </w:r>
      <w:r w:rsidRPr="003B4731">
        <w:rPr>
          <w:rFonts w:asciiTheme="minorHAnsi" w:hAnsiTheme="minorHAnsi" w:cstheme="minorHAnsi"/>
          <w:sz w:val="22"/>
          <w:szCs w:val="22"/>
        </w:rPr>
        <w:t>identify the number of permits that are annual issued to the limited growth areas</w:t>
      </w:r>
      <w:r w:rsidR="00E901A0">
        <w:rPr>
          <w:rFonts w:asciiTheme="minorHAnsi" w:hAnsiTheme="minorHAnsi" w:cstheme="minorHAnsi"/>
          <w:sz w:val="22"/>
          <w:szCs w:val="22"/>
        </w:rPr>
        <w:t xml:space="preserve"> for consideration of moderating the pace of growth in the ‘rural’ areas of town.</w:t>
      </w:r>
      <w:r w:rsidRPr="003B4731">
        <w:rPr>
          <w:rFonts w:asciiTheme="minorHAnsi" w:hAnsiTheme="minorHAnsi" w:cstheme="minorHAnsi"/>
          <w:sz w:val="22"/>
          <w:szCs w:val="22"/>
        </w:rPr>
        <w:t xml:space="preserve">     </w:t>
      </w:r>
    </w:p>
    <w:p w:rsidR="003B4731" w:rsidRPr="003B4731" w:rsidRDefault="003B4731" w:rsidP="003B4731">
      <w:pPr>
        <w:rPr>
          <w:rFonts w:asciiTheme="minorHAnsi" w:hAnsiTheme="minorHAnsi" w:cstheme="minorHAnsi"/>
          <w:sz w:val="22"/>
          <w:szCs w:val="22"/>
        </w:rPr>
      </w:pPr>
    </w:p>
    <w:p w:rsidR="003B4731" w:rsidRDefault="004462FD" w:rsidP="003B4731">
      <w:pPr>
        <w:rPr>
          <w:rFonts w:asciiTheme="minorHAnsi" w:hAnsiTheme="minorHAnsi" w:cstheme="minorHAnsi"/>
          <w:b/>
          <w:sz w:val="22"/>
          <w:szCs w:val="22"/>
        </w:rPr>
      </w:pPr>
      <w:r w:rsidRPr="004462FD">
        <w:rPr>
          <w:rFonts w:asciiTheme="minorHAnsi" w:hAnsiTheme="minorHAnsi" w:cstheme="minorHAnsi"/>
          <w:b/>
          <w:sz w:val="22"/>
          <w:szCs w:val="22"/>
          <w:u w:val="single"/>
        </w:rPr>
        <w:t>Policy Directive</w:t>
      </w:r>
      <w:r w:rsidR="007D648F">
        <w:rPr>
          <w:rFonts w:asciiTheme="minorHAnsi" w:hAnsiTheme="minorHAnsi" w:cstheme="minorHAnsi"/>
          <w:b/>
          <w:sz w:val="22"/>
          <w:szCs w:val="22"/>
          <w:u w:val="single"/>
        </w:rPr>
        <w:t xml:space="preserve"> 5</w:t>
      </w:r>
      <w:r w:rsidRPr="004462FD">
        <w:rPr>
          <w:rFonts w:asciiTheme="minorHAnsi" w:hAnsiTheme="minorHAnsi" w:cstheme="minorHAnsi"/>
          <w:b/>
          <w:sz w:val="22"/>
          <w:szCs w:val="22"/>
          <w:u w:val="single"/>
        </w:rPr>
        <w:t>:</w:t>
      </w:r>
      <w:r>
        <w:rPr>
          <w:rFonts w:asciiTheme="minorHAnsi" w:hAnsiTheme="minorHAnsi" w:cstheme="minorHAnsi"/>
          <w:b/>
          <w:sz w:val="22"/>
          <w:szCs w:val="22"/>
        </w:rPr>
        <w:t xml:space="preserve"> Eliminate the 180-day conversion period</w:t>
      </w:r>
      <w:r w:rsidR="007D648F">
        <w:rPr>
          <w:rFonts w:asciiTheme="minorHAnsi" w:hAnsiTheme="minorHAnsi" w:cstheme="minorHAnsi"/>
          <w:b/>
          <w:sz w:val="22"/>
          <w:szCs w:val="22"/>
        </w:rPr>
        <w:t>.</w:t>
      </w:r>
    </w:p>
    <w:p w:rsidR="004462FD" w:rsidRPr="004462FD" w:rsidRDefault="00B01C32" w:rsidP="003B4731">
      <w:pPr>
        <w:rPr>
          <w:rFonts w:asciiTheme="minorHAnsi" w:hAnsiTheme="minorHAnsi" w:cstheme="minorHAnsi"/>
          <w:sz w:val="22"/>
          <w:szCs w:val="22"/>
        </w:rPr>
      </w:pPr>
      <w:r>
        <w:rPr>
          <w:rFonts w:asciiTheme="minorHAnsi" w:hAnsiTheme="minorHAnsi" w:cstheme="minorHAnsi"/>
          <w:sz w:val="22"/>
          <w:szCs w:val="22"/>
        </w:rPr>
        <w:t>One of the elements that as been discussed i</w:t>
      </w:r>
      <w:r w:rsidR="003B61EE">
        <w:rPr>
          <w:rFonts w:asciiTheme="minorHAnsi" w:hAnsiTheme="minorHAnsi" w:cstheme="minorHAnsi"/>
          <w:sz w:val="22"/>
          <w:szCs w:val="22"/>
        </w:rPr>
        <w:t>s</w:t>
      </w:r>
      <w:r>
        <w:rPr>
          <w:rFonts w:asciiTheme="minorHAnsi" w:hAnsiTheme="minorHAnsi" w:cstheme="minorHAnsi"/>
          <w:sz w:val="22"/>
          <w:szCs w:val="22"/>
        </w:rPr>
        <w:t xml:space="preserve"> the period between which a growth permit is issued an</w:t>
      </w:r>
      <w:r w:rsidR="00E901A0">
        <w:rPr>
          <w:rFonts w:asciiTheme="minorHAnsi" w:hAnsiTheme="minorHAnsi" w:cstheme="minorHAnsi"/>
          <w:sz w:val="22"/>
          <w:szCs w:val="22"/>
        </w:rPr>
        <w:t>d</w:t>
      </w:r>
      <w:r>
        <w:rPr>
          <w:rFonts w:asciiTheme="minorHAnsi" w:hAnsiTheme="minorHAnsi" w:cstheme="minorHAnsi"/>
          <w:sz w:val="22"/>
          <w:szCs w:val="22"/>
        </w:rPr>
        <w:t xml:space="preserve"> wh</w:t>
      </w:r>
      <w:r w:rsidR="00E901A0">
        <w:rPr>
          <w:rFonts w:asciiTheme="minorHAnsi" w:hAnsiTheme="minorHAnsi" w:cstheme="minorHAnsi"/>
          <w:sz w:val="22"/>
          <w:szCs w:val="22"/>
        </w:rPr>
        <w:t>en</w:t>
      </w:r>
      <w:r>
        <w:rPr>
          <w:rFonts w:asciiTheme="minorHAnsi" w:hAnsiTheme="minorHAnsi" w:cstheme="minorHAnsi"/>
          <w:sz w:val="22"/>
          <w:szCs w:val="22"/>
        </w:rPr>
        <w:t xml:space="preserve"> it </w:t>
      </w:r>
      <w:r w:rsidR="003B61EE">
        <w:rPr>
          <w:rFonts w:asciiTheme="minorHAnsi" w:hAnsiTheme="minorHAnsi" w:cstheme="minorHAnsi"/>
          <w:sz w:val="22"/>
          <w:szCs w:val="22"/>
        </w:rPr>
        <w:t>may be</w:t>
      </w:r>
      <w:r>
        <w:rPr>
          <w:rFonts w:asciiTheme="minorHAnsi" w:hAnsiTheme="minorHAnsi" w:cstheme="minorHAnsi"/>
          <w:sz w:val="22"/>
          <w:szCs w:val="22"/>
        </w:rPr>
        <w:t xml:space="preserve"> converted to a building permit. </w:t>
      </w:r>
      <w:r w:rsidR="00086BD4">
        <w:rPr>
          <w:rFonts w:asciiTheme="minorHAnsi" w:hAnsiTheme="minorHAnsi" w:cstheme="minorHAnsi"/>
          <w:sz w:val="22"/>
          <w:szCs w:val="22"/>
        </w:rPr>
        <w:t>The suggestion has been to require that a growth permit application must be accompanied by a complete building permit application. This could help moderate the pace of which permits are issue</w:t>
      </w:r>
      <w:r w:rsidR="003E4F28">
        <w:rPr>
          <w:rFonts w:asciiTheme="minorHAnsi" w:hAnsiTheme="minorHAnsi" w:cstheme="minorHAnsi"/>
          <w:sz w:val="22"/>
          <w:szCs w:val="22"/>
        </w:rPr>
        <w:t>d</w:t>
      </w:r>
      <w:r w:rsidR="00086BD4">
        <w:rPr>
          <w:rFonts w:asciiTheme="minorHAnsi" w:hAnsiTheme="minorHAnsi" w:cstheme="minorHAnsi"/>
          <w:sz w:val="22"/>
          <w:szCs w:val="22"/>
        </w:rPr>
        <w:t xml:space="preserve"> through the year and eliminate the potential for speculative purchase</w:t>
      </w:r>
      <w:r w:rsidR="003E4F28">
        <w:rPr>
          <w:rFonts w:asciiTheme="minorHAnsi" w:hAnsiTheme="minorHAnsi" w:cstheme="minorHAnsi"/>
          <w:sz w:val="22"/>
          <w:szCs w:val="22"/>
        </w:rPr>
        <w:t>s</w:t>
      </w:r>
      <w:r w:rsidR="00086BD4">
        <w:rPr>
          <w:rFonts w:asciiTheme="minorHAnsi" w:hAnsiTheme="minorHAnsi" w:cstheme="minorHAnsi"/>
          <w:sz w:val="22"/>
          <w:szCs w:val="22"/>
        </w:rPr>
        <w:t xml:space="preserve"> of growth permit</w:t>
      </w:r>
      <w:r w:rsidR="00E901A0">
        <w:rPr>
          <w:rFonts w:asciiTheme="minorHAnsi" w:hAnsiTheme="minorHAnsi" w:cstheme="minorHAnsi"/>
          <w:sz w:val="22"/>
          <w:szCs w:val="22"/>
        </w:rPr>
        <w:t xml:space="preserve"> by</w:t>
      </w:r>
      <w:r w:rsidR="003E4F28">
        <w:rPr>
          <w:rFonts w:asciiTheme="minorHAnsi" w:hAnsiTheme="minorHAnsi" w:cstheme="minorHAnsi"/>
          <w:sz w:val="22"/>
          <w:szCs w:val="22"/>
        </w:rPr>
        <w:t xml:space="preserve"> developer</w:t>
      </w:r>
      <w:r w:rsidR="00E901A0">
        <w:rPr>
          <w:rFonts w:asciiTheme="minorHAnsi" w:hAnsiTheme="minorHAnsi" w:cstheme="minorHAnsi"/>
          <w:sz w:val="22"/>
          <w:szCs w:val="22"/>
        </w:rPr>
        <w:t>s w</w:t>
      </w:r>
      <w:r w:rsidR="00D32F9A">
        <w:rPr>
          <w:rFonts w:asciiTheme="minorHAnsi" w:hAnsiTheme="minorHAnsi" w:cstheme="minorHAnsi"/>
          <w:sz w:val="22"/>
          <w:szCs w:val="22"/>
        </w:rPr>
        <w:t>ho have</w:t>
      </w:r>
      <w:bookmarkStart w:id="0" w:name="_GoBack"/>
      <w:bookmarkEnd w:id="0"/>
      <w:r w:rsidR="003E4F28">
        <w:rPr>
          <w:rFonts w:asciiTheme="minorHAnsi" w:hAnsiTheme="minorHAnsi" w:cstheme="minorHAnsi"/>
          <w:sz w:val="22"/>
          <w:szCs w:val="22"/>
        </w:rPr>
        <w:t xml:space="preserve"> concerns of the town running out</w:t>
      </w:r>
      <w:r w:rsidR="00E901A0">
        <w:rPr>
          <w:rFonts w:asciiTheme="minorHAnsi" w:hAnsiTheme="minorHAnsi" w:cstheme="minorHAnsi"/>
          <w:sz w:val="22"/>
          <w:szCs w:val="22"/>
        </w:rPr>
        <w:t xml:space="preserve"> of permits</w:t>
      </w:r>
      <w:r w:rsidR="00086BD4">
        <w:rPr>
          <w:rFonts w:asciiTheme="minorHAnsi" w:hAnsiTheme="minorHAnsi" w:cstheme="minorHAnsi"/>
          <w:sz w:val="22"/>
          <w:szCs w:val="22"/>
        </w:rPr>
        <w:t>. Council could further consider a scheduled release of permits to measure the distribution throughout the year</w:t>
      </w:r>
      <w:r w:rsidR="003E4F28">
        <w:rPr>
          <w:rFonts w:asciiTheme="minorHAnsi" w:hAnsiTheme="minorHAnsi" w:cstheme="minorHAnsi"/>
          <w:sz w:val="22"/>
          <w:szCs w:val="22"/>
        </w:rPr>
        <w:t xml:space="preserve"> (e.g. preserve a certain </w:t>
      </w:r>
      <w:r w:rsidR="00886B84">
        <w:rPr>
          <w:rFonts w:asciiTheme="minorHAnsi" w:hAnsiTheme="minorHAnsi" w:cstheme="minorHAnsi"/>
          <w:sz w:val="22"/>
          <w:szCs w:val="22"/>
        </w:rPr>
        <w:t>number</w:t>
      </w:r>
      <w:r w:rsidR="003E4F28">
        <w:rPr>
          <w:rFonts w:asciiTheme="minorHAnsi" w:hAnsiTheme="minorHAnsi" w:cstheme="minorHAnsi"/>
          <w:sz w:val="22"/>
          <w:szCs w:val="22"/>
        </w:rPr>
        <w:t xml:space="preserve"> of </w:t>
      </w:r>
      <w:r w:rsidR="00886B84">
        <w:rPr>
          <w:rFonts w:asciiTheme="minorHAnsi" w:hAnsiTheme="minorHAnsi" w:cstheme="minorHAnsi"/>
          <w:sz w:val="22"/>
          <w:szCs w:val="22"/>
        </w:rPr>
        <w:t>permits</w:t>
      </w:r>
      <w:r w:rsidR="003E4F28">
        <w:rPr>
          <w:rFonts w:asciiTheme="minorHAnsi" w:hAnsiTheme="minorHAnsi" w:cstheme="minorHAnsi"/>
          <w:sz w:val="22"/>
          <w:szCs w:val="22"/>
        </w:rPr>
        <w:t xml:space="preserve"> to be issued </w:t>
      </w:r>
      <w:r w:rsidR="00886B84">
        <w:rPr>
          <w:rFonts w:asciiTheme="minorHAnsi" w:hAnsiTheme="minorHAnsi" w:cstheme="minorHAnsi"/>
          <w:sz w:val="22"/>
          <w:szCs w:val="22"/>
        </w:rPr>
        <w:t>quarterly)</w:t>
      </w:r>
      <w:r w:rsidR="00086BD4">
        <w:rPr>
          <w:rFonts w:asciiTheme="minorHAnsi" w:hAnsiTheme="minorHAnsi" w:cstheme="minorHAnsi"/>
          <w:sz w:val="22"/>
          <w:szCs w:val="22"/>
        </w:rPr>
        <w:t xml:space="preserve">. </w:t>
      </w:r>
      <w:r w:rsidR="003B61EE">
        <w:rPr>
          <w:rFonts w:asciiTheme="minorHAnsi" w:hAnsiTheme="minorHAnsi" w:cstheme="minorHAnsi"/>
          <w:sz w:val="22"/>
          <w:szCs w:val="22"/>
        </w:rPr>
        <w:t xml:space="preserve">Currently </w:t>
      </w:r>
      <w:r w:rsidR="003E4F28">
        <w:rPr>
          <w:rFonts w:asciiTheme="minorHAnsi" w:hAnsiTheme="minorHAnsi" w:cstheme="minorHAnsi"/>
          <w:sz w:val="22"/>
          <w:szCs w:val="22"/>
        </w:rPr>
        <w:t>a</w:t>
      </w:r>
      <w:r w:rsidR="003B61EE">
        <w:rPr>
          <w:rFonts w:asciiTheme="minorHAnsi" w:hAnsiTheme="minorHAnsi" w:cstheme="minorHAnsi"/>
          <w:sz w:val="22"/>
          <w:szCs w:val="22"/>
        </w:rPr>
        <w:t xml:space="preserve"> developer has up to 180 days (plus the potential for a </w:t>
      </w:r>
      <w:proofErr w:type="gramStart"/>
      <w:r w:rsidR="003B61EE">
        <w:rPr>
          <w:rFonts w:asciiTheme="minorHAnsi" w:hAnsiTheme="minorHAnsi" w:cstheme="minorHAnsi"/>
          <w:sz w:val="22"/>
          <w:szCs w:val="22"/>
        </w:rPr>
        <w:t>90 day</w:t>
      </w:r>
      <w:proofErr w:type="gramEnd"/>
      <w:r w:rsidR="003B61EE">
        <w:rPr>
          <w:rFonts w:asciiTheme="minorHAnsi" w:hAnsiTheme="minorHAnsi" w:cstheme="minorHAnsi"/>
          <w:sz w:val="22"/>
          <w:szCs w:val="22"/>
        </w:rPr>
        <w:t xml:space="preserve"> extension) before </w:t>
      </w:r>
      <w:r w:rsidR="003E4F28">
        <w:rPr>
          <w:rFonts w:asciiTheme="minorHAnsi" w:hAnsiTheme="minorHAnsi" w:cstheme="minorHAnsi"/>
          <w:sz w:val="22"/>
          <w:szCs w:val="22"/>
        </w:rPr>
        <w:t>a</w:t>
      </w:r>
      <w:r w:rsidR="003B61EE">
        <w:rPr>
          <w:rFonts w:asciiTheme="minorHAnsi" w:hAnsiTheme="minorHAnsi" w:cstheme="minorHAnsi"/>
          <w:sz w:val="22"/>
          <w:szCs w:val="22"/>
        </w:rPr>
        <w:t xml:space="preserve"> growth permit must be converted to a building permit.</w:t>
      </w:r>
      <w:r w:rsidR="00886B84">
        <w:rPr>
          <w:rFonts w:asciiTheme="minorHAnsi" w:hAnsiTheme="minorHAnsi" w:cstheme="minorHAnsi"/>
          <w:sz w:val="22"/>
          <w:szCs w:val="22"/>
        </w:rPr>
        <w:t xml:space="preserve"> </w:t>
      </w:r>
      <w:r w:rsidR="003B61EE">
        <w:rPr>
          <w:rFonts w:asciiTheme="minorHAnsi" w:hAnsiTheme="minorHAnsi" w:cstheme="minorHAnsi"/>
          <w:sz w:val="22"/>
          <w:szCs w:val="22"/>
        </w:rPr>
        <w:t xml:space="preserve">  </w:t>
      </w:r>
    </w:p>
    <w:p w:rsidR="003B4731" w:rsidRPr="003B4731" w:rsidRDefault="003B4731" w:rsidP="003B4731">
      <w:pPr>
        <w:rPr>
          <w:rFonts w:asciiTheme="minorHAnsi" w:hAnsiTheme="minorHAnsi" w:cstheme="minorHAnsi"/>
          <w:sz w:val="22"/>
          <w:szCs w:val="22"/>
        </w:rPr>
      </w:pPr>
    </w:p>
    <w:p w:rsidR="003B4731" w:rsidRDefault="003B4731" w:rsidP="003B4731">
      <w:pPr>
        <w:rPr>
          <w:rFonts w:asciiTheme="minorHAnsi" w:hAnsiTheme="minorHAnsi" w:cstheme="minorHAnsi"/>
          <w:sz w:val="22"/>
          <w:szCs w:val="22"/>
        </w:rPr>
      </w:pPr>
    </w:p>
    <w:p w:rsidR="000D5E8D" w:rsidRDefault="000D5E8D" w:rsidP="003B4731">
      <w:pPr>
        <w:rPr>
          <w:rFonts w:asciiTheme="minorHAnsi" w:hAnsiTheme="minorHAnsi" w:cstheme="minorHAnsi"/>
          <w:sz w:val="22"/>
          <w:szCs w:val="22"/>
        </w:rPr>
      </w:pPr>
    </w:p>
    <w:p w:rsidR="003B4731" w:rsidRPr="003B4731" w:rsidRDefault="003B4731" w:rsidP="003B4731">
      <w:pPr>
        <w:rPr>
          <w:rFonts w:asciiTheme="minorHAnsi" w:hAnsiTheme="minorHAnsi" w:cstheme="minorHAnsi"/>
          <w:sz w:val="22"/>
          <w:szCs w:val="22"/>
        </w:rPr>
      </w:pPr>
    </w:p>
    <w:p w:rsidR="001F4954" w:rsidRPr="003B4731" w:rsidRDefault="001F4954" w:rsidP="00752CC3">
      <w:pPr>
        <w:rPr>
          <w:rFonts w:asciiTheme="minorHAnsi" w:hAnsiTheme="minorHAnsi" w:cstheme="minorHAnsi"/>
          <w:sz w:val="22"/>
          <w:szCs w:val="22"/>
        </w:rPr>
      </w:pPr>
    </w:p>
    <w:sectPr w:rsidR="001F4954" w:rsidRPr="003B4731" w:rsidSect="001E6BC8">
      <w:headerReference w:type="even" r:id="rId8"/>
      <w:headerReference w:type="default"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22" w:rsidRDefault="00B64122">
      <w:r>
        <w:separator/>
      </w:r>
    </w:p>
  </w:endnote>
  <w:endnote w:type="continuationSeparator" w:id="0">
    <w:p w:rsidR="00B64122" w:rsidRDefault="00B6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2" w:rsidRDefault="00B6412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B64122" w:rsidRPr="0023085F" w:rsidRDefault="00B64122">
    <w:pPr>
      <w:ind w:right="360"/>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B64122" w:rsidRPr="001E427D" w:rsidTr="001E427D">
      <w:trPr>
        <w:jc w:val="center"/>
      </w:trPr>
      <w:tc>
        <w:tcPr>
          <w:tcW w:w="10980" w:type="dxa"/>
        </w:tcPr>
        <w:p w:rsidR="00B64122" w:rsidRPr="001E427D" w:rsidRDefault="00B64122" w:rsidP="001E427D">
          <w:pPr>
            <w:pStyle w:val="Footer"/>
            <w:jc w:val="center"/>
            <w:rPr>
              <w:rFonts w:ascii="Cambria" w:hAnsi="Cambria"/>
              <w:b/>
              <w:color w:val="767677"/>
              <w:sz w:val="28"/>
            </w:rPr>
          </w:pPr>
          <w:r w:rsidRPr="001E427D">
            <w:rPr>
              <w:rFonts w:ascii="Cambria" w:hAnsi="Cambria"/>
              <w:b/>
              <w:color w:val="767677"/>
              <w:sz w:val="28"/>
            </w:rPr>
            <w:t>Planning &amp; Code Enforcement</w:t>
          </w:r>
        </w:p>
        <w:p w:rsidR="00B64122" w:rsidRPr="001E427D" w:rsidRDefault="00B64122" w:rsidP="001E427D">
          <w:pPr>
            <w:pStyle w:val="Footer"/>
            <w:jc w:val="center"/>
            <w:rPr>
              <w:color w:val="767677"/>
            </w:rPr>
          </w:pPr>
          <w:r w:rsidRPr="001E427D">
            <w:rPr>
              <w:rFonts w:ascii="Cambria" w:hAnsi="Cambria"/>
              <w:color w:val="767677"/>
            </w:rPr>
            <w:t>259 US Route One | PO Box 360 | Scarborough, ME 04070 | P: 207.730.40</w:t>
          </w:r>
          <w:r>
            <w:rPr>
              <w:rFonts w:ascii="Cambria" w:hAnsi="Cambria"/>
              <w:color w:val="767677"/>
            </w:rPr>
            <w:t>4</w:t>
          </w:r>
          <w:r w:rsidRPr="001E427D">
            <w:rPr>
              <w:rFonts w:ascii="Cambria" w:hAnsi="Cambria"/>
              <w:color w:val="767677"/>
            </w:rPr>
            <w:t>0 | scarboroughmaine.org</w:t>
          </w:r>
        </w:p>
      </w:tc>
    </w:tr>
  </w:tbl>
  <w:p w:rsidR="00B64122" w:rsidRPr="001E427D" w:rsidRDefault="00B64122" w:rsidP="001E427D">
    <w:pPr>
      <w:pStyle w:val="Footer"/>
      <w:rPr>
        <w:color w:val="76767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22" w:rsidRDefault="00B64122">
      <w:r>
        <w:separator/>
      </w:r>
    </w:p>
  </w:footnote>
  <w:footnote w:type="continuationSeparator" w:id="0">
    <w:p w:rsidR="00B64122" w:rsidRDefault="00B64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2" w:rsidRDefault="00B64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80.75pt;height:260.5pt;z-index:-251658752;mso-position-horizontal:center;mso-position-horizontal-relative:margin;mso-position-vertical:center;mso-position-vertical-relative:margin" wrapcoords="-58 0 -58 21538 21600 21538 21600 0 -58 0">
          <v:imagedata r:id="rId1" o:title="town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22" w:rsidRPr="0023085F" w:rsidRDefault="00B64122">
    <w:pPr>
      <w:pStyle w:val="Header"/>
      <w:rPr>
        <w:sz w:val="17"/>
        <w:szCs w:val="17"/>
      </w:rPr>
    </w:pPr>
    <w:r>
      <w:rPr>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80.75pt;height:260.5pt;z-index:-251657728;mso-position-horizontal:center;mso-position-horizontal-relative:margin;mso-position-vertical:center;mso-position-vertical-relative:margin" wrapcoords="-58 0 -58 21538 21600 21538 21600 0 -58 0">
          <v:imagedata r:id="rId1" o:title="townseal" gain="19661f" blacklevel="22938f"/>
          <w10:wrap anchorx="margin" anchory="margin"/>
        </v:shape>
      </w:pict>
    </w:r>
    <w:r w:rsidRPr="0023085F">
      <w:rPr>
        <w:sz w:val="17"/>
        <w:szCs w:val="17"/>
      </w:rPr>
      <w:t xml:space="preserve"> </w:t>
    </w:r>
  </w:p>
  <w:p w:rsidR="00B64122" w:rsidRPr="0023085F" w:rsidRDefault="00B64122">
    <w:pPr>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5272"/>
      <w:gridCol w:w="4088"/>
    </w:tblGrid>
    <w:tr w:rsidR="00B64122" w:rsidTr="001E427D">
      <w:trPr>
        <w:trHeight w:val="396"/>
      </w:trPr>
      <w:tc>
        <w:tcPr>
          <w:tcW w:w="5394" w:type="dxa"/>
          <w:tcBorders>
            <w:top w:val="nil"/>
            <w:left w:val="nil"/>
            <w:bottom w:val="single" w:sz="4" w:space="0" w:color="767677"/>
            <w:right w:val="nil"/>
          </w:tcBorders>
        </w:tcPr>
        <w:p w:rsidR="00B64122" w:rsidRDefault="00B64122" w:rsidP="001E427D">
          <w:pPr>
            <w:pStyle w:val="Header"/>
            <w:spacing w:after="120"/>
          </w:pPr>
          <w:r>
            <w:rPr>
              <w:noProof/>
            </w:rPr>
            <w:drawing>
              <wp:inline distT="0" distB="0" distL="0" distR="0" wp14:anchorId="04E01186" wp14:editId="230CE6D9">
                <wp:extent cx="2980950" cy="725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Dark Gr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950" cy="725425"/>
                        </a:xfrm>
                        <a:prstGeom prst="rect">
                          <a:avLst/>
                        </a:prstGeom>
                      </pic:spPr>
                    </pic:pic>
                  </a:graphicData>
                </a:graphic>
              </wp:inline>
            </w:drawing>
          </w:r>
        </w:p>
      </w:tc>
      <w:tc>
        <w:tcPr>
          <w:tcW w:w="5394" w:type="dxa"/>
          <w:tcBorders>
            <w:top w:val="nil"/>
            <w:left w:val="nil"/>
            <w:bottom w:val="single" w:sz="4" w:space="0" w:color="767677"/>
            <w:right w:val="nil"/>
          </w:tcBorders>
        </w:tcPr>
        <w:p w:rsidR="00B64122" w:rsidRDefault="00B64122" w:rsidP="001E427D">
          <w:pPr>
            <w:pStyle w:val="Header"/>
            <w:jc w:val="right"/>
          </w:pPr>
          <w:r>
            <w:rPr>
              <w:noProof/>
            </w:rPr>
            <w:drawing>
              <wp:anchor distT="0" distB="0" distL="114300" distR="114300" simplePos="0" relativeHeight="251659776" behindDoc="0" locked="0" layoutInCell="1" allowOverlap="1" wp14:anchorId="3C472EF9" wp14:editId="11E1CB3F">
                <wp:simplePos x="0" y="0"/>
                <wp:positionH relativeFrom="column">
                  <wp:posOffset>1355535</wp:posOffset>
                </wp:positionH>
                <wp:positionV relativeFrom="paragraph">
                  <wp:posOffset>5715</wp:posOffset>
                </wp:positionV>
                <wp:extent cx="1246909" cy="1246909"/>
                <wp:effectExtent l="38100" t="38100" r="86995" b="869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6909" cy="124690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r>
  </w:tbl>
  <w:p w:rsidR="00B64122" w:rsidRDefault="00B64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44B"/>
    <w:multiLevelType w:val="hybridMultilevel"/>
    <w:tmpl w:val="77F225A2"/>
    <w:lvl w:ilvl="0" w:tplc="621C3EE0">
      <w:start w:val="1"/>
      <w:numFmt w:val="decimal"/>
      <w:lvlText w:val="%1."/>
      <w:lvlJc w:val="left"/>
      <w:pPr>
        <w:tabs>
          <w:tab w:val="num" w:pos="1080"/>
        </w:tabs>
        <w:ind w:left="1080" w:hanging="720"/>
      </w:pPr>
      <w:rPr>
        <w:rFonts w:hint="default"/>
      </w:rPr>
    </w:lvl>
    <w:lvl w:ilvl="1" w:tplc="FD24D4A0">
      <w:start w:val="1"/>
      <w:numFmt w:val="lowerLetter"/>
      <w:lvlText w:val="%2."/>
      <w:lvlJc w:val="left"/>
      <w:pPr>
        <w:tabs>
          <w:tab w:val="num" w:pos="1560"/>
        </w:tabs>
        <w:ind w:left="1560" w:hanging="36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E3C63"/>
    <w:multiLevelType w:val="hybridMultilevel"/>
    <w:tmpl w:val="B66CCAA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3" w15:restartNumberingAfterBreak="0">
    <w:nsid w:val="13EF6F81"/>
    <w:multiLevelType w:val="hybridMultilevel"/>
    <w:tmpl w:val="E2FA2FBA"/>
    <w:lvl w:ilvl="0" w:tplc="2F0C6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5" w15:restartNumberingAfterBreak="0">
    <w:nsid w:val="3AFE519D"/>
    <w:multiLevelType w:val="hybridMultilevel"/>
    <w:tmpl w:val="B96ACFA6"/>
    <w:lvl w:ilvl="0" w:tplc="98C8B4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25073C"/>
    <w:multiLevelType w:val="hybridMultilevel"/>
    <w:tmpl w:val="CE3C5CEE"/>
    <w:lvl w:ilvl="0" w:tplc="17F8F9E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CF6986"/>
    <w:multiLevelType w:val="hybridMultilevel"/>
    <w:tmpl w:val="BF048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query w:val="SELECT * FROM `'Notification letters$'`"/>
    <w:activeRecord w:val="-1"/>
    <w:odso/>
  </w:mailMerge>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10"/>
    <w:rsid w:val="000003AA"/>
    <w:rsid w:val="00005153"/>
    <w:rsid w:val="000128F7"/>
    <w:rsid w:val="000174F9"/>
    <w:rsid w:val="00023DFD"/>
    <w:rsid w:val="00035150"/>
    <w:rsid w:val="00036982"/>
    <w:rsid w:val="00066CCB"/>
    <w:rsid w:val="00067C0E"/>
    <w:rsid w:val="00077095"/>
    <w:rsid w:val="00080F71"/>
    <w:rsid w:val="00084F70"/>
    <w:rsid w:val="00086BD4"/>
    <w:rsid w:val="000B6CEE"/>
    <w:rsid w:val="000C481E"/>
    <w:rsid w:val="000D55C9"/>
    <w:rsid w:val="000D5E8D"/>
    <w:rsid w:val="00114988"/>
    <w:rsid w:val="00122E85"/>
    <w:rsid w:val="001254E1"/>
    <w:rsid w:val="00135B76"/>
    <w:rsid w:val="001431F1"/>
    <w:rsid w:val="00146902"/>
    <w:rsid w:val="00167BDA"/>
    <w:rsid w:val="0019522C"/>
    <w:rsid w:val="001A5E8E"/>
    <w:rsid w:val="001B1D9F"/>
    <w:rsid w:val="001B48C5"/>
    <w:rsid w:val="001B5A35"/>
    <w:rsid w:val="001C371F"/>
    <w:rsid w:val="001D08AE"/>
    <w:rsid w:val="001E427D"/>
    <w:rsid w:val="001E6BC8"/>
    <w:rsid w:val="001F4954"/>
    <w:rsid w:val="001F6DBF"/>
    <w:rsid w:val="00202B6A"/>
    <w:rsid w:val="002040FB"/>
    <w:rsid w:val="002046D9"/>
    <w:rsid w:val="00210824"/>
    <w:rsid w:val="0021749D"/>
    <w:rsid w:val="0023085F"/>
    <w:rsid w:val="00230EF5"/>
    <w:rsid w:val="00232FA7"/>
    <w:rsid w:val="00244A00"/>
    <w:rsid w:val="002510DD"/>
    <w:rsid w:val="002528C0"/>
    <w:rsid w:val="00256DD9"/>
    <w:rsid w:val="00260716"/>
    <w:rsid w:val="00283377"/>
    <w:rsid w:val="00283BAB"/>
    <w:rsid w:val="002937D9"/>
    <w:rsid w:val="002D1F41"/>
    <w:rsid w:val="002D6F83"/>
    <w:rsid w:val="002D7477"/>
    <w:rsid w:val="002F0C5A"/>
    <w:rsid w:val="0031612D"/>
    <w:rsid w:val="003243ED"/>
    <w:rsid w:val="00330B9E"/>
    <w:rsid w:val="00332F02"/>
    <w:rsid w:val="00333EAE"/>
    <w:rsid w:val="00337FBD"/>
    <w:rsid w:val="00352398"/>
    <w:rsid w:val="00360042"/>
    <w:rsid w:val="003660F9"/>
    <w:rsid w:val="00373989"/>
    <w:rsid w:val="0037628B"/>
    <w:rsid w:val="00386C53"/>
    <w:rsid w:val="00387A99"/>
    <w:rsid w:val="00393C2F"/>
    <w:rsid w:val="003A0742"/>
    <w:rsid w:val="003B0FB3"/>
    <w:rsid w:val="003B1955"/>
    <w:rsid w:val="003B4731"/>
    <w:rsid w:val="003B61EE"/>
    <w:rsid w:val="003B6221"/>
    <w:rsid w:val="003E3AEB"/>
    <w:rsid w:val="003E4D91"/>
    <w:rsid w:val="003E4F28"/>
    <w:rsid w:val="003F2998"/>
    <w:rsid w:val="00410C99"/>
    <w:rsid w:val="00444065"/>
    <w:rsid w:val="00445128"/>
    <w:rsid w:val="004462FD"/>
    <w:rsid w:val="00447F35"/>
    <w:rsid w:val="00464DEE"/>
    <w:rsid w:val="00475DF0"/>
    <w:rsid w:val="004958D3"/>
    <w:rsid w:val="004A1939"/>
    <w:rsid w:val="004A1D6D"/>
    <w:rsid w:val="004E201A"/>
    <w:rsid w:val="004F5543"/>
    <w:rsid w:val="00504859"/>
    <w:rsid w:val="00505DA2"/>
    <w:rsid w:val="00512B46"/>
    <w:rsid w:val="00531345"/>
    <w:rsid w:val="005375EC"/>
    <w:rsid w:val="00550AAA"/>
    <w:rsid w:val="005733CF"/>
    <w:rsid w:val="0059082D"/>
    <w:rsid w:val="00594E39"/>
    <w:rsid w:val="005C49CC"/>
    <w:rsid w:val="005D129A"/>
    <w:rsid w:val="005D5D17"/>
    <w:rsid w:val="005D74E1"/>
    <w:rsid w:val="005E12FC"/>
    <w:rsid w:val="005E14AC"/>
    <w:rsid w:val="005E3C01"/>
    <w:rsid w:val="005E7EAE"/>
    <w:rsid w:val="005F17D8"/>
    <w:rsid w:val="00612AE6"/>
    <w:rsid w:val="006136D3"/>
    <w:rsid w:val="006410B0"/>
    <w:rsid w:val="006467EB"/>
    <w:rsid w:val="00646886"/>
    <w:rsid w:val="00660ABE"/>
    <w:rsid w:val="00662990"/>
    <w:rsid w:val="006727F8"/>
    <w:rsid w:val="00695E1E"/>
    <w:rsid w:val="006E23DD"/>
    <w:rsid w:val="006E4053"/>
    <w:rsid w:val="006E5FA8"/>
    <w:rsid w:val="006E7170"/>
    <w:rsid w:val="006F30E0"/>
    <w:rsid w:val="006F69E5"/>
    <w:rsid w:val="007030FE"/>
    <w:rsid w:val="00706C79"/>
    <w:rsid w:val="00710526"/>
    <w:rsid w:val="007116C5"/>
    <w:rsid w:val="00712EE7"/>
    <w:rsid w:val="00730319"/>
    <w:rsid w:val="00731B82"/>
    <w:rsid w:val="00732791"/>
    <w:rsid w:val="00733EA2"/>
    <w:rsid w:val="00736236"/>
    <w:rsid w:val="00744FFC"/>
    <w:rsid w:val="00746A4F"/>
    <w:rsid w:val="00752CC3"/>
    <w:rsid w:val="00756DEA"/>
    <w:rsid w:val="00766875"/>
    <w:rsid w:val="00787D08"/>
    <w:rsid w:val="007A44A7"/>
    <w:rsid w:val="007A457C"/>
    <w:rsid w:val="007B6CCC"/>
    <w:rsid w:val="007C1738"/>
    <w:rsid w:val="007D648F"/>
    <w:rsid w:val="007D6764"/>
    <w:rsid w:val="007E2F9B"/>
    <w:rsid w:val="00830020"/>
    <w:rsid w:val="008439F2"/>
    <w:rsid w:val="00863AD4"/>
    <w:rsid w:val="00871BAB"/>
    <w:rsid w:val="0088006B"/>
    <w:rsid w:val="00881607"/>
    <w:rsid w:val="00886B84"/>
    <w:rsid w:val="00887ACD"/>
    <w:rsid w:val="00892627"/>
    <w:rsid w:val="008A5271"/>
    <w:rsid w:val="008B2FA6"/>
    <w:rsid w:val="008B318A"/>
    <w:rsid w:val="008B3641"/>
    <w:rsid w:val="008B7756"/>
    <w:rsid w:val="008C0A7C"/>
    <w:rsid w:val="008C36BC"/>
    <w:rsid w:val="008D72DF"/>
    <w:rsid w:val="008E7AF0"/>
    <w:rsid w:val="008F5445"/>
    <w:rsid w:val="00902FEF"/>
    <w:rsid w:val="00914385"/>
    <w:rsid w:val="0091638E"/>
    <w:rsid w:val="00925FCC"/>
    <w:rsid w:val="009412F6"/>
    <w:rsid w:val="009479A8"/>
    <w:rsid w:val="00974FFB"/>
    <w:rsid w:val="009840F7"/>
    <w:rsid w:val="00986301"/>
    <w:rsid w:val="00994C50"/>
    <w:rsid w:val="00997C1B"/>
    <w:rsid w:val="009A24BE"/>
    <w:rsid w:val="009A5249"/>
    <w:rsid w:val="009B12B4"/>
    <w:rsid w:val="009B42DA"/>
    <w:rsid w:val="009B49C7"/>
    <w:rsid w:val="009C4BDB"/>
    <w:rsid w:val="009C5C08"/>
    <w:rsid w:val="009E4493"/>
    <w:rsid w:val="009F1879"/>
    <w:rsid w:val="009F28D8"/>
    <w:rsid w:val="00A001E1"/>
    <w:rsid w:val="00A0636A"/>
    <w:rsid w:val="00A107E4"/>
    <w:rsid w:val="00A14DBC"/>
    <w:rsid w:val="00A2028D"/>
    <w:rsid w:val="00A252EF"/>
    <w:rsid w:val="00A33B67"/>
    <w:rsid w:val="00A50C57"/>
    <w:rsid w:val="00A51798"/>
    <w:rsid w:val="00A52EE0"/>
    <w:rsid w:val="00A80274"/>
    <w:rsid w:val="00A80D2A"/>
    <w:rsid w:val="00A925D8"/>
    <w:rsid w:val="00A97F11"/>
    <w:rsid w:val="00AA5461"/>
    <w:rsid w:val="00AC77D3"/>
    <w:rsid w:val="00AD4877"/>
    <w:rsid w:val="00B01C32"/>
    <w:rsid w:val="00B05D4A"/>
    <w:rsid w:val="00B07AAF"/>
    <w:rsid w:val="00B252C3"/>
    <w:rsid w:val="00B377A2"/>
    <w:rsid w:val="00B46FCB"/>
    <w:rsid w:val="00B57A2B"/>
    <w:rsid w:val="00B62626"/>
    <w:rsid w:val="00B64122"/>
    <w:rsid w:val="00B6577A"/>
    <w:rsid w:val="00B67FBB"/>
    <w:rsid w:val="00B7464D"/>
    <w:rsid w:val="00B82B50"/>
    <w:rsid w:val="00B833BA"/>
    <w:rsid w:val="00B912C2"/>
    <w:rsid w:val="00B9662A"/>
    <w:rsid w:val="00BA46DB"/>
    <w:rsid w:val="00BB3AF7"/>
    <w:rsid w:val="00BB4944"/>
    <w:rsid w:val="00BC2B78"/>
    <w:rsid w:val="00BC542C"/>
    <w:rsid w:val="00BD68D5"/>
    <w:rsid w:val="00BE1373"/>
    <w:rsid w:val="00C10C44"/>
    <w:rsid w:val="00C1489F"/>
    <w:rsid w:val="00C22B9F"/>
    <w:rsid w:val="00C237FE"/>
    <w:rsid w:val="00C26542"/>
    <w:rsid w:val="00C3452C"/>
    <w:rsid w:val="00C3463E"/>
    <w:rsid w:val="00C35FC3"/>
    <w:rsid w:val="00C546AD"/>
    <w:rsid w:val="00C87A8B"/>
    <w:rsid w:val="00C921B8"/>
    <w:rsid w:val="00C93A4B"/>
    <w:rsid w:val="00CB669E"/>
    <w:rsid w:val="00CC0717"/>
    <w:rsid w:val="00CC69A3"/>
    <w:rsid w:val="00CD64E3"/>
    <w:rsid w:val="00CD79C2"/>
    <w:rsid w:val="00CE5098"/>
    <w:rsid w:val="00CF11D4"/>
    <w:rsid w:val="00D01610"/>
    <w:rsid w:val="00D0388D"/>
    <w:rsid w:val="00D075C5"/>
    <w:rsid w:val="00D1104B"/>
    <w:rsid w:val="00D175BA"/>
    <w:rsid w:val="00D323C9"/>
    <w:rsid w:val="00D32F9A"/>
    <w:rsid w:val="00D35BCC"/>
    <w:rsid w:val="00D43366"/>
    <w:rsid w:val="00D44281"/>
    <w:rsid w:val="00D47F8E"/>
    <w:rsid w:val="00D6089C"/>
    <w:rsid w:val="00D773C4"/>
    <w:rsid w:val="00D81DA5"/>
    <w:rsid w:val="00D8207A"/>
    <w:rsid w:val="00D834C2"/>
    <w:rsid w:val="00D84261"/>
    <w:rsid w:val="00D90D1D"/>
    <w:rsid w:val="00D96E4B"/>
    <w:rsid w:val="00DA32D8"/>
    <w:rsid w:val="00DA7F25"/>
    <w:rsid w:val="00DB75C7"/>
    <w:rsid w:val="00DC04B4"/>
    <w:rsid w:val="00DD7569"/>
    <w:rsid w:val="00DF38D6"/>
    <w:rsid w:val="00E006BF"/>
    <w:rsid w:val="00E202BC"/>
    <w:rsid w:val="00E224B4"/>
    <w:rsid w:val="00E224F2"/>
    <w:rsid w:val="00E53636"/>
    <w:rsid w:val="00E558AA"/>
    <w:rsid w:val="00E61C1B"/>
    <w:rsid w:val="00E67834"/>
    <w:rsid w:val="00E73AB3"/>
    <w:rsid w:val="00E901A0"/>
    <w:rsid w:val="00E9193E"/>
    <w:rsid w:val="00EA58FA"/>
    <w:rsid w:val="00EC2A8C"/>
    <w:rsid w:val="00EC6EE8"/>
    <w:rsid w:val="00EE09E7"/>
    <w:rsid w:val="00EE1FF3"/>
    <w:rsid w:val="00EF117A"/>
    <w:rsid w:val="00EF7965"/>
    <w:rsid w:val="00F06DAF"/>
    <w:rsid w:val="00F11680"/>
    <w:rsid w:val="00F208F2"/>
    <w:rsid w:val="00F46C70"/>
    <w:rsid w:val="00F51677"/>
    <w:rsid w:val="00F76542"/>
    <w:rsid w:val="00F93A3C"/>
    <w:rsid w:val="00FB2292"/>
    <w:rsid w:val="00FB48D9"/>
    <w:rsid w:val="00FB4E1E"/>
    <w:rsid w:val="00FB57DA"/>
    <w:rsid w:val="00FC1016"/>
    <w:rsid w:val="00FC63BE"/>
    <w:rsid w:val="00FD52EC"/>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3A085B"/>
  <w15:chartTrackingRefBased/>
  <w15:docId w15:val="{0546CCDA-FE06-4784-9A67-94601140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965"/>
    <w:rPr>
      <w:sz w:val="24"/>
      <w:szCs w:val="24"/>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pPr>
  </w:style>
  <w:style w:type="paragraph" w:customStyle="1" w:styleId="ReferenceLine">
    <w:name w:val="Reference Line"/>
    <w:basedOn w:val="Normal"/>
    <w:next w:val="MailingInstructions"/>
    <w:pPr>
      <w:keepNext/>
      <w:spacing w:after="240" w:line="240" w:lineRule="atLeas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pPr>
  </w:style>
  <w:style w:type="paragraph" w:styleId="ListNumber">
    <w:name w:val="List Number"/>
    <w:basedOn w:val="List"/>
    <w:pPr>
      <w:numPr>
        <w:numId w:val="2"/>
      </w:numPr>
    </w:pPr>
  </w:style>
  <w:style w:type="character" w:styleId="Hyperlink">
    <w:name w:val="Hyperlink"/>
    <w:rsid w:val="00F06DAF"/>
    <w:rPr>
      <w:color w:val="0000FF"/>
      <w:u w:val="single"/>
    </w:rPr>
  </w:style>
  <w:style w:type="character" w:styleId="FollowedHyperlink">
    <w:name w:val="FollowedHyperlink"/>
    <w:rsid w:val="00F06DAF"/>
    <w:rPr>
      <w:color w:val="800080"/>
      <w:u w:val="single"/>
    </w:rPr>
  </w:style>
  <w:style w:type="paragraph" w:styleId="Footer">
    <w:name w:val="footer"/>
    <w:basedOn w:val="Normal"/>
    <w:link w:val="FooterChar"/>
    <w:uiPriority w:val="99"/>
    <w:rsid w:val="008D72DF"/>
    <w:pPr>
      <w:tabs>
        <w:tab w:val="center" w:pos="4320"/>
        <w:tab w:val="right" w:pos="8640"/>
      </w:tabs>
    </w:pPr>
  </w:style>
  <w:style w:type="paragraph" w:styleId="BodyTextIndent">
    <w:name w:val="Body Text Indent"/>
    <w:basedOn w:val="Normal"/>
    <w:link w:val="BodyTextIndentChar"/>
    <w:rsid w:val="00EF7965"/>
    <w:pPr>
      <w:spacing w:after="120"/>
      <w:ind w:left="360"/>
    </w:pPr>
  </w:style>
  <w:style w:type="character" w:customStyle="1" w:styleId="BodyTextIndentChar">
    <w:name w:val="Body Text Indent Char"/>
    <w:link w:val="BodyTextIndent"/>
    <w:rsid w:val="00881607"/>
    <w:rPr>
      <w:sz w:val="24"/>
      <w:szCs w:val="24"/>
    </w:rPr>
  </w:style>
  <w:style w:type="paragraph" w:styleId="ListParagraph">
    <w:name w:val="List Paragraph"/>
    <w:basedOn w:val="Normal"/>
    <w:uiPriority w:val="34"/>
    <w:qFormat/>
    <w:rsid w:val="008A5271"/>
    <w:pPr>
      <w:ind w:left="720"/>
    </w:pPr>
  </w:style>
  <w:style w:type="character" w:customStyle="1" w:styleId="FooterChar">
    <w:name w:val="Footer Char"/>
    <w:link w:val="Footer"/>
    <w:uiPriority w:val="99"/>
    <w:rsid w:val="008F5445"/>
    <w:rPr>
      <w:sz w:val="24"/>
      <w:szCs w:val="24"/>
    </w:rPr>
  </w:style>
  <w:style w:type="paragraph" w:styleId="BalloonText">
    <w:name w:val="Balloon Text"/>
    <w:basedOn w:val="Normal"/>
    <w:link w:val="BalloonTextChar"/>
    <w:uiPriority w:val="99"/>
    <w:semiHidden/>
    <w:unhideWhenUsed/>
    <w:rsid w:val="00746A4F"/>
    <w:rPr>
      <w:rFonts w:ascii="Segoe UI" w:hAnsi="Segoe UI" w:cs="Segoe UI"/>
      <w:sz w:val="18"/>
      <w:szCs w:val="18"/>
    </w:rPr>
  </w:style>
  <w:style w:type="character" w:customStyle="1" w:styleId="BalloonTextChar">
    <w:name w:val="Balloon Text Char"/>
    <w:link w:val="BalloonText"/>
    <w:uiPriority w:val="99"/>
    <w:semiHidden/>
    <w:rsid w:val="00746A4F"/>
    <w:rPr>
      <w:rFonts w:ascii="Segoe UI" w:hAnsi="Segoe UI" w:cs="Segoe UI"/>
      <w:sz w:val="18"/>
      <w:szCs w:val="18"/>
    </w:rPr>
  </w:style>
  <w:style w:type="character" w:customStyle="1" w:styleId="HeaderChar">
    <w:name w:val="Header Char"/>
    <w:basedOn w:val="DefaultParagraphFont"/>
    <w:link w:val="Header"/>
    <w:uiPriority w:val="99"/>
    <w:rsid w:val="001E427D"/>
    <w:rPr>
      <w:sz w:val="24"/>
      <w:szCs w:val="24"/>
    </w:rPr>
  </w:style>
  <w:style w:type="table" w:styleId="TableGrid">
    <w:name w:val="Table Grid"/>
    <w:basedOn w:val="TableNormal"/>
    <w:uiPriority w:val="39"/>
    <w:rsid w:val="001E42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503792">
      <w:bodyDiv w:val="1"/>
      <w:marLeft w:val="0"/>
      <w:marRight w:val="0"/>
      <w:marTop w:val="0"/>
      <w:marBottom w:val="0"/>
      <w:divBdr>
        <w:top w:val="none" w:sz="0" w:space="0" w:color="auto"/>
        <w:left w:val="none" w:sz="0" w:space="0" w:color="auto"/>
        <w:bottom w:val="none" w:sz="0" w:space="0" w:color="auto"/>
        <w:right w:val="none" w:sz="0" w:space="0" w:color="auto"/>
      </w:divBdr>
      <w:divsChild>
        <w:div w:id="74136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B781-8B40-4013-A8B9-6715DD47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955</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5987</CharactersWithSpaces>
  <SharedDoc>false</SharedDoc>
  <HLinks>
    <vt:vector size="6" baseType="variant">
      <vt:variant>
        <vt:i4>6750221</vt:i4>
      </vt:variant>
      <vt:variant>
        <vt:i4>30</vt:i4>
      </vt:variant>
      <vt:variant>
        <vt:i4>0</vt:i4>
      </vt:variant>
      <vt:variant>
        <vt:i4>5</vt:i4>
      </vt:variant>
      <vt:variant>
        <vt:lpwstr>mailto:ablanchette@scarborough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SCARBOROUGH SCHOOL DEPT.</dc:creator>
  <cp:keywords/>
  <cp:lastModifiedBy>Jay Chace</cp:lastModifiedBy>
  <cp:revision>9</cp:revision>
  <cp:lastPrinted>2021-03-11T21:05:00Z</cp:lastPrinted>
  <dcterms:created xsi:type="dcterms:W3CDTF">2021-03-10T22:14:00Z</dcterms:created>
  <dcterms:modified xsi:type="dcterms:W3CDTF">2021-03-11T22:00:00Z</dcterms:modified>
</cp:coreProperties>
</file>