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color w:val="0000ff"/>
          <w:rtl w:val="0"/>
        </w:rPr>
        <w:t xml:space="preserve">How is the strategy of shifting the tax burden away from residential and towards commercial going?</w:t>
      </w:r>
      <w:r w:rsidDel="00000000" w:rsidR="00000000" w:rsidRPr="00000000">
        <w:rPr>
          <w:rtl w:val="0"/>
        </w:rPr>
        <w:t xml:space="preserve">  </w:t>
      </w:r>
    </w:p>
    <w:p w:rsidR="00000000" w:rsidDel="00000000" w:rsidP="00000000" w:rsidRDefault="00000000" w:rsidRPr="00000000" w14:paraId="00000002">
      <w:pPr>
        <w:ind w:left="720" w:firstLine="0"/>
        <w:rPr/>
      </w:pPr>
      <w:r w:rsidDel="00000000" w:rsidR="00000000" w:rsidRPr="00000000">
        <w:rPr>
          <w:rtl w:val="0"/>
        </w:rPr>
        <w:t xml:space="preserve">1)  It is probably best to compare 2018 to 2021 as there were staggered revals in 2019 and 2020 (commercial was first followed by residential).  Our value added to residential in the four years was approx 600MM while commercial was 300MM.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firstLine="720"/>
        <w:rPr/>
      </w:pPr>
      <w:commentRangeStart w:id="0"/>
      <w:commentRangeStart w:id="1"/>
      <w:commentRangeStart w:id="2"/>
      <w:commentRangeStart w:id="3"/>
      <w:r w:rsidDel="00000000" w:rsidR="00000000" w:rsidRPr="00000000">
        <w:rPr>
          <w:rtl w:val="0"/>
        </w:rPr>
        <w:t xml:space="preserve">2)  As this is the assessor’s data, multifamily is considered commercial</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tl w:val="0"/>
        </w:rPr>
        <w:t xml:space="preserve">.  </w:t>
      </w:r>
      <w:r w:rsidDel="00000000" w:rsidR="00000000" w:rsidRPr="00000000">
        <w:rPr/>
        <w:drawing>
          <wp:inline distB="114300" distT="114300" distL="114300" distR="114300">
            <wp:extent cx="5943600" cy="2197100"/>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2197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color w:val="0000ff"/>
          <w:rtl w:val="0"/>
        </w:rPr>
        <w:t xml:space="preserve">What is the breakdown of the growth permits issued this year?</w:t>
      </w:r>
      <w:r w:rsidDel="00000000" w:rsidR="00000000" w:rsidRPr="00000000">
        <w:rPr>
          <w:rtl w:val="0"/>
        </w:rPr>
        <w:t xml:space="preserve">  </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 T</w:t>
      </w:r>
      <w:commentRangeStart w:id="4"/>
      <w:commentRangeStart w:id="5"/>
      <w:r w:rsidDel="00000000" w:rsidR="00000000" w:rsidRPr="00000000">
        <w:rPr>
          <w:rtl w:val="0"/>
        </w:rPr>
        <w:t xml:space="preserve">his is from the planning department.</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t xml:space="preserve">  </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  </w:t>
      </w:r>
      <w:r w:rsidDel="00000000" w:rsidR="00000000" w:rsidRPr="00000000">
        <w:rPr/>
        <w:drawing>
          <wp:inline distB="114300" distT="114300" distL="114300" distR="114300">
            <wp:extent cx="5038725" cy="1343025"/>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038725" cy="134302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color w:val="0000ff"/>
        </w:rPr>
      </w:pPr>
      <w:r w:rsidDel="00000000" w:rsidR="00000000" w:rsidRPr="00000000">
        <w:rPr>
          <w:rtl w:val="0"/>
        </w:rPr>
      </w:r>
    </w:p>
    <w:p w:rsidR="00000000" w:rsidDel="00000000" w:rsidP="00000000" w:rsidRDefault="00000000" w:rsidRPr="00000000" w14:paraId="0000000F">
      <w:pPr>
        <w:ind w:left="0" w:firstLine="0"/>
        <w:rPr>
          <w:color w:val="0000ff"/>
        </w:rPr>
      </w:pPr>
      <w:r w:rsidDel="00000000" w:rsidR="00000000" w:rsidRPr="00000000">
        <w:rPr>
          <w:rtl w:val="0"/>
        </w:rPr>
      </w:r>
    </w:p>
    <w:p w:rsidR="00000000" w:rsidDel="00000000" w:rsidP="00000000" w:rsidRDefault="00000000" w:rsidRPr="00000000" w14:paraId="00000010">
      <w:pPr>
        <w:ind w:left="0" w:firstLine="0"/>
        <w:rPr>
          <w:color w:val="0000ff"/>
        </w:rPr>
      </w:pPr>
      <w:r w:rsidDel="00000000" w:rsidR="00000000" w:rsidRPr="00000000">
        <w:rPr>
          <w:rtl w:val="0"/>
        </w:rPr>
      </w:r>
    </w:p>
    <w:p w:rsidR="00000000" w:rsidDel="00000000" w:rsidP="00000000" w:rsidRDefault="00000000" w:rsidRPr="00000000" w14:paraId="00000011">
      <w:pPr>
        <w:ind w:left="0" w:firstLine="0"/>
        <w:rPr>
          <w:color w:val="0000ff"/>
        </w:rPr>
      </w:pPr>
      <w:r w:rsidDel="00000000" w:rsidR="00000000" w:rsidRPr="00000000">
        <w:rPr>
          <w:rtl w:val="0"/>
        </w:rPr>
      </w:r>
    </w:p>
    <w:p w:rsidR="00000000" w:rsidDel="00000000" w:rsidP="00000000" w:rsidRDefault="00000000" w:rsidRPr="00000000" w14:paraId="00000012">
      <w:pPr>
        <w:ind w:left="0" w:firstLine="0"/>
        <w:rPr>
          <w:color w:val="0000ff"/>
        </w:rPr>
      </w:pPr>
      <w:commentRangeStart w:id="6"/>
      <w:commentRangeStart w:id="7"/>
      <w:commentRangeStart w:id="8"/>
      <w:commentRangeStart w:id="9"/>
      <w:commentRangeStart w:id="10"/>
      <w:r w:rsidDel="00000000" w:rsidR="00000000" w:rsidRPr="00000000">
        <w:rPr>
          <w:rtl w:val="0"/>
        </w:rPr>
      </w:r>
    </w:p>
    <w:p w:rsidR="00000000" w:rsidDel="00000000" w:rsidP="00000000" w:rsidRDefault="00000000" w:rsidRPr="00000000" w14:paraId="00000013">
      <w:pPr>
        <w:ind w:left="0" w:firstLine="0"/>
        <w:rPr>
          <w:color w:val="0000ff"/>
        </w:rPr>
      </w:pP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commentRangeEnd w:id="9"/>
      <w:r w:rsidDel="00000000" w:rsidR="00000000" w:rsidRPr="00000000">
        <w:commentReference w:id="9"/>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14">
      <w:pPr>
        <w:ind w:left="0" w:firstLine="0"/>
        <w:rPr>
          <w:color w:val="0000ff"/>
        </w:rPr>
      </w:pPr>
      <w:r w:rsidDel="00000000" w:rsidR="00000000" w:rsidRPr="00000000">
        <w:rPr>
          <w:rtl w:val="0"/>
        </w:rPr>
      </w:r>
    </w:p>
    <w:p w:rsidR="00000000" w:rsidDel="00000000" w:rsidP="00000000" w:rsidRDefault="00000000" w:rsidRPr="00000000" w14:paraId="00000015">
      <w:pPr>
        <w:ind w:left="0" w:firstLine="0"/>
        <w:rPr>
          <w:color w:val="0000ff"/>
        </w:rPr>
      </w:pPr>
      <w:r w:rsidDel="00000000" w:rsidR="00000000" w:rsidRPr="00000000">
        <w:rPr>
          <w:rtl w:val="0"/>
        </w:rPr>
      </w:r>
    </w:p>
    <w:p w:rsidR="00000000" w:rsidDel="00000000" w:rsidP="00000000" w:rsidRDefault="00000000" w:rsidRPr="00000000" w14:paraId="00000016">
      <w:pPr>
        <w:ind w:left="0" w:firstLine="0"/>
        <w:rPr>
          <w:color w:val="0000ff"/>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color w:val="0000ff"/>
          <w:rtl w:val="0"/>
        </w:rPr>
        <w:t xml:space="preserve">What is the running average number of </w:t>
      </w:r>
      <w:r w:rsidDel="00000000" w:rsidR="00000000" w:rsidRPr="00000000">
        <w:rPr>
          <w:b w:val="1"/>
          <w:color w:val="ff0000"/>
          <w:u w:val="single"/>
          <w:rtl w:val="0"/>
        </w:rPr>
        <w:t xml:space="preserve">UNITS</w:t>
      </w:r>
      <w:r w:rsidDel="00000000" w:rsidR="00000000" w:rsidRPr="00000000">
        <w:rPr>
          <w:color w:val="0000ff"/>
          <w:rtl w:val="0"/>
        </w:rPr>
        <w:t xml:space="preserve"> built in the past 5-years?  What about 10-years?  </w:t>
      </w:r>
      <w:r w:rsidDel="00000000" w:rsidR="00000000" w:rsidRPr="00000000">
        <w:rPr>
          <w:rtl w:val="0"/>
        </w:rPr>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This is “all in”.  Beacon, Piper, Hillcrest, Etc </w:t>
      </w:r>
      <w:r w:rsidDel="00000000" w:rsidR="00000000" w:rsidRPr="00000000">
        <w:rPr>
          <w:i w:val="1"/>
          <w:rtl w:val="0"/>
        </w:rPr>
        <w:t xml:space="preserve">(very important distinction as Hillcrest is already exempt from our GMO, so these are more than just the units resulting from growth permits)</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This is from the planning department. </w:t>
      </w:r>
      <w:r w:rsidDel="00000000" w:rsidR="00000000" w:rsidRPr="00000000">
        <w:rPr/>
        <w:drawing>
          <wp:inline distB="114300" distT="114300" distL="114300" distR="114300">
            <wp:extent cx="5943600" cy="4445000"/>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44450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color w:val="0000ff"/>
          <w:rtl w:val="0"/>
        </w:rPr>
        <w:t xml:space="preserve">If we exempted all one-bedroom units and everything else one-to-one, what is the running average number of </w:t>
      </w:r>
      <w:r w:rsidDel="00000000" w:rsidR="00000000" w:rsidRPr="00000000">
        <w:rPr>
          <w:b w:val="1"/>
          <w:color w:val="ff0000"/>
          <w:u w:val="single"/>
          <w:rtl w:val="0"/>
        </w:rPr>
        <w:t xml:space="preserve">UNITS</w:t>
      </w:r>
      <w:r w:rsidDel="00000000" w:rsidR="00000000" w:rsidRPr="00000000">
        <w:rPr>
          <w:color w:val="0000ff"/>
          <w:rtl w:val="0"/>
        </w:rPr>
        <w:t xml:space="preserve"> that would be issued under this assumption in the past </w:t>
      </w:r>
      <w:commentRangeStart w:id="11"/>
      <w:commentRangeStart w:id="12"/>
      <w:commentRangeStart w:id="13"/>
      <w:commentRangeStart w:id="14"/>
      <w:r w:rsidDel="00000000" w:rsidR="00000000" w:rsidRPr="00000000">
        <w:rPr>
          <w:color w:val="0000ff"/>
          <w:rtl w:val="0"/>
        </w:rPr>
        <w:t xml:space="preserve">5-years?</w:t>
      </w:r>
      <w:commentRangeEnd w:id="11"/>
      <w:r w:rsidDel="00000000" w:rsidR="00000000" w:rsidRPr="00000000">
        <w:commentReference w:id="11"/>
      </w:r>
      <w:commentRangeEnd w:id="12"/>
      <w:r w:rsidDel="00000000" w:rsidR="00000000" w:rsidRPr="00000000">
        <w:commentReference w:id="12"/>
      </w:r>
      <w:commentRangeEnd w:id="13"/>
      <w:r w:rsidDel="00000000" w:rsidR="00000000" w:rsidRPr="00000000">
        <w:commentReference w:id="13"/>
      </w:r>
      <w:commentRangeEnd w:id="14"/>
      <w:r w:rsidDel="00000000" w:rsidR="00000000" w:rsidRPr="00000000">
        <w:commentReference w:id="14"/>
      </w:r>
      <w:r w:rsidDel="00000000" w:rsidR="00000000" w:rsidRPr="00000000">
        <w:rPr>
          <w:color w:val="0000ff"/>
          <w:rtl w:val="0"/>
        </w:rPr>
        <w:t xml:space="preserve">  What about 10-years? </w:t>
      </w:r>
      <w:r w:rsidDel="00000000" w:rsidR="00000000" w:rsidRPr="00000000">
        <w:rPr>
          <w:rtl w:val="0"/>
        </w:rPr>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This is “all in”.  Beacon, Piper, Hillcrest,  Etc </w:t>
      </w:r>
      <w:r w:rsidDel="00000000" w:rsidR="00000000" w:rsidRPr="00000000">
        <w:rPr>
          <w:i w:val="1"/>
          <w:rtl w:val="0"/>
        </w:rPr>
        <w:t xml:space="preserve">(very important distinction as Hillcrest is already exempt from our GMO, so these are more than just the units resulting from growth permits)</w:t>
      </w:r>
      <w:r w:rsidDel="00000000" w:rsidR="00000000" w:rsidRPr="00000000">
        <w:rPr>
          <w:rtl w:val="0"/>
        </w:rPr>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This is from the planning department.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5-year (tot)       5-year (avg)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rPr>
            </w:pPr>
            <w:r w:rsidDel="00000000" w:rsidR="00000000" w:rsidRPr="00000000">
              <w:rPr>
                <w:sz w:val="20"/>
                <w:szCs w:val="20"/>
                <w:rtl w:val="0"/>
              </w:rPr>
              <w:t xml:space="preserve">10-year (tot)       10-year (avg)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units 1 GP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1305                    261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1749                   175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1 bedroom exempt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833                      167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1259                    126</w:t>
            </w:r>
          </w:p>
        </w:tc>
      </w:tr>
    </w:tbl>
    <w:p w:rsidR="00000000" w:rsidDel="00000000" w:rsidP="00000000" w:rsidRDefault="00000000" w:rsidRPr="00000000" w14:paraId="00000029">
      <w:pPr>
        <w:rPr>
          <w:color w:val="ff0000"/>
          <w:sz w:val="18"/>
          <w:szCs w:val="18"/>
        </w:rPr>
      </w:pPr>
      <w:r w:rsidDel="00000000" w:rsidR="00000000" w:rsidRPr="00000000">
        <w:rPr>
          <w:rtl w:val="0"/>
        </w:rPr>
      </w:r>
    </w:p>
    <w:p w:rsidR="00000000" w:rsidDel="00000000" w:rsidP="00000000" w:rsidRDefault="00000000" w:rsidRPr="00000000" w14:paraId="0000002A">
      <w:pPr>
        <w:rPr>
          <w:color w:val="0000ff"/>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color w:val="0000ff"/>
        </w:rPr>
      </w:pPr>
      <w:r w:rsidDel="00000000" w:rsidR="00000000" w:rsidRPr="00000000">
        <w:rPr>
          <w:color w:val="0000ff"/>
          <w:rtl w:val="0"/>
        </w:rPr>
        <w:t xml:space="preserve">What is currently proposed:  exempting one-bedroom, contract zones, and affordable housing (including Hillcrest).  Using this premise, and all other units being 1 growth permit, what would the past averages look like?</w:t>
      </w:r>
    </w:p>
    <w:p w:rsidR="00000000" w:rsidDel="00000000" w:rsidP="00000000" w:rsidRDefault="00000000" w:rsidRPr="00000000" w14:paraId="0000002D">
      <w:pPr>
        <w:rPr>
          <w:color w:val="0000ff"/>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0"/>
                <w:szCs w:val="20"/>
              </w:rPr>
            </w:pPr>
            <w:r w:rsidDel="00000000" w:rsidR="00000000" w:rsidRPr="00000000">
              <w:rPr>
                <w:sz w:val="20"/>
                <w:szCs w:val="20"/>
                <w:rtl w:val="0"/>
              </w:rPr>
              <w:t xml:space="preserve">5-year (tot)       5-year (avg)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0"/>
                <w:szCs w:val="20"/>
              </w:rPr>
            </w:pPr>
            <w:r w:rsidDel="00000000" w:rsidR="00000000" w:rsidRPr="00000000">
              <w:rPr>
                <w:sz w:val="20"/>
                <w:szCs w:val="20"/>
                <w:rtl w:val="0"/>
              </w:rPr>
              <w:t xml:space="preserve">10-year (tot)       10-year (avg)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All units 1 GP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1305                    261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1749                   175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color w:val="ff0000"/>
              </w:rPr>
            </w:pPr>
            <w:r w:rsidDel="00000000" w:rsidR="00000000" w:rsidRPr="00000000">
              <w:rPr>
                <w:color w:val="ff0000"/>
                <w:rtl w:val="0"/>
              </w:rPr>
              <w:t xml:space="preserve">1 bedroom exempt, contract zones, affordable, Hillcrest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color w:val="ff0000"/>
              </w:rPr>
            </w:pPr>
            <w:r w:rsidDel="00000000" w:rsidR="00000000" w:rsidRPr="00000000">
              <w:rPr>
                <w:color w:val="ff0000"/>
                <w:rtl w:val="0"/>
              </w:rPr>
              <w:t xml:space="preserve">477.5                   95.5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color w:val="ff0000"/>
              </w:rPr>
            </w:pPr>
            <w:r w:rsidDel="00000000" w:rsidR="00000000" w:rsidRPr="00000000">
              <w:rPr>
                <w:color w:val="ff0000"/>
                <w:rtl w:val="0"/>
              </w:rPr>
              <w:t xml:space="preserve">832                    83.2</w:t>
            </w:r>
          </w:p>
        </w:tc>
      </w:tr>
    </w:tbl>
    <w:p w:rsidR="00000000" w:rsidDel="00000000" w:rsidP="00000000" w:rsidRDefault="00000000" w:rsidRPr="00000000" w14:paraId="00000037">
      <w:pPr>
        <w:rPr>
          <w:color w:val="0000ff"/>
        </w:rPr>
      </w:pPr>
      <w:r w:rsidDel="00000000" w:rsidR="00000000" w:rsidRPr="00000000">
        <w:rPr>
          <w:rtl w:val="0"/>
        </w:rPr>
      </w:r>
    </w:p>
    <w:p w:rsidR="00000000" w:rsidDel="00000000" w:rsidP="00000000" w:rsidRDefault="00000000" w:rsidRPr="00000000" w14:paraId="00000038">
      <w:pPr>
        <w:rPr>
          <w:color w:val="0000ff"/>
        </w:rPr>
      </w:pPr>
      <w:r w:rsidDel="00000000" w:rsidR="00000000" w:rsidRPr="00000000">
        <w:rPr>
          <w:color w:val="0000ff"/>
          <w:rtl w:val="0"/>
        </w:rPr>
        <w:t xml:space="preserve">That seems like a lot of exemptions.  Why not continue with the reserve pool or actually create “council” permits?</w:t>
      </w:r>
    </w:p>
    <w:p w:rsidR="00000000" w:rsidDel="00000000" w:rsidP="00000000" w:rsidRDefault="00000000" w:rsidRPr="00000000" w14:paraId="00000039">
      <w:pPr>
        <w:rPr/>
      </w:pPr>
      <w:r w:rsidDel="00000000" w:rsidR="00000000" w:rsidRPr="00000000">
        <w:rPr>
          <w:rtl w:val="0"/>
        </w:rPr>
        <w:t xml:space="preserve">It is nuanced.  By exempting certaining scenarios, we keep our actual permits issued low.  This means our five and ten year averages will actually decrease and always leave the door open to more restrictive </w:t>
      </w:r>
      <w:r w:rsidDel="00000000" w:rsidR="00000000" w:rsidRPr="00000000">
        <w:rPr>
          <w:rtl w:val="0"/>
        </w:rPr>
        <w:t xml:space="preserve">measures. </w:t>
      </w:r>
      <w:r w:rsidDel="00000000" w:rsidR="00000000" w:rsidRPr="00000000">
        <w:rPr>
          <w:rtl w:val="0"/>
        </w:rPr>
        <w:t xml:space="preserve"> </w:t>
      </w:r>
    </w:p>
    <w:p w:rsidR="00000000" w:rsidDel="00000000" w:rsidP="00000000" w:rsidRDefault="00000000" w:rsidRPr="00000000" w14:paraId="0000003A">
      <w:pPr>
        <w:rPr>
          <w:color w:val="0000ff"/>
        </w:rPr>
      </w:pPr>
      <w:r w:rsidDel="00000000" w:rsidR="00000000" w:rsidRPr="00000000">
        <w:rPr>
          <w:rtl w:val="0"/>
        </w:rPr>
      </w:r>
    </w:p>
    <w:p w:rsidR="00000000" w:rsidDel="00000000" w:rsidP="00000000" w:rsidRDefault="00000000" w:rsidRPr="00000000" w14:paraId="0000003B">
      <w:pPr>
        <w:rPr/>
      </w:pPr>
      <w:r w:rsidDel="00000000" w:rsidR="00000000" w:rsidRPr="00000000">
        <w:rPr>
          <w:color w:val="0000ff"/>
          <w:rtl w:val="0"/>
        </w:rPr>
        <w:t xml:space="preserve">What about the overcrowding of schools that is happening?  How is school enrollment trending? </w:t>
      </w:r>
      <w:r w:rsidDel="00000000" w:rsidR="00000000" w:rsidRPr="00000000">
        <w:rPr>
          <w:rtl w:val="0"/>
        </w:rPr>
      </w:r>
    </w:p>
    <w:p w:rsidR="00000000" w:rsidDel="00000000" w:rsidP="00000000" w:rsidRDefault="00000000" w:rsidRPr="00000000" w14:paraId="0000003C">
      <w:pPr>
        <w:numPr>
          <w:ilvl w:val="0"/>
          <w:numId w:val="4"/>
        </w:numPr>
        <w:ind w:left="720" w:hanging="360"/>
        <w:rPr>
          <w:u w:val="none"/>
        </w:rPr>
      </w:pPr>
      <w:r w:rsidDel="00000000" w:rsidR="00000000" w:rsidRPr="00000000">
        <w:rPr>
          <w:rtl w:val="0"/>
        </w:rPr>
        <w:t xml:space="preserve"> This data is compiled by JC.  His </w:t>
      </w:r>
      <w:hyperlink r:id="rId10">
        <w:r w:rsidDel="00000000" w:rsidR="00000000" w:rsidRPr="00000000">
          <w:rPr>
            <w:color w:val="1155cc"/>
            <w:u w:val="single"/>
            <w:rtl w:val="0"/>
          </w:rPr>
          <w:t xml:space="preserve">dashboard</w:t>
        </w:r>
      </w:hyperlink>
      <w:r w:rsidDel="00000000" w:rsidR="00000000" w:rsidRPr="00000000">
        <w:rPr>
          <w:rtl w:val="0"/>
        </w:rPr>
        <w:t xml:space="preserve"> is probably one of the most informative tools we have.  </w:t>
      </w:r>
      <w:r w:rsidDel="00000000" w:rsidR="00000000" w:rsidRPr="00000000">
        <w:rPr>
          <w:b w:val="1"/>
          <w:i w:val="1"/>
          <w:u w:val="single"/>
          <w:rtl w:val="0"/>
        </w:rPr>
        <w:t xml:space="preserve">If you haven’t clicked on this or you haven’t spent real time on it, you are doing yourself a disservice</w:t>
      </w:r>
      <w:r w:rsidDel="00000000" w:rsidR="00000000" w:rsidRPr="00000000">
        <w:rPr>
          <w:rtl w:val="0"/>
        </w:rPr>
        <w:t xml:space="preserve">.  FYI...in the top left, there are 10 different pages with all the common data requests.</w:t>
      </w:r>
    </w:p>
    <w:p w:rsidR="00000000" w:rsidDel="00000000" w:rsidP="00000000" w:rsidRDefault="00000000" w:rsidRPr="00000000" w14:paraId="0000003D">
      <w:pPr>
        <w:numPr>
          <w:ilvl w:val="0"/>
          <w:numId w:val="4"/>
        </w:numPr>
        <w:ind w:left="720" w:hanging="360"/>
        <w:rPr>
          <w:u w:val="none"/>
        </w:rPr>
      </w:pPr>
      <w:r w:rsidDel="00000000" w:rsidR="00000000" w:rsidRPr="00000000">
        <w:rPr>
          <w:rtl w:val="0"/>
        </w:rPr>
        <w:t xml:space="preserve">This data is pulled from official sources that I will let JC defend if anyone would like to probe further.</w:t>
      </w:r>
    </w:p>
    <w:p w:rsidR="00000000" w:rsidDel="00000000" w:rsidP="00000000" w:rsidRDefault="00000000" w:rsidRPr="00000000" w14:paraId="0000003E">
      <w:pPr>
        <w:numPr>
          <w:ilvl w:val="0"/>
          <w:numId w:val="4"/>
        </w:numPr>
        <w:ind w:left="720" w:hanging="360"/>
        <w:rPr>
          <w:u w:val="none"/>
        </w:rPr>
      </w:pPr>
      <w:r w:rsidDel="00000000" w:rsidR="00000000" w:rsidRPr="00000000">
        <w:rPr>
          <w:rtl w:val="0"/>
        </w:rPr>
        <w:t xml:space="preserve">In case you can’t see the small font (click on the dashboard!), the top blue is high school, then middle school, etc...</w:t>
      </w: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drawing>
          <wp:inline distB="114300" distT="114300" distL="114300" distR="114300">
            <wp:extent cx="5957888" cy="2573174"/>
            <wp:effectExtent b="0" l="0" r="0" t="0"/>
            <wp:docPr id="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957888" cy="2573174"/>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color w:val="0000ff"/>
          <w:rtl w:val="0"/>
        </w:rPr>
        <w:t xml:space="preserve">Wait, wait.  Before we move on.  Where are the projections for The Downs project for the next 30 years and what are the assumptions?</w:t>
      </w:r>
      <w:r w:rsidDel="00000000" w:rsidR="00000000" w:rsidRPr="00000000">
        <w:rPr>
          <w:rtl w:val="0"/>
        </w:rPr>
        <w:t xml:space="preserve">  </w:t>
      </w:r>
      <w:r w:rsidDel="00000000" w:rsidR="00000000" w:rsidRPr="00000000">
        <w:rPr>
          <w:color w:val="0000ff"/>
          <w:rtl w:val="0"/>
        </w:rPr>
        <w:t xml:space="preserve">I know this is a bit off topic, but I’m always looking for it</w:t>
      </w:r>
      <w:r w:rsidDel="00000000" w:rsidR="00000000" w:rsidRPr="00000000">
        <w:rPr>
          <w:rtl w:val="0"/>
        </w:rPr>
        <w:t xml:space="preserve">.</w:t>
      </w:r>
    </w:p>
    <w:p w:rsidR="00000000" w:rsidDel="00000000" w:rsidP="00000000" w:rsidRDefault="00000000" w:rsidRPr="00000000" w14:paraId="00000042">
      <w:pPr>
        <w:rPr/>
      </w:pPr>
      <w:r w:rsidDel="00000000" w:rsidR="00000000" w:rsidRPr="00000000">
        <w:rPr>
          <w:rtl w:val="0"/>
        </w:rPr>
        <w:t xml:space="preserve">You can find them </w:t>
      </w:r>
      <w:hyperlink r:id="rId12">
        <w:r w:rsidDel="00000000" w:rsidR="00000000" w:rsidRPr="00000000">
          <w:rPr>
            <w:color w:val="1155cc"/>
            <w:u w:val="single"/>
            <w:rtl w:val="0"/>
          </w:rPr>
          <w:t xml:space="preserve">here</w:t>
        </w:r>
      </w:hyperlink>
      <w:r w:rsidDel="00000000" w:rsidR="00000000" w:rsidRPr="00000000">
        <w:rPr>
          <w:rtl w:val="0"/>
        </w:rPr>
        <w:t xml:space="preserve">.  I suggest you download and then read it - much easier on the eyes.  BTW, this is the updated version after the recent reval.</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color w:val="0000ff"/>
          <w:rtl w:val="0"/>
        </w:rPr>
        <w:t xml:space="preserve">I feel like there is more floating around out there.  Where is it all? </w:t>
      </w: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I agree.  Here are some other resources:</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hyperlink r:id="rId13">
        <w:r w:rsidDel="00000000" w:rsidR="00000000" w:rsidRPr="00000000">
          <w:rPr>
            <w:color w:val="1155cc"/>
            <w:u w:val="single"/>
            <w:rtl w:val="0"/>
          </w:rPr>
          <w:t xml:space="preserve">Workshop powerpoint from 2019.</w:t>
        </w:r>
      </w:hyperlink>
      <w:r w:rsidDel="00000000" w:rsidR="00000000" w:rsidRPr="00000000">
        <w:rPr>
          <w:rtl w:val="0"/>
        </w:rPr>
      </w:r>
    </w:p>
    <w:p w:rsidR="00000000" w:rsidDel="00000000" w:rsidP="00000000" w:rsidRDefault="00000000" w:rsidRPr="00000000" w14:paraId="0000004A">
      <w:pPr>
        <w:rPr/>
      </w:pPr>
      <w:hyperlink r:id="rId14">
        <w:r w:rsidDel="00000000" w:rsidR="00000000" w:rsidRPr="00000000">
          <w:rPr>
            <w:color w:val="1155cc"/>
            <w:u w:val="single"/>
            <w:rtl w:val="0"/>
          </w:rPr>
          <w:t xml:space="preserve">The Downs specific growth management questions for SEDCO</w:t>
        </w:r>
      </w:hyperlink>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Feel free to add to this list.  And, don’t forget to check out the </w:t>
      </w:r>
      <w:hyperlink r:id="rId15">
        <w:r w:rsidDel="00000000" w:rsidR="00000000" w:rsidRPr="00000000">
          <w:rPr>
            <w:color w:val="1155cc"/>
            <w:u w:val="single"/>
            <w:rtl w:val="0"/>
          </w:rPr>
          <w:t xml:space="preserve">dashboard</w:t>
        </w:r>
      </w:hyperlink>
      <w:r w:rsidDel="00000000" w:rsidR="00000000" w:rsidRPr="00000000">
        <w:rPr>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n Anderson" w:id="11" w:date="2021-04-16T01:19:07Z">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not sure I understand what this question is stating or what this data is showing (but I'm also exhausted).</w:t>
      </w:r>
    </w:p>
  </w:comment>
  <w:comment w:author="Paul Johnson" w:id="12" w:date="2021-04-16T13:49:36Z">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Fair.  This is the exercise of exempting all one-bedrooms but NOTHING else.</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(Hillcrest needs a permit, contract zones need permits, etc)</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really isn't being purposed, so that's why it is confusing.  I was just trying to do the logic incrementally.</w:t>
      </w:r>
    </w:p>
  </w:comment>
  <w:comment w:author="Jean-Marie Caterina" w:id="13" w:date="2021-04-16T15:08:20Z">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Makes sense.</w:t>
      </w:r>
    </w:p>
  </w:comment>
  <w:comment w:author="Betsy Gleysteen" w:id="14" w:date="2021-04-19T02:25:11Z">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a note here - Hillcrest is pretty much if not completely built out.  They had an exemption to the GMO either because at one point, we exempted all senior housing or due to their contract zone - no one knows for sure.  But they are not a factor going forward.  They are building Pine Crest</w:t>
      </w:r>
    </w:p>
  </w:comment>
  <w:comment w:author="Jon Anderson" w:id="4" w:date="2021-04-16T01:13:50Z">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with fractionalization, or is this normalized in that 1 permit = 1 unit?  I'm assuming it's under fractionalization.</w:t>
      </w:r>
    </w:p>
  </w:comment>
  <w:comment w:author="Paul Johnson" w:id="5" w:date="2021-04-16T13:47:36Z">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"as is".</w:t>
      </w:r>
    </w:p>
  </w:comment>
  <w:comment w:author="Jon Anderson" w:id="0" w:date="2021-04-16T01:12:58Z">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the additional $900K in value that was created in the past 4 years, do we know how much of that value went to town revenues vs. CEAs?  In other words, how much of this value was actually captured by the Town?</w:t>
      </w:r>
    </w:p>
  </w:comment>
  <w:comment w:author="Paul Johnson" w:id="1" w:date="2021-04-16T13:47:22Z">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Correction:  it is $900 million.</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exercise has been done at least twice since I have been on council.  I'll try to find it.  Also, it is probably easy to roughly reverse engineer with the budget books and/or audit books as they list the CEA payments.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worth noting that we owe approx. 800K to the Haigis Parkway CEA regardless of captured value.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guess:  about $200 million of the $900 million.  I'll be interested to see how close I am.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are to analyze how much is "actually captured by the town", there are more factors than the contribution to the general fund.  For example, we should include the value of all the infrastructure being put into place for the town's new downtown.   It certainly isn't a line item in our budget, but it is getting paid for.</w:t>
      </w:r>
    </w:p>
  </w:comment>
  <w:comment w:author="Jean-Marie Caterina" w:id="2" w:date="2021-04-16T15:04:57Z">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with Paul.  Infrastructure value is huge.  It is not being captured. This was a major factor in granting a CEA to the Downs. That and being able to limit the number of single family homes that can be constructed. Single family homes drive school costs as these figures show.</w:t>
      </w:r>
    </w:p>
  </w:comment>
  <w:comment w:author="Betsy Gleysteen" w:id="3" w:date="2021-04-19T02:16:54Z">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much of the 300MM commercial is multifamily housing?  This is an important distinction because different types of commercial property bring different types of service needs to the town and potentially different revenue streams.  for example, walmart has a different impact than the beacon both in terms of services needed and in terms of additional revenue (the beacon, for example, likely brings additional excise tax, and Walmart brings business personal propety tax, but also requires more public safety capacity, etc)  We need to break out the commercial housing in its own category so we understand it</w:t>
      </w:r>
    </w:p>
  </w:comment>
  <w:comment w:author="Betsy Gleysteen" w:id="6" w:date="2021-04-19T02:31:54Z">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plan to transition away from fractionalization and to start this mid-year?  How many additional total growth permits will be issued for 2021?  It sounds like 185 will be issued for 2021 total which presumably will all be taken, correct?</w:t>
      </w:r>
    </w:p>
  </w:comment>
  <w:comment w:author="Betsy Gleysteen" w:id="7" w:date="2021-04-19T02:36:00Z">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the unlimited growth in Downs include anything they get into the PB pipeline in 2021?  What is the cutoff?  Actually under construction, anything they have a building permit for, or anything in the PB phase? How far into the PB phase? This needs more definition, but reopening the CEA to define all of the legally and precisely is what would work best.</w:t>
      </w:r>
    </w:p>
  </w:comment>
  <w:comment w:author="Betsy Gleysteen" w:id="8" w:date="2021-04-19T02:37:40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permits will the Downs be giving up?  Why do we need the additional 50 permits if the Downs permits will be put back in the pool?</w:t>
      </w:r>
    </w:p>
  </w:comment>
  <w:comment w:author="Betsy Gleysteen" w:id="9" w:date="2021-04-19T02:38:39Z">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asked this before, but how many, if any, 2020 permits are still outstanding and have not been converted to building permits?</w:t>
      </w:r>
    </w:p>
  </w:comment>
  <w:comment w:author="Betsy Gleysteen" w:id="10" w:date="2021-04-19T02:39:40Z">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1 br permits and 2/3 permits do we have outstanding that have not been converted to building permits?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https://datastudio.google.com/u/0/reporting/714b3994-24a6-4b9b-80f4-696fc369c911?s=gsHyALeh7Tw" TargetMode="External"/><Relationship Id="rId13" Type="http://schemas.openxmlformats.org/officeDocument/2006/relationships/hyperlink" Target="https://drive.google.com/file/d/0BxISHnC5r1BuU0Q1MWUtdkxsWWhfa3VNbk9NVVZtakJkWlJR/view?usp=sharing" TargetMode="External"/><Relationship Id="rId12" Type="http://schemas.openxmlformats.org/officeDocument/2006/relationships/hyperlink" Target="https://drive.google.com/file/d/0B5Hidxo8FWHtakxSV1VWUmI0YjJ6OV83dnJqcXZsQ21BaTNj/view?usp=shar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hyperlink" Target="https://datastudio.google.com/u/0/reporting/714b3994-24a6-4b9b-80f4-696fc369c911?s=gsHyALeh7Tw" TargetMode="External"/><Relationship Id="rId14" Type="http://schemas.openxmlformats.org/officeDocument/2006/relationships/hyperlink" Target="https://drive.google.com/file/d/0B67dJL8k5AAKWlM3MkpXd0lqR0ZWbUlfVnA5bDlJUWIzOWpR/view?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