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What is Resilience?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Students will learn what resilience means, why it is important, and how to develop resilience.  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color w:val="1155cc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https://youtu.be/gWom7srJ9y0</w:t>
        </w:r>
      </w:hyperlink>
      <w:r w:rsidDel="00000000" w:rsidR="00000000" w:rsidRPr="00000000">
        <w:rPr>
          <w:rFonts w:ascii="Georgia" w:cs="Georgia" w:eastAsia="Georgia" w:hAnsi="Georgia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1155c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Sometime it's challenging to keep moving toward a goal because it's difficult to struggle through the issues that get in the way.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Ask each student to write down a goal that they are working toward.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Rule="auto"/>
        <w:ind w:left="72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Next, ask them to list the top 3 issues getting in their way as they attempt to achieve this goal.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hd w:fill="ffffff" w:val="clear"/>
        <w:spacing w:after="160" w:before="300" w:line="264" w:lineRule="auto"/>
        <w:rPr>
          <w:rFonts w:ascii="Georgia" w:cs="Georgia" w:eastAsia="Georgia" w:hAnsi="Georgia"/>
          <w:sz w:val="22"/>
          <w:szCs w:val="22"/>
        </w:rPr>
      </w:pPr>
      <w:bookmarkStart w:colFirst="0" w:colLast="0" w:name="_osce2yu3j5ep" w:id="0"/>
      <w:bookmarkEnd w:id="0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Solution Brainstorming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Explain to students that you are going to guide them through a process of brainstorming potential solutions for each issue that they have identified. They can use this same process any time that they feel like they want to give up on a goal.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Emphasize that they are encouraged to think outside the box and should not feel limited when thinking through solutions.</w:t>
        <w:br w:type="textWrapping"/>
        <w:t xml:space="preserve">Ask students to write down the following types of solutions for each of their identified roadblocks: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 solution that seems outrageous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-- something that you don't think is possible, but you are throwing it out there anyway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 solution that requires support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-- something that is possible, but you need to ask for help to make it work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 solution that you can do on your own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-- something that you know you can manage without asking for help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Encourage students to work with peers (or ask you for help) if they are feeling stuck when trying to think of solutions.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60" w:lineRule="auto"/>
        <w:ind w:left="72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By the end of this activity, students should have brainstormed at least 9 different options for navigating their various challenges.</w:t>
      </w:r>
    </w:p>
    <w:p w:rsidR="00000000" w:rsidDel="00000000" w:rsidP="00000000" w:rsidRDefault="00000000" w:rsidRPr="00000000" w14:paraId="00000013">
      <w:pPr>
        <w:spacing w:after="16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Follow-up/Closing: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By the end of this activity, students should have brainstormed at least 9 different options for navigating their various challenges.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People who are more resilient are likely to be better at solving problems, ask for help when they need it, and have a can-do attitude. People who are less resilient are likely to struggle under pressure, experience symptoms of anxiety and depression, and often feel deflated and hopeless when things go wrong. </w:t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a4a4a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a4a4a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4a4a4a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gWom7srJ9y0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4.png"/><Relationship Id="rId3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