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bookmarkStart w:id="0" w:name="_GoBack"/>
      <w:bookmarkEnd w:id="0"/>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F2015D" w:rsidRPr="00F2015D" w:rsidRDefault="00F2015D" w:rsidP="00F2015D">
            <w:pPr>
              <w:pStyle w:val="ListParagraph"/>
              <w:numPr>
                <w:ilvl w:val="0"/>
                <w:numId w:val="6"/>
              </w:numPr>
              <w:ind w:left="360"/>
              <w:rPr>
                <w:sz w:val="22"/>
                <w:szCs w:val="22"/>
              </w:rPr>
            </w:pPr>
            <w:r w:rsidRPr="00F2015D">
              <w:rPr>
                <w:sz w:val="22"/>
                <w:szCs w:val="22"/>
              </w:rPr>
              <w:t xml:space="preserve">Complete agenesis corpus callosum, bilateral </w:t>
            </w:r>
            <w:proofErr w:type="spellStart"/>
            <w:r w:rsidRPr="00F2015D">
              <w:rPr>
                <w:sz w:val="22"/>
                <w:szCs w:val="22"/>
              </w:rPr>
              <w:t>schizencephaly</w:t>
            </w:r>
            <w:proofErr w:type="spellEnd"/>
            <w:r w:rsidRPr="00F2015D">
              <w:rPr>
                <w:sz w:val="22"/>
                <w:szCs w:val="22"/>
              </w:rPr>
              <w:t xml:space="preserve"> student was born with a brain birth defect.  Inside our brains we have an area that connects the two hemispheres in our brain.  This area is called the corpus callosum.  This corpus callosum is made up of nerve fibers that communicate information between the two hemispheres.  Sammy brain does not have a corpus callosum.  There are other areas, not a big as the corpus callosum, which can assist with this communication process. Bilateral </w:t>
            </w:r>
            <w:proofErr w:type="spellStart"/>
            <w:r w:rsidRPr="00F2015D">
              <w:rPr>
                <w:sz w:val="22"/>
                <w:szCs w:val="22"/>
              </w:rPr>
              <w:t>schizencephaly</w:t>
            </w:r>
            <w:proofErr w:type="spellEnd"/>
            <w:r w:rsidRPr="00F2015D">
              <w:rPr>
                <w:sz w:val="22"/>
                <w:szCs w:val="22"/>
              </w:rPr>
              <w:t xml:space="preserve"> is another birth defect in the brain in which there are deep clefts or divisions in the brain.  Since student has bilateral deep clefts in his brain, this could be responsible for his developmental delays and delays in speech.</w:t>
            </w:r>
          </w:p>
          <w:p w:rsidR="00F2015D" w:rsidRPr="00F2015D" w:rsidRDefault="00F2015D" w:rsidP="00F2015D">
            <w:pPr>
              <w:pStyle w:val="ListParagraph"/>
              <w:numPr>
                <w:ilvl w:val="0"/>
                <w:numId w:val="6"/>
              </w:numPr>
              <w:ind w:left="360"/>
              <w:rPr>
                <w:sz w:val="22"/>
                <w:szCs w:val="22"/>
              </w:rPr>
            </w:pPr>
            <w:r w:rsidRPr="00F2015D">
              <w:rPr>
                <w:sz w:val="22"/>
                <w:szCs w:val="22"/>
              </w:rPr>
              <w:t xml:space="preserve">Hydrocephalus requiring a </w:t>
            </w:r>
            <w:proofErr w:type="spellStart"/>
            <w:r w:rsidRPr="00F2015D">
              <w:rPr>
                <w:sz w:val="22"/>
                <w:szCs w:val="22"/>
              </w:rPr>
              <w:t>ventriclo</w:t>
            </w:r>
            <w:proofErr w:type="spellEnd"/>
            <w:r w:rsidRPr="00F2015D">
              <w:rPr>
                <w:sz w:val="22"/>
                <w:szCs w:val="22"/>
              </w:rPr>
              <w:t>-peritoneal shunt (VP shunt): Student was born with hydrocephalus (extra fluid in the brain).  The VP shunt is a plastic tube that drains the excess ventricle fluid. One end is in his ventricle and the other end is in his abdomen.</w:t>
            </w:r>
          </w:p>
          <w:p w:rsidR="00F2015D" w:rsidRPr="00F2015D" w:rsidRDefault="00F2015D" w:rsidP="00F2015D">
            <w:pPr>
              <w:pStyle w:val="ListParagraph"/>
              <w:numPr>
                <w:ilvl w:val="0"/>
                <w:numId w:val="6"/>
              </w:numPr>
              <w:ind w:left="360"/>
              <w:rPr>
                <w:sz w:val="22"/>
                <w:szCs w:val="22"/>
              </w:rPr>
            </w:pPr>
            <w:r w:rsidRPr="00F2015D">
              <w:rPr>
                <w:sz w:val="22"/>
                <w:szCs w:val="22"/>
              </w:rPr>
              <w:t>Optic nerve hypoplasia: This condition is the result of the optic nerve being underdeveloped during pregnancy.  The optic nerve is responsible for transmitting visual signals from the retina to the brain.</w:t>
            </w:r>
          </w:p>
          <w:p w:rsidR="00A87746" w:rsidRPr="00F2015D" w:rsidRDefault="00F2015D" w:rsidP="00F2015D">
            <w:pPr>
              <w:pStyle w:val="ListParagraph"/>
              <w:numPr>
                <w:ilvl w:val="0"/>
                <w:numId w:val="6"/>
              </w:numPr>
              <w:ind w:left="360"/>
              <w:rPr>
                <w:sz w:val="22"/>
                <w:szCs w:val="22"/>
              </w:rPr>
            </w:pPr>
            <w:r w:rsidRPr="00F2015D">
              <w:rPr>
                <w:sz w:val="22"/>
                <w:szCs w:val="22"/>
              </w:rPr>
              <w:t>History of seizures.  On no medication at present time.</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F2015D" w:rsidRPr="002559D8" w:rsidRDefault="00F2015D" w:rsidP="00F2015D">
            <w:pPr>
              <w:rPr>
                <w:sz w:val="22"/>
                <w:szCs w:val="22"/>
              </w:rPr>
            </w:pPr>
            <w:r w:rsidRPr="002559D8">
              <w:rPr>
                <w:sz w:val="22"/>
                <w:szCs w:val="22"/>
              </w:rPr>
              <w:t xml:space="preserve">VP shunt complications can happen quickly, so please be cognizant of the following complications. Hydrocephalus VP shunt malfunction signs and symptoms include: </w:t>
            </w:r>
          </w:p>
          <w:p w:rsidR="00F2015D" w:rsidRPr="00F2015D" w:rsidRDefault="00F2015D" w:rsidP="00F2015D">
            <w:pPr>
              <w:pStyle w:val="ListParagraph"/>
              <w:numPr>
                <w:ilvl w:val="0"/>
                <w:numId w:val="8"/>
              </w:numPr>
              <w:ind w:left="720" w:hanging="360"/>
              <w:rPr>
                <w:sz w:val="22"/>
                <w:szCs w:val="22"/>
              </w:rPr>
            </w:pPr>
            <w:r>
              <w:rPr>
                <w:sz w:val="22"/>
                <w:szCs w:val="22"/>
              </w:rPr>
              <w:t>V</w:t>
            </w:r>
            <w:r w:rsidRPr="00F2015D">
              <w:rPr>
                <w:sz w:val="22"/>
                <w:szCs w:val="22"/>
              </w:rPr>
              <w:t xml:space="preserve">omiting, </w:t>
            </w:r>
          </w:p>
          <w:p w:rsidR="00F2015D" w:rsidRPr="00F2015D" w:rsidRDefault="00F2015D" w:rsidP="00F2015D">
            <w:pPr>
              <w:pStyle w:val="ListParagraph"/>
              <w:numPr>
                <w:ilvl w:val="0"/>
                <w:numId w:val="8"/>
              </w:numPr>
              <w:ind w:left="720" w:hanging="360"/>
              <w:rPr>
                <w:sz w:val="22"/>
                <w:szCs w:val="22"/>
              </w:rPr>
            </w:pPr>
            <w:r>
              <w:rPr>
                <w:sz w:val="22"/>
                <w:szCs w:val="22"/>
              </w:rPr>
              <w:t>H</w:t>
            </w:r>
            <w:r w:rsidRPr="00F2015D">
              <w:rPr>
                <w:sz w:val="22"/>
                <w:szCs w:val="22"/>
              </w:rPr>
              <w:t xml:space="preserve">eadache, </w:t>
            </w:r>
          </w:p>
          <w:p w:rsidR="00F2015D" w:rsidRPr="00F2015D" w:rsidRDefault="00F2015D" w:rsidP="00F2015D">
            <w:pPr>
              <w:pStyle w:val="ListParagraph"/>
              <w:numPr>
                <w:ilvl w:val="0"/>
                <w:numId w:val="8"/>
              </w:numPr>
              <w:ind w:left="720" w:hanging="360"/>
              <w:rPr>
                <w:sz w:val="22"/>
                <w:szCs w:val="22"/>
              </w:rPr>
            </w:pPr>
            <w:r>
              <w:rPr>
                <w:sz w:val="22"/>
                <w:szCs w:val="22"/>
              </w:rPr>
              <w:t>V</w:t>
            </w:r>
            <w:r w:rsidRPr="00F2015D">
              <w:rPr>
                <w:sz w:val="22"/>
                <w:szCs w:val="22"/>
              </w:rPr>
              <w:t xml:space="preserve">ision problems, </w:t>
            </w:r>
          </w:p>
          <w:p w:rsidR="00F2015D" w:rsidRPr="00F2015D" w:rsidRDefault="00F2015D" w:rsidP="00F2015D">
            <w:pPr>
              <w:pStyle w:val="ListParagraph"/>
              <w:numPr>
                <w:ilvl w:val="0"/>
                <w:numId w:val="8"/>
              </w:numPr>
              <w:ind w:left="720" w:hanging="360"/>
              <w:rPr>
                <w:sz w:val="22"/>
                <w:szCs w:val="22"/>
              </w:rPr>
            </w:pPr>
            <w:proofErr w:type="spellStart"/>
            <w:r>
              <w:rPr>
                <w:sz w:val="22"/>
                <w:szCs w:val="22"/>
              </w:rPr>
              <w:t>I</w:t>
            </w:r>
            <w:r w:rsidRPr="00F2015D">
              <w:rPr>
                <w:sz w:val="22"/>
                <w:szCs w:val="22"/>
              </w:rPr>
              <w:t>irritability</w:t>
            </w:r>
            <w:proofErr w:type="spellEnd"/>
            <w:r w:rsidRPr="00F2015D">
              <w:rPr>
                <w:sz w:val="22"/>
                <w:szCs w:val="22"/>
              </w:rPr>
              <w:t xml:space="preserve"> and /or tiredness,</w:t>
            </w:r>
          </w:p>
          <w:p w:rsidR="00F2015D" w:rsidRPr="00F2015D" w:rsidRDefault="00F2015D" w:rsidP="00F2015D">
            <w:pPr>
              <w:pStyle w:val="ListParagraph"/>
              <w:numPr>
                <w:ilvl w:val="0"/>
                <w:numId w:val="8"/>
              </w:numPr>
              <w:ind w:left="720" w:hanging="360"/>
              <w:rPr>
                <w:sz w:val="22"/>
                <w:szCs w:val="22"/>
              </w:rPr>
            </w:pPr>
            <w:r>
              <w:rPr>
                <w:sz w:val="22"/>
                <w:szCs w:val="22"/>
              </w:rPr>
              <w:t>P</w:t>
            </w:r>
            <w:r w:rsidRPr="00F2015D">
              <w:rPr>
                <w:sz w:val="22"/>
                <w:szCs w:val="22"/>
              </w:rPr>
              <w:t xml:space="preserve">ersonality change, seizures, </w:t>
            </w:r>
          </w:p>
          <w:p w:rsidR="00F2015D" w:rsidRPr="00F2015D" w:rsidRDefault="00F2015D" w:rsidP="00F2015D">
            <w:pPr>
              <w:pStyle w:val="ListParagraph"/>
              <w:numPr>
                <w:ilvl w:val="0"/>
                <w:numId w:val="8"/>
              </w:numPr>
              <w:ind w:left="720" w:hanging="360"/>
              <w:rPr>
                <w:sz w:val="22"/>
                <w:szCs w:val="22"/>
              </w:rPr>
            </w:pPr>
            <w:r>
              <w:rPr>
                <w:sz w:val="22"/>
                <w:szCs w:val="22"/>
              </w:rPr>
              <w:t>D</w:t>
            </w:r>
            <w:r w:rsidRPr="00F2015D">
              <w:rPr>
                <w:sz w:val="22"/>
                <w:szCs w:val="22"/>
              </w:rPr>
              <w:t>ifficulty waking up or staying awake,</w:t>
            </w:r>
          </w:p>
          <w:p w:rsidR="00F2015D" w:rsidRPr="00F2015D" w:rsidRDefault="00F2015D" w:rsidP="00F2015D">
            <w:pPr>
              <w:pStyle w:val="ListParagraph"/>
              <w:numPr>
                <w:ilvl w:val="0"/>
                <w:numId w:val="8"/>
              </w:numPr>
              <w:ind w:left="720" w:hanging="360"/>
              <w:rPr>
                <w:sz w:val="22"/>
                <w:szCs w:val="22"/>
              </w:rPr>
            </w:pPr>
            <w:r>
              <w:rPr>
                <w:sz w:val="22"/>
                <w:szCs w:val="22"/>
              </w:rPr>
              <w:t>I</w:t>
            </w:r>
            <w:r w:rsidRPr="00F2015D">
              <w:rPr>
                <w:sz w:val="22"/>
                <w:szCs w:val="22"/>
              </w:rPr>
              <w:t xml:space="preserve">n the event of abdominal pain, peritonitis must be considered secondary to shunt placement.  </w:t>
            </w:r>
          </w:p>
          <w:p w:rsidR="00F2015D" w:rsidRPr="002559D8" w:rsidRDefault="00F2015D" w:rsidP="00F2015D">
            <w:pPr>
              <w:rPr>
                <w:sz w:val="22"/>
                <w:szCs w:val="22"/>
              </w:rPr>
            </w:pPr>
          </w:p>
          <w:p w:rsidR="00F2015D" w:rsidRPr="002559D8" w:rsidRDefault="00F2015D" w:rsidP="00F2015D">
            <w:pPr>
              <w:rPr>
                <w:sz w:val="22"/>
                <w:szCs w:val="22"/>
              </w:rPr>
            </w:pPr>
            <w:r w:rsidRPr="002559D8">
              <w:rPr>
                <w:sz w:val="22"/>
                <w:szCs w:val="22"/>
              </w:rPr>
              <w:t xml:space="preserve">Shunt infections are possible and need to be addressed.  Signs and symptoms of infections: </w:t>
            </w:r>
          </w:p>
          <w:p w:rsidR="00F2015D" w:rsidRPr="00F2015D" w:rsidRDefault="00F2015D" w:rsidP="00F2015D">
            <w:pPr>
              <w:pStyle w:val="ListParagraph"/>
              <w:numPr>
                <w:ilvl w:val="0"/>
                <w:numId w:val="8"/>
              </w:numPr>
              <w:ind w:left="720" w:hanging="360"/>
              <w:rPr>
                <w:sz w:val="22"/>
                <w:szCs w:val="22"/>
              </w:rPr>
            </w:pPr>
            <w:r>
              <w:rPr>
                <w:sz w:val="22"/>
                <w:szCs w:val="22"/>
              </w:rPr>
              <w:t>F</w:t>
            </w:r>
            <w:r w:rsidRPr="00F2015D">
              <w:rPr>
                <w:sz w:val="22"/>
                <w:szCs w:val="22"/>
              </w:rPr>
              <w:t xml:space="preserve">ever, </w:t>
            </w:r>
          </w:p>
          <w:p w:rsidR="00F2015D" w:rsidRPr="00F2015D" w:rsidRDefault="00F2015D" w:rsidP="00F2015D">
            <w:pPr>
              <w:pStyle w:val="ListParagraph"/>
              <w:numPr>
                <w:ilvl w:val="0"/>
                <w:numId w:val="8"/>
              </w:numPr>
              <w:ind w:left="720" w:hanging="360"/>
              <w:rPr>
                <w:sz w:val="22"/>
                <w:szCs w:val="22"/>
              </w:rPr>
            </w:pPr>
            <w:r>
              <w:rPr>
                <w:sz w:val="22"/>
                <w:szCs w:val="22"/>
              </w:rPr>
              <w:t>N</w:t>
            </w:r>
            <w:r w:rsidRPr="00F2015D">
              <w:rPr>
                <w:sz w:val="22"/>
                <w:szCs w:val="22"/>
              </w:rPr>
              <w:t>eck stiffness,</w:t>
            </w:r>
          </w:p>
          <w:p w:rsidR="00F2015D" w:rsidRPr="00F2015D" w:rsidRDefault="00F2015D" w:rsidP="00F2015D">
            <w:pPr>
              <w:pStyle w:val="ListParagraph"/>
              <w:numPr>
                <w:ilvl w:val="0"/>
                <w:numId w:val="8"/>
              </w:numPr>
              <w:ind w:left="720" w:hanging="360"/>
              <w:rPr>
                <w:sz w:val="22"/>
                <w:szCs w:val="22"/>
              </w:rPr>
            </w:pPr>
            <w:r>
              <w:rPr>
                <w:sz w:val="22"/>
                <w:szCs w:val="22"/>
              </w:rPr>
              <w:t>L</w:t>
            </w:r>
            <w:r w:rsidRPr="00F2015D">
              <w:rPr>
                <w:sz w:val="22"/>
                <w:szCs w:val="22"/>
              </w:rPr>
              <w:t>ight sensitivity,</w:t>
            </w:r>
          </w:p>
          <w:p w:rsidR="00F2015D" w:rsidRPr="00F2015D" w:rsidRDefault="00F2015D" w:rsidP="00F2015D">
            <w:pPr>
              <w:pStyle w:val="ListParagraph"/>
              <w:numPr>
                <w:ilvl w:val="0"/>
                <w:numId w:val="8"/>
              </w:numPr>
              <w:ind w:left="720" w:hanging="360"/>
              <w:rPr>
                <w:sz w:val="22"/>
                <w:szCs w:val="22"/>
              </w:rPr>
            </w:pPr>
            <w:r>
              <w:rPr>
                <w:sz w:val="22"/>
                <w:szCs w:val="22"/>
              </w:rPr>
              <w:t>S</w:t>
            </w:r>
            <w:r w:rsidRPr="00F2015D">
              <w:rPr>
                <w:sz w:val="22"/>
                <w:szCs w:val="22"/>
              </w:rPr>
              <w:t>welling or tenderness along the shunt site,</w:t>
            </w:r>
          </w:p>
          <w:p w:rsidR="00980EA0" w:rsidRPr="00F2015D" w:rsidRDefault="00F2015D" w:rsidP="00F2015D">
            <w:pPr>
              <w:pStyle w:val="ListParagraph"/>
              <w:numPr>
                <w:ilvl w:val="0"/>
                <w:numId w:val="9"/>
              </w:numPr>
              <w:ind w:left="720" w:hanging="360"/>
              <w:rPr>
                <w:sz w:val="22"/>
                <w:szCs w:val="22"/>
              </w:rPr>
            </w:pPr>
            <w:r>
              <w:rPr>
                <w:sz w:val="22"/>
                <w:szCs w:val="22"/>
              </w:rPr>
              <w:t>A</w:t>
            </w:r>
            <w:r w:rsidRPr="00F2015D">
              <w:rPr>
                <w:sz w:val="22"/>
                <w:szCs w:val="22"/>
              </w:rPr>
              <w:t>ny of the above signs and symptoms.</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F2015D" w:rsidRPr="00F2015D" w:rsidRDefault="00F2015D" w:rsidP="00F2015D">
            <w:pPr>
              <w:pStyle w:val="ListParagraph"/>
              <w:numPr>
                <w:ilvl w:val="0"/>
                <w:numId w:val="11"/>
              </w:numPr>
              <w:ind w:left="360" w:hanging="360"/>
              <w:rPr>
                <w:sz w:val="22"/>
                <w:szCs w:val="22"/>
              </w:rPr>
            </w:pPr>
            <w:r w:rsidRPr="00F2015D">
              <w:rPr>
                <w:sz w:val="22"/>
                <w:szCs w:val="22"/>
              </w:rPr>
              <w:t>Parent will notify school nurse with any significant changes in student’s health status.</w:t>
            </w:r>
          </w:p>
          <w:p w:rsidR="00F2015D" w:rsidRPr="00F2015D" w:rsidRDefault="00F2015D" w:rsidP="00F2015D">
            <w:pPr>
              <w:pStyle w:val="ListParagraph"/>
              <w:numPr>
                <w:ilvl w:val="0"/>
                <w:numId w:val="11"/>
              </w:numPr>
              <w:ind w:left="360" w:hanging="360"/>
              <w:rPr>
                <w:sz w:val="22"/>
                <w:szCs w:val="22"/>
              </w:rPr>
            </w:pPr>
            <w:r w:rsidRPr="00F2015D">
              <w:rPr>
                <w:sz w:val="22"/>
                <w:szCs w:val="22"/>
              </w:rPr>
              <w:t>Treat student as a normal young man in regards to his activity.  He can play but needs to not be involved in any sport or activity that will hit, bump, or rub his shunt area.  Stay away from contact sports.</w:t>
            </w:r>
          </w:p>
          <w:p w:rsidR="00F2015D" w:rsidRDefault="00F2015D" w:rsidP="00F2015D">
            <w:pPr>
              <w:pStyle w:val="ListParagraph"/>
              <w:numPr>
                <w:ilvl w:val="0"/>
                <w:numId w:val="11"/>
              </w:numPr>
              <w:ind w:left="360" w:hanging="360"/>
              <w:rPr>
                <w:sz w:val="22"/>
                <w:szCs w:val="22"/>
              </w:rPr>
            </w:pPr>
            <w:r w:rsidRPr="00F2015D">
              <w:rPr>
                <w:sz w:val="22"/>
                <w:szCs w:val="22"/>
              </w:rPr>
              <w:t>If student should experience any of the signs or symptoms, he needs to be escorted to the health office for an assessment.  Temperature should be taken.  Notify mother of any changes.  In the absence of a nurse, any questionable signs or symptoms, mother/grandmother needs to be notified immediately.</w:t>
            </w:r>
          </w:p>
          <w:p w:rsidR="00A87746" w:rsidRPr="00F2015D" w:rsidRDefault="00F2015D" w:rsidP="00F2015D">
            <w:pPr>
              <w:pStyle w:val="ListParagraph"/>
              <w:numPr>
                <w:ilvl w:val="0"/>
                <w:numId w:val="11"/>
              </w:numPr>
              <w:ind w:left="360" w:hanging="360"/>
              <w:rPr>
                <w:sz w:val="22"/>
                <w:szCs w:val="22"/>
              </w:rPr>
            </w:pPr>
            <w:r w:rsidRPr="00F2015D">
              <w:rPr>
                <w:sz w:val="22"/>
                <w:szCs w:val="22"/>
              </w:rPr>
              <w:t>If student is unable to be aroused and is sleepy: this is a medical emergency and 911 should be notified.</w:t>
            </w:r>
          </w:p>
        </w:tc>
      </w:tr>
      <w:tr w:rsidR="00D84D21" w:rsidRPr="005753CE" w:rsidTr="00487382">
        <w:tc>
          <w:tcPr>
            <w:tcW w:w="10656" w:type="dxa"/>
            <w:gridSpan w:val="13"/>
            <w:tcBorders>
              <w:top w:val="single" w:sz="4" w:space="0" w:color="auto"/>
              <w:bottom w:val="single" w:sz="4" w:space="0" w:color="auto"/>
            </w:tcBorders>
            <w:vAlign w:val="bottom"/>
          </w:tcPr>
          <w:p w:rsidR="00D84D21" w:rsidRPr="005753CE" w:rsidRDefault="00D84D21" w:rsidP="00487382">
            <w:pPr>
              <w:rPr>
                <w:b/>
                <w:sz w:val="22"/>
                <w:szCs w:val="22"/>
              </w:rPr>
            </w:pPr>
            <w:r w:rsidRPr="005753CE">
              <w:rPr>
                <w:b/>
                <w:sz w:val="22"/>
                <w:szCs w:val="22"/>
              </w:rPr>
              <w:lastRenderedPageBreak/>
              <w:t>STUDENT ATTENDANCE</w:t>
            </w:r>
          </w:p>
        </w:tc>
      </w:tr>
      <w:tr w:rsidR="00D84D21"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D84D21" w:rsidRPr="005753CE" w:rsidRDefault="00D95DDA" w:rsidP="00487382">
            <w:pPr>
              <w:rPr>
                <w:b/>
              </w:rPr>
            </w:pPr>
            <w:sdt>
              <w:sdtPr>
                <w:rPr>
                  <w:b/>
                  <w:sz w:val="22"/>
                </w:rPr>
                <w:id w:val="1269902105"/>
                <w14:checkbox>
                  <w14:checked w14:val="0"/>
                  <w14:checkedState w14:val="2612" w14:font="MS Gothic"/>
                  <w14:uncheckedState w14:val="2610" w14:font="MS Gothic"/>
                </w14:checkbox>
              </w:sdtPr>
              <w:sdtEndPr/>
              <w:sdtContent>
                <w:r w:rsidR="00D84D21" w:rsidRPr="005753CE">
                  <w:rPr>
                    <w:rFonts w:ascii="MS Mincho" w:eastAsia="MS Mincho" w:hAnsi="MS Mincho" w:cs="MS Mincho" w:hint="eastAsia"/>
                    <w:b/>
                    <w:sz w:val="22"/>
                  </w:rPr>
                  <w:t>☐</w:t>
                </w:r>
              </w:sdtContent>
            </w:sdt>
            <w:r w:rsidR="00D84D21" w:rsidRPr="005753CE">
              <w:t xml:space="preserve"> </w:t>
            </w:r>
            <w:r w:rsidR="00D84D21" w:rsidRPr="005753CE">
              <w:rPr>
                <w:b/>
              </w:rPr>
              <w:t xml:space="preserve">No Concerns  </w:t>
            </w:r>
            <w:r w:rsidR="00D84D21">
              <w:rPr>
                <w:b/>
              </w:rPr>
              <w:t xml:space="preserve">        </w:t>
            </w:r>
            <w:r w:rsidR="00D84D21"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 xml:space="preserve">Concerning Absenteeism (5 – 9.9%) </w:t>
            </w:r>
            <w:r w:rsidR="00D84D21">
              <w:rPr>
                <w:b/>
              </w:rPr>
              <w:t xml:space="preserve">         </w:t>
            </w:r>
            <w:r w:rsidR="00D84D21" w:rsidRPr="005753CE">
              <w:rPr>
                <w:b/>
              </w:rPr>
              <w:tab/>
              <w:t>Chronic Absenteeism</w:t>
            </w:r>
            <w:r w:rsidR="00D84D21">
              <w:rPr>
                <w:b/>
              </w:rPr>
              <w:t xml:space="preserve"> </w:t>
            </w:r>
            <w:r w:rsidR="00D84D21" w:rsidRPr="005753CE">
              <w:rPr>
                <w:b/>
              </w:rPr>
              <w:t>(&gt; 10%)</w:t>
            </w:r>
          </w:p>
          <w:p w:rsidR="00D84D21" w:rsidRDefault="00D84D21" w:rsidP="00487382">
            <w:pPr>
              <w:rPr>
                <w:b/>
              </w:rPr>
            </w:pPr>
          </w:p>
          <w:p w:rsidR="00D84D21" w:rsidRDefault="00D84D21" w:rsidP="00487382">
            <w:pPr>
              <w:rPr>
                <w:b/>
              </w:rPr>
            </w:pPr>
            <w:r>
              <w:rPr>
                <w:b/>
              </w:rPr>
              <w:t>INTERVENTIONS</w:t>
            </w:r>
          </w:p>
          <w:p w:rsidR="00D84D21" w:rsidRPr="005753CE" w:rsidRDefault="00D95DDA" w:rsidP="00487382">
            <w:pPr>
              <w:rPr>
                <w:b/>
              </w:rPr>
            </w:pPr>
            <w:sdt>
              <w:sdtPr>
                <w:rPr>
                  <w:b/>
                  <w:sz w:val="22"/>
                </w:rPr>
                <w:id w:val="1118263640"/>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Parent/Guardian Contact</w:t>
            </w:r>
            <w:r w:rsidR="00D84D21" w:rsidRPr="005753CE">
              <w:rPr>
                <w:b/>
              </w:rPr>
              <w:tab/>
            </w:r>
            <w:r w:rsidR="00D84D21" w:rsidRPr="005753CE">
              <w:rPr>
                <w:b/>
              </w:rPr>
              <w:tab/>
            </w:r>
            <w:sdt>
              <w:sdtPr>
                <w:rPr>
                  <w:b/>
                  <w:sz w:val="22"/>
                </w:rPr>
                <w:id w:val="1696428612"/>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Attendance letter</w:t>
            </w:r>
          </w:p>
          <w:p w:rsidR="00D84D21" w:rsidRPr="005753CE" w:rsidRDefault="00D95DDA" w:rsidP="00487382">
            <w:pPr>
              <w:rPr>
                <w:b/>
              </w:rPr>
            </w:pPr>
            <w:sdt>
              <w:sdtPr>
                <w:rPr>
                  <w:b/>
                  <w:sz w:val="22"/>
                </w:rPr>
                <w:id w:val="823852269"/>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HIPAA/MD Contact</w:t>
            </w:r>
            <w:r w:rsidR="00D84D21" w:rsidRPr="005753CE">
              <w:rPr>
                <w:b/>
              </w:rPr>
              <w:tab/>
            </w:r>
            <w:r w:rsidR="00D84D21" w:rsidRPr="005753CE">
              <w:rPr>
                <w:b/>
              </w:rPr>
              <w:tab/>
            </w:r>
            <w:r w:rsidR="00D84D21" w:rsidRPr="005753CE">
              <w:rPr>
                <w:b/>
              </w:rPr>
              <w:tab/>
            </w:r>
            <w:sdt>
              <w:sdtPr>
                <w:rPr>
                  <w:b/>
                  <w:sz w:val="22"/>
                </w:rPr>
                <w:id w:val="-1902435351"/>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Medical Referral</w:t>
            </w:r>
          </w:p>
          <w:p w:rsidR="00D84D21" w:rsidRPr="005753CE" w:rsidRDefault="00D95DDA" w:rsidP="00487382">
            <w:pPr>
              <w:rPr>
                <w:b/>
              </w:rPr>
            </w:pPr>
            <w:sdt>
              <w:sdtPr>
                <w:rPr>
                  <w:b/>
                  <w:sz w:val="22"/>
                </w:rPr>
                <w:id w:val="826411359"/>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Teacher(s) Collaboration</w:t>
            </w:r>
            <w:r w:rsidR="00D84D21" w:rsidRPr="005753CE">
              <w:rPr>
                <w:b/>
              </w:rPr>
              <w:tab/>
            </w:r>
            <w:r w:rsidR="00D84D21" w:rsidRPr="005753CE">
              <w:rPr>
                <w:b/>
              </w:rPr>
              <w:tab/>
            </w:r>
            <w:sdt>
              <w:sdtPr>
                <w:rPr>
                  <w:b/>
                  <w:sz w:val="22"/>
                </w:rPr>
                <w:id w:val="1385603643"/>
                <w14:checkbox>
                  <w14:checked w14:val="0"/>
                  <w14:checkedState w14:val="2612" w14:font="MS Gothic"/>
                  <w14:uncheckedState w14:val="2610" w14:font="MS Gothic"/>
                </w14:checkbox>
              </w:sdtPr>
              <w:sdtEndPr/>
              <w:sdtContent>
                <w:r w:rsidR="00D84D21" w:rsidRPr="006E1409">
                  <w:rPr>
                    <w:rFonts w:ascii="Segoe UI Symbol" w:eastAsia="MS Gothic" w:hAnsi="Segoe UI Symbol" w:cs="Segoe UI Symbol"/>
                    <w:b/>
                    <w:sz w:val="22"/>
                  </w:rPr>
                  <w:t>☐</w:t>
                </w:r>
              </w:sdtContent>
            </w:sdt>
            <w:r w:rsidR="00D84D21" w:rsidRPr="001736A9">
              <w:rPr>
                <w:rFonts w:cs="Tahoma"/>
              </w:rPr>
              <w:t xml:space="preserve"> </w:t>
            </w:r>
            <w:r w:rsidR="00D84D21"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D95DDA"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D95DDA"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D95DDA"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D95DDA"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DDA" w:rsidRDefault="00D95DDA">
      <w:r>
        <w:separator/>
      </w:r>
    </w:p>
  </w:endnote>
  <w:endnote w:type="continuationSeparator" w:id="0">
    <w:p w:rsidR="00D95DDA" w:rsidRDefault="00D9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DDA" w:rsidRDefault="00D95DDA">
      <w:r>
        <w:separator/>
      </w:r>
    </w:p>
  </w:footnote>
  <w:footnote w:type="continuationSeparator" w:id="0">
    <w:p w:rsidR="00D95DDA" w:rsidRDefault="00D9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2DF8"/>
    <w:multiLevelType w:val="hybridMultilevel"/>
    <w:tmpl w:val="A1EC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B7E66"/>
    <w:multiLevelType w:val="hybridMultilevel"/>
    <w:tmpl w:val="65B40B3A"/>
    <w:lvl w:ilvl="0" w:tplc="02F4AE04">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21EC"/>
    <w:multiLevelType w:val="hybridMultilevel"/>
    <w:tmpl w:val="1B8AFB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4" w15:restartNumberingAfterBreak="0">
    <w:nsid w:val="4D656A1E"/>
    <w:multiLevelType w:val="hybridMultilevel"/>
    <w:tmpl w:val="925EA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955CF"/>
    <w:multiLevelType w:val="hybridMultilevel"/>
    <w:tmpl w:val="7BAE6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A05653"/>
    <w:multiLevelType w:val="hybridMultilevel"/>
    <w:tmpl w:val="037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225F9"/>
    <w:multiLevelType w:val="hybridMultilevel"/>
    <w:tmpl w:val="0D386842"/>
    <w:lvl w:ilvl="0" w:tplc="B14E76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12930"/>
    <w:multiLevelType w:val="hybridMultilevel"/>
    <w:tmpl w:val="A2E25B9A"/>
    <w:lvl w:ilvl="0" w:tplc="02F4AE04">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5"/>
  </w:num>
  <w:num w:numId="6">
    <w:abstractNumId w:val="2"/>
  </w:num>
  <w:num w:numId="7">
    <w:abstractNumId w:val="7"/>
  </w:num>
  <w:num w:numId="8">
    <w:abstractNumId w:val="1"/>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5344D"/>
    <w:rsid w:val="00166583"/>
    <w:rsid w:val="00166DEB"/>
    <w:rsid w:val="00190D5C"/>
    <w:rsid w:val="001A4F9C"/>
    <w:rsid w:val="002133EB"/>
    <w:rsid w:val="00225E1C"/>
    <w:rsid w:val="002A1C0B"/>
    <w:rsid w:val="002C015B"/>
    <w:rsid w:val="002E1C69"/>
    <w:rsid w:val="00315DAE"/>
    <w:rsid w:val="003328D2"/>
    <w:rsid w:val="00366D7F"/>
    <w:rsid w:val="00382D5C"/>
    <w:rsid w:val="00390879"/>
    <w:rsid w:val="00395A1E"/>
    <w:rsid w:val="003C41CF"/>
    <w:rsid w:val="003C58BD"/>
    <w:rsid w:val="00415F3B"/>
    <w:rsid w:val="0047247B"/>
    <w:rsid w:val="004A17C0"/>
    <w:rsid w:val="004B0C1B"/>
    <w:rsid w:val="004E06FB"/>
    <w:rsid w:val="00501726"/>
    <w:rsid w:val="00533FFC"/>
    <w:rsid w:val="00560C33"/>
    <w:rsid w:val="00567E21"/>
    <w:rsid w:val="0058629D"/>
    <w:rsid w:val="005A60C3"/>
    <w:rsid w:val="005C0D79"/>
    <w:rsid w:val="005D3233"/>
    <w:rsid w:val="005F624D"/>
    <w:rsid w:val="00615574"/>
    <w:rsid w:val="00622B16"/>
    <w:rsid w:val="00676937"/>
    <w:rsid w:val="006A3813"/>
    <w:rsid w:val="006A760A"/>
    <w:rsid w:val="006E1409"/>
    <w:rsid w:val="006E42A2"/>
    <w:rsid w:val="006F338F"/>
    <w:rsid w:val="0072707D"/>
    <w:rsid w:val="00780280"/>
    <w:rsid w:val="00797892"/>
    <w:rsid w:val="007C73F7"/>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91B8C"/>
    <w:rsid w:val="00D049A4"/>
    <w:rsid w:val="00D07035"/>
    <w:rsid w:val="00D07E13"/>
    <w:rsid w:val="00D203B7"/>
    <w:rsid w:val="00D5048B"/>
    <w:rsid w:val="00D84D21"/>
    <w:rsid w:val="00D910CD"/>
    <w:rsid w:val="00D930C4"/>
    <w:rsid w:val="00D95DDA"/>
    <w:rsid w:val="00DA5322"/>
    <w:rsid w:val="00DB73FA"/>
    <w:rsid w:val="00DF4923"/>
    <w:rsid w:val="00DF6A3C"/>
    <w:rsid w:val="00E00A99"/>
    <w:rsid w:val="00E07376"/>
    <w:rsid w:val="00E702D6"/>
    <w:rsid w:val="00E85EE5"/>
    <w:rsid w:val="00EE66DA"/>
    <w:rsid w:val="00F02417"/>
    <w:rsid w:val="00F2015D"/>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28AC95-B4FE-428C-A9A5-88B64B2D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F20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orm" ma:contentTypeID="0x010101009799CC495836AB4E9BE086595310ADDA" ma:contentTypeVersion="0" ma:contentTypeDescription="Fill out this form." ma:contentTypeScope="" ma:versionID="641ff35eb57ccc2c5a0b568c0afadbbd">
  <xsd:schema xmlns:xsd="http://www.w3.org/2001/XMLSchema" xmlns:xs="http://www.w3.org/2001/XMLSchema" xmlns:p="http://schemas.microsoft.com/office/2006/metadata/properties" xmlns:ns1="http://schemas.microsoft.com/sharepoint/v3" xmlns:ns2="238589c5-6b07-4efa-8de9-01cd18cc2dc1" targetNamespace="http://schemas.microsoft.com/office/2006/metadata/properties" ma:root="true" ma:fieldsID="c2074d0b0d469d91e304b0a8d89dd127" ns1:_="" ns2:_="">
    <xsd:import namespace="http://schemas.microsoft.com/sharepoint/v3"/>
    <xsd:import namespace="238589c5-6b07-4efa-8de9-01cd18cc2dc1"/>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89c5-6b07-4efa-8de9-01cd18cc2dc1"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3.xml><?xml version="1.0" encoding="utf-8"?>
<ds:datastoreItem xmlns:ds="http://schemas.openxmlformats.org/officeDocument/2006/customXml" ds:itemID="{FAD552F7-0FAB-4958-8E68-B1390275E18C}"/>
</file>

<file path=customXml/itemProps4.xml><?xml version="1.0" encoding="utf-8"?>
<ds:datastoreItem xmlns:ds="http://schemas.openxmlformats.org/officeDocument/2006/customXml" ds:itemID="{9D69421D-506D-44DB-8453-D0CC13CF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589c5-6b07-4efa-8de9-01cd18cc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6.xml><?xml version="1.0" encoding="utf-8"?>
<ds:datastoreItem xmlns:ds="http://schemas.openxmlformats.org/officeDocument/2006/customXml" ds:itemID="{F66437A4-BC7E-4B8A-ADEB-99FBEF1B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2019-07-03T20:32:00Z</dcterms:created>
  <dcterms:modified xsi:type="dcterms:W3CDTF">2019-07-03T20:32:00Z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