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F69"/>
          <w:sz w:val="20"/>
          <w:szCs w:val="20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F69"/>
          <w:sz w:val="20"/>
          <w:szCs w:val="20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F69"/>
          <w:sz w:val="20"/>
          <w:szCs w:val="20"/>
        </w:rPr>
      </w:pPr>
    </w:p>
    <w:p w:rsidR="00263B45" w:rsidRDefault="00263B45" w:rsidP="00B24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3F69"/>
          <w:sz w:val="20"/>
          <w:szCs w:val="20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Pr="00263B45" w:rsidRDefault="00263B45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</w:p>
    <w:p w:rsidR="00263B45" w:rsidRPr="00263B45" w:rsidRDefault="00390213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3F69"/>
          <w:sz w:val="72"/>
          <w:szCs w:val="72"/>
        </w:rPr>
        <w:t>Oak Grove</w:t>
      </w:r>
      <w:r w:rsidR="00263B45" w:rsidRPr="00263B45">
        <w:rPr>
          <w:rFonts w:ascii="Times New Roman" w:hAnsi="Times New Roman" w:cs="Times New Roman"/>
          <w:b/>
          <w:bCs/>
          <w:color w:val="003F69"/>
          <w:sz w:val="72"/>
          <w:szCs w:val="72"/>
        </w:rPr>
        <w:t xml:space="preserve"> School District</w:t>
      </w:r>
    </w:p>
    <w:p w:rsidR="00B24D91" w:rsidRDefault="00263B45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  <w:r w:rsidRPr="00263B45">
        <w:rPr>
          <w:rFonts w:ascii="Times New Roman" w:hAnsi="Times New Roman" w:cs="Times New Roman"/>
          <w:b/>
          <w:bCs/>
          <w:color w:val="003F69"/>
          <w:sz w:val="72"/>
          <w:szCs w:val="72"/>
        </w:rPr>
        <w:t>PCBs in Schools:</w:t>
      </w:r>
    </w:p>
    <w:p w:rsidR="00B24D91" w:rsidRDefault="00B24D91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</w:p>
    <w:p w:rsidR="00084F91" w:rsidRDefault="00084F91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</w:p>
    <w:p w:rsidR="00263B45" w:rsidRPr="00263B45" w:rsidRDefault="00263B45" w:rsidP="002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F69"/>
          <w:sz w:val="72"/>
          <w:szCs w:val="72"/>
        </w:rPr>
      </w:pPr>
      <w:r w:rsidRPr="00263B45">
        <w:rPr>
          <w:rFonts w:ascii="Times New Roman" w:hAnsi="Times New Roman" w:cs="Times New Roman"/>
          <w:b/>
          <w:bCs/>
          <w:color w:val="003F69"/>
          <w:sz w:val="72"/>
          <w:szCs w:val="72"/>
        </w:rPr>
        <w:t>Safety Approach for Schools</w:t>
      </w: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P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8A"/>
          <w:sz w:val="32"/>
          <w:szCs w:val="32"/>
        </w:rPr>
      </w:pPr>
      <w:r w:rsidRPr="00263B45">
        <w:rPr>
          <w:rFonts w:ascii="Times New Roman" w:hAnsi="Times New Roman" w:cs="Times New Roman"/>
          <w:b/>
          <w:bCs/>
          <w:color w:val="2D2D8A"/>
          <w:sz w:val="32"/>
          <w:szCs w:val="32"/>
        </w:rPr>
        <w:t>Summary of EPA Information</w:t>
      </w:r>
    </w:p>
    <w:p w:rsidR="00263B45" w:rsidRP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8A"/>
          <w:sz w:val="32"/>
          <w:szCs w:val="32"/>
        </w:rPr>
      </w:pPr>
    </w:p>
    <w:p w:rsidR="00EC2C5B" w:rsidRPr="00263B45" w:rsidRDefault="00EC2C5B" w:rsidP="0026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8A"/>
          <w:sz w:val="32"/>
          <w:szCs w:val="32"/>
        </w:rPr>
      </w:pPr>
      <w:r w:rsidRPr="00263B45">
        <w:rPr>
          <w:rFonts w:ascii="Times New Roman" w:hAnsi="Times New Roman" w:cs="Times New Roman"/>
          <w:color w:val="2D2D8A"/>
          <w:sz w:val="32"/>
          <w:szCs w:val="32"/>
        </w:rPr>
        <w:t>PCB Regulations</w:t>
      </w:r>
    </w:p>
    <w:p w:rsidR="00EC2C5B" w:rsidRPr="00263B45" w:rsidRDefault="00390213" w:rsidP="0026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8A"/>
          <w:sz w:val="32"/>
          <w:szCs w:val="32"/>
        </w:rPr>
      </w:pPr>
      <w:r>
        <w:rPr>
          <w:rFonts w:ascii="Times New Roman" w:hAnsi="Times New Roman" w:cs="Times New Roman"/>
          <w:color w:val="2D2D8A"/>
          <w:sz w:val="32"/>
          <w:szCs w:val="32"/>
        </w:rPr>
        <w:t>Oak Grove</w:t>
      </w:r>
      <w:r w:rsidR="00263B45">
        <w:rPr>
          <w:rFonts w:ascii="Times New Roman" w:hAnsi="Times New Roman" w:cs="Times New Roman"/>
          <w:color w:val="2D2D8A"/>
          <w:sz w:val="32"/>
          <w:szCs w:val="32"/>
        </w:rPr>
        <w:t xml:space="preserve"> School District</w:t>
      </w:r>
      <w:r w:rsidR="00EC2C5B" w:rsidRPr="00263B45">
        <w:rPr>
          <w:rFonts w:ascii="Times New Roman" w:hAnsi="Times New Roman" w:cs="Times New Roman"/>
          <w:color w:val="2D2D8A"/>
          <w:sz w:val="32"/>
          <w:szCs w:val="32"/>
        </w:rPr>
        <w:t xml:space="preserve"> Based Approach</w:t>
      </w:r>
    </w:p>
    <w:p w:rsidR="00EC2C5B" w:rsidRPr="00263B45" w:rsidRDefault="00EC2C5B" w:rsidP="0026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8A"/>
          <w:sz w:val="32"/>
          <w:szCs w:val="32"/>
        </w:rPr>
      </w:pPr>
      <w:r w:rsidRPr="00263B45">
        <w:rPr>
          <w:rFonts w:ascii="Times New Roman" w:hAnsi="Times New Roman" w:cs="Times New Roman"/>
          <w:color w:val="2D2D8A"/>
          <w:sz w:val="32"/>
          <w:szCs w:val="32"/>
        </w:rPr>
        <w:t>Best Practices for Reducing Exposures</w:t>
      </w:r>
    </w:p>
    <w:p w:rsidR="00EC2C5B" w:rsidRPr="00263B45" w:rsidRDefault="00EC2C5B" w:rsidP="0026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8A"/>
          <w:sz w:val="32"/>
          <w:szCs w:val="32"/>
        </w:rPr>
      </w:pPr>
      <w:r w:rsidRPr="00263B45">
        <w:rPr>
          <w:rFonts w:ascii="Times New Roman" w:hAnsi="Times New Roman" w:cs="Times New Roman"/>
          <w:color w:val="2D2D8A"/>
          <w:sz w:val="32"/>
          <w:szCs w:val="32"/>
        </w:rPr>
        <w:t>Air Testing</w:t>
      </w:r>
    </w:p>
    <w:p w:rsidR="00EC2C5B" w:rsidRPr="00263B45" w:rsidRDefault="00EC2C5B" w:rsidP="0026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8A"/>
          <w:sz w:val="32"/>
          <w:szCs w:val="32"/>
        </w:rPr>
      </w:pPr>
      <w:r w:rsidRPr="00263B45">
        <w:rPr>
          <w:rFonts w:ascii="Times New Roman" w:hAnsi="Times New Roman" w:cs="Times New Roman"/>
          <w:color w:val="2D2D8A"/>
          <w:sz w:val="32"/>
          <w:szCs w:val="32"/>
        </w:rPr>
        <w:t>Additional Resources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AE0C0B" w:rsidRDefault="00AE0C0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AE0C0B" w:rsidRDefault="00AE0C0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AE0C0B" w:rsidRDefault="00AE0C0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263B45" w:rsidRPr="00263B45" w:rsidRDefault="00263B45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Pr="00B24D91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32"/>
          <w:szCs w:val="32"/>
        </w:rPr>
      </w:pPr>
      <w:r w:rsidRPr="00B24D91">
        <w:rPr>
          <w:rFonts w:ascii="Times New Roman" w:hAnsi="Times New Roman" w:cs="Times New Roman"/>
          <w:b/>
          <w:bCs/>
          <w:color w:val="003F69"/>
          <w:sz w:val="32"/>
          <w:szCs w:val="32"/>
        </w:rPr>
        <w:lastRenderedPageBreak/>
        <w:t>Regulations of PCBs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PCBs are regulated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by the U.S. EPA under the Toxic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Substances Control Act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>A few key points:</w:t>
      </w:r>
    </w:p>
    <w:p w:rsidR="00EC2C5B" w:rsidRPr="00631EC4" w:rsidRDefault="00EC2C5B" w:rsidP="00631E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Regulations prohibit the use o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f PCBs equal to or greater than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50 ppm in caulk and other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 non-liquid products, including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continued use of products already in place</w:t>
      </w:r>
    </w:p>
    <w:p w:rsidR="00EC2C5B" w:rsidRPr="00631EC4" w:rsidRDefault="00EC2C5B" w:rsidP="00631E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Intact PCB-containing light b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>allasts are an authorized use -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BUT if they leak PCBs then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 the spill area must be cleaned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and proper disposal of the ballast is required</w:t>
      </w:r>
    </w:p>
    <w:p w:rsidR="00EC2C5B" w:rsidRPr="00631EC4" w:rsidRDefault="00EC2C5B" w:rsidP="00631E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Proper classification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 and disposal of renovation and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demolition wastes contain</w:t>
      </w:r>
      <w:r w:rsidR="00B24D91"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ing PCBs is required under TSCA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regulations</w:t>
      </w:r>
    </w:p>
    <w:p w:rsidR="00C52C1F" w:rsidRPr="00AE0C0B" w:rsidRDefault="00EC2C5B" w:rsidP="00AE0C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C0B">
        <w:rPr>
          <w:rFonts w:ascii="Times New Roman" w:hAnsi="Times New Roman" w:cs="Times New Roman"/>
          <w:color w:val="000000"/>
          <w:sz w:val="24"/>
          <w:szCs w:val="24"/>
        </w:rPr>
        <w:t>Regulations regarding PCB use</w:t>
      </w:r>
      <w:r w:rsidR="00B24D91" w:rsidRPr="00AE0C0B">
        <w:rPr>
          <w:rFonts w:ascii="Times New Roman" w:hAnsi="Times New Roman" w:cs="Times New Roman"/>
          <w:color w:val="000000"/>
          <w:sz w:val="24"/>
          <w:szCs w:val="24"/>
        </w:rPr>
        <w:t xml:space="preserve">, clean-up, and disposal can be </w:t>
      </w:r>
      <w:r w:rsidRPr="00AE0C0B">
        <w:rPr>
          <w:rFonts w:ascii="Times New Roman" w:hAnsi="Times New Roman" w:cs="Times New Roman"/>
          <w:color w:val="000000"/>
          <w:sz w:val="24"/>
          <w:szCs w:val="24"/>
        </w:rPr>
        <w:t xml:space="preserve">complicated - consult </w:t>
      </w:r>
      <w:r w:rsidR="00334521">
        <w:rPr>
          <w:rFonts w:ascii="Times New Roman" w:hAnsi="Times New Roman" w:cs="Times New Roman"/>
          <w:color w:val="000000"/>
          <w:sz w:val="24"/>
          <w:szCs w:val="24"/>
        </w:rPr>
        <w:t>James Moreno</w:t>
      </w:r>
      <w:r w:rsidR="00AE0C0B">
        <w:rPr>
          <w:rFonts w:ascii="Times New Roman" w:hAnsi="Times New Roman" w:cs="Times New Roman"/>
          <w:color w:val="000000"/>
          <w:sz w:val="24"/>
          <w:szCs w:val="24"/>
        </w:rPr>
        <w:t>, OG</w:t>
      </w:r>
      <w:r w:rsidR="00C52C1F" w:rsidRPr="00AE0C0B">
        <w:rPr>
          <w:rFonts w:ascii="Times New Roman" w:hAnsi="Times New Roman" w:cs="Times New Roman"/>
          <w:color w:val="000000"/>
          <w:sz w:val="24"/>
          <w:szCs w:val="24"/>
        </w:rPr>
        <w:t xml:space="preserve">SD M&amp;O Department or </w:t>
      </w:r>
      <w:r w:rsidRPr="00AE0C0B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B24D91" w:rsidRPr="00AE0C0B">
        <w:rPr>
          <w:rFonts w:ascii="Times New Roman" w:hAnsi="Times New Roman" w:cs="Times New Roman"/>
          <w:color w:val="000000"/>
          <w:sz w:val="24"/>
          <w:szCs w:val="24"/>
        </w:rPr>
        <w:t xml:space="preserve"> EPA Regional PCB Coordinator – </w:t>
      </w:r>
    </w:p>
    <w:p w:rsidR="00C52C1F" w:rsidRDefault="00C52C1F" w:rsidP="00C52C1F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52C1F" w:rsidRDefault="00C52C1F" w:rsidP="00C52C1F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PCB Program Coordinator</w:t>
      </w:r>
    </w:p>
    <w:p w:rsidR="00C52C1F" w:rsidRPr="00263B45" w:rsidRDefault="00DE705A" w:rsidP="00C52C1F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C52C1F" w:rsidRPr="00D5561A">
          <w:rPr>
            <w:rStyle w:val="Hyperlink"/>
            <w:rFonts w:ascii="Times New Roman" w:hAnsi="Times New Roman" w:cs="Times New Roman"/>
            <w:sz w:val="24"/>
            <w:szCs w:val="24"/>
          </w:rPr>
          <w:t>armann.steve@epa.gov</w:t>
        </w:r>
      </w:hyperlink>
      <w:r w:rsidR="00C52C1F">
        <w:rPr>
          <w:rFonts w:ascii="Times New Roman" w:hAnsi="Times New Roman" w:cs="Times New Roman"/>
          <w:color w:val="000000"/>
          <w:sz w:val="24"/>
          <w:szCs w:val="24"/>
        </w:rPr>
        <w:t xml:space="preserve"> or (415) 972-3352.</w:t>
      </w:r>
    </w:p>
    <w:p w:rsidR="00EC2C5B" w:rsidRPr="00C52C1F" w:rsidRDefault="00EC2C5B" w:rsidP="00C52C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Pr="00B24D91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B24D9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Safety</w:t>
      </w:r>
      <w:r w:rsidRPr="00B24D91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Pr="00B24D9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Approach to PCBs in Schools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•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PCBs were widely used in building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materials from about 1950 until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1979.</w:t>
      </w:r>
    </w:p>
    <w:p w:rsidR="00EC2C5B" w:rsidRPr="00B24D91" w:rsidRDefault="00EC2C5B" w:rsidP="00B2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•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Implementing PCB Best Management Practices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•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Replacement of PCB Ballasts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•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Thorough cleaning of school surfaces (initial and routine)</w:t>
      </w:r>
    </w:p>
    <w:p w:rsidR="00EC2C5B" w:rsidRPr="00B24D91" w:rsidRDefault="00EC2C5B" w:rsidP="00B24D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0000"/>
          <w:sz w:val="24"/>
          <w:szCs w:val="24"/>
        </w:rPr>
        <w:t>Testing of air for PCB concentrations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•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If air concentrations are ab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ove national health guidelines then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evaluate and mitigate sources.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Pr="00B24D91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32"/>
          <w:szCs w:val="32"/>
        </w:rPr>
      </w:pPr>
      <w:r w:rsidRPr="00B24D91">
        <w:rPr>
          <w:rFonts w:ascii="Times New Roman" w:hAnsi="Times New Roman" w:cs="Times New Roman"/>
          <w:b/>
          <w:bCs/>
          <w:color w:val="003F69"/>
          <w:sz w:val="32"/>
          <w:szCs w:val="32"/>
        </w:rPr>
        <w:t>Best Practices for Minimizing PCB Exposure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Steps:</w:t>
      </w:r>
    </w:p>
    <w:p w:rsidR="00B24D91" w:rsidRPr="00263B45" w:rsidRDefault="00B24D91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school or building was built or r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enovated between 1950 and 1979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there are several steps schools can take to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reduce potential exposure until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it can be determined with certainty if PCBs are present:</w:t>
      </w:r>
    </w:p>
    <w:p w:rsidR="00514C30" w:rsidRPr="00514C30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514C30">
        <w:rPr>
          <w:rFonts w:ascii="Times New Roman" w:hAnsi="Times New Roman" w:cs="Times New Roman"/>
          <w:color w:val="003F69"/>
          <w:sz w:val="24"/>
          <w:szCs w:val="24"/>
        </w:rPr>
        <w:t>Review and evaluate general cleaning practices to ensure the cleanliness of classrooms and avoid dust accumulation.</w:t>
      </w:r>
    </w:p>
    <w:p w:rsidR="00EC2C5B" w:rsidRPr="00B24D91" w:rsidRDefault="00514C30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EC2C5B" w:rsidRPr="00B24D91">
        <w:rPr>
          <w:rFonts w:ascii="Times New Roman" w:hAnsi="Times New Roman" w:cs="Times New Roman"/>
          <w:color w:val="000000"/>
          <w:sz w:val="24"/>
          <w:szCs w:val="24"/>
        </w:rPr>
        <w:t>Ensure ventilation systems are operating as designed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Clean frequently to reduce dust and residue inside buildings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Use a wet or damp cloth or mop to clean surfaces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Use vacuums with high-efficiency particulate air (HEPA) filters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Do not sweep with dry brooms; minimize the use of dusters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Wash children's hands with soap &amp; water often, particularly before eating</w:t>
      </w:r>
    </w:p>
    <w:p w:rsidR="00EC2C5B" w:rsidRPr="00B24D91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Wash children's toys often</w:t>
      </w:r>
    </w:p>
    <w:p w:rsidR="00EC2C5B" w:rsidRDefault="00EC2C5B" w:rsidP="00B24D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Wash hands with soap and water after cleaning</w:t>
      </w:r>
    </w:p>
    <w:p w:rsidR="00033E7C" w:rsidRDefault="00033E7C" w:rsidP="00033E7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F69"/>
          <w:sz w:val="24"/>
          <w:szCs w:val="24"/>
        </w:rPr>
      </w:pPr>
    </w:p>
    <w:p w:rsidR="00033E7C" w:rsidRPr="00B24D91" w:rsidRDefault="00033E7C" w:rsidP="00033E7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Fluorescent and High Intensity Light Ballasts:</w:t>
      </w:r>
    </w:p>
    <w:p w:rsidR="00B24D91" w:rsidRPr="00263B45" w:rsidRDefault="00B24D91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C30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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EPA recommen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ds replacement of lights having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PCB-containing ballasts</w:t>
      </w:r>
      <w:r w:rsidR="00514C30">
        <w:rPr>
          <w:rFonts w:ascii="Times New Roman" w:hAnsi="Times New Roman" w:cs="Times New Roman"/>
          <w:color w:val="000000"/>
          <w:sz w:val="24"/>
          <w:szCs w:val="24"/>
        </w:rPr>
        <w:t>. Review maintenance records to determine if PCB-</w:t>
      </w:r>
      <w:proofErr w:type="spellStart"/>
      <w:r w:rsidR="00514C30">
        <w:rPr>
          <w:rFonts w:ascii="Times New Roman" w:hAnsi="Times New Roman" w:cs="Times New Roman"/>
          <w:color w:val="000000"/>
          <w:sz w:val="24"/>
          <w:szCs w:val="24"/>
        </w:rPr>
        <w:t>flourescent</w:t>
      </w:r>
      <w:proofErr w:type="spellEnd"/>
      <w:r w:rsidR="00514C30">
        <w:rPr>
          <w:rFonts w:ascii="Times New Roman" w:hAnsi="Times New Roman" w:cs="Times New Roman"/>
          <w:color w:val="000000"/>
          <w:sz w:val="24"/>
          <w:szCs w:val="24"/>
        </w:rPr>
        <w:t xml:space="preserve"> light ballasts have been replaced.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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Benefits include:</w:t>
      </w:r>
    </w:p>
    <w:p w:rsidR="00EC2C5B" w:rsidRPr="00B24D91" w:rsidRDefault="00EC2C5B" w:rsidP="00B24D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></w:t>
      </w:r>
      <w:r w:rsidR="00B24D91" w:rsidRPr="00B24D91">
        <w:rPr>
          <w:rFonts w:ascii="Times New Roman" w:hAnsi="Times New Roman" w:cs="Times New Roman"/>
          <w:color w:val="003F69"/>
          <w:sz w:val="24"/>
          <w:szCs w:val="24"/>
        </w:rPr>
        <w:tab/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A reduction of PCBs in the air</w:t>
      </w:r>
    </w:p>
    <w:p w:rsidR="00EC2C5B" w:rsidRPr="00B24D91" w:rsidRDefault="00EC2C5B" w:rsidP="00B24D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 w:rsidRPr="00B24D91">
        <w:rPr>
          <w:rFonts w:ascii="Times New Roman" w:hAnsi="Times New Roman" w:cs="Times New Roman"/>
          <w:color w:val="003F69"/>
          <w:sz w:val="24"/>
          <w:szCs w:val="24"/>
        </w:rPr>
        <w:tab/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Reduced disruption and cost in responding to</w:t>
      </w:r>
      <w:r w:rsidR="00B24D91" w:rsidRPr="00B24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smoking/leaking ballasts</w:t>
      </w:r>
    </w:p>
    <w:p w:rsidR="00EC2C5B" w:rsidRPr="00B24D91" w:rsidRDefault="00EC2C5B" w:rsidP="00B24D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></w:t>
      </w:r>
      <w:r w:rsidR="00B24D91" w:rsidRPr="00B24D91">
        <w:rPr>
          <w:rFonts w:ascii="Times New Roman" w:hAnsi="Times New Roman" w:cs="Times New Roman"/>
          <w:color w:val="003F69"/>
          <w:sz w:val="24"/>
          <w:szCs w:val="24"/>
        </w:rPr>
        <w:tab/>
      </w: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Expected reduction in energy consumption</w:t>
      </w:r>
    </w:p>
    <w:p w:rsidR="00EC2C5B" w:rsidRPr="00B24D91" w:rsidRDefault="00EC2C5B" w:rsidP="00B24D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 w:rsidRPr="00B24D91">
        <w:rPr>
          <w:rFonts w:ascii="Times New Roman" w:hAnsi="Times New Roman" w:cs="Times New Roman"/>
          <w:color w:val="003F69"/>
          <w:sz w:val="24"/>
          <w:szCs w:val="24"/>
        </w:rPr>
        <w:tab/>
        <w:t xml:space="preserve">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 xml:space="preserve">Long-term </w:t>
      </w:r>
      <w:r w:rsidR="00B24D91" w:rsidRPr="00B24D91">
        <w:rPr>
          <w:rFonts w:ascii="Times New Roman" w:hAnsi="Times New Roman" w:cs="Times New Roman"/>
          <w:color w:val="000000"/>
          <w:sz w:val="24"/>
          <w:szCs w:val="24"/>
        </w:rPr>
        <w:t xml:space="preserve">cost savings when replaced with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more energy efficient lighting</w:t>
      </w:r>
    </w:p>
    <w:p w:rsidR="00EC2C5B" w:rsidRPr="00B24D91" w:rsidRDefault="00EC2C5B" w:rsidP="00B24D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B24D91">
        <w:rPr>
          <w:rFonts w:ascii="Times New Roman" w:hAnsi="Times New Roman" w:cs="Times New Roman"/>
          <w:color w:val="003F69"/>
          <w:sz w:val="24"/>
          <w:szCs w:val="24"/>
        </w:rPr>
        <w:t></w:t>
      </w:r>
      <w:r w:rsidR="00B24D91" w:rsidRPr="00B24D91">
        <w:rPr>
          <w:rFonts w:ascii="Times New Roman" w:hAnsi="Times New Roman" w:cs="Times New Roman"/>
          <w:color w:val="003F69"/>
          <w:sz w:val="24"/>
          <w:szCs w:val="24"/>
        </w:rPr>
        <w:tab/>
      </w:r>
      <w:r w:rsidRP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B24D91">
        <w:rPr>
          <w:rFonts w:ascii="Times New Roman" w:hAnsi="Times New Roman" w:cs="Times New Roman"/>
          <w:color w:val="000000"/>
          <w:sz w:val="24"/>
          <w:szCs w:val="24"/>
        </w:rPr>
        <w:t>Improved classroom lighting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Caulk and Other PCB-Containing Materials:</w:t>
      </w:r>
    </w:p>
    <w:p w:rsidR="00B24D91" w:rsidRPr="00263B45" w:rsidRDefault="00B24D91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C5B" w:rsidRPr="00B24D91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Consider air testing as a way to determine </w:t>
      </w: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PCBs are pre</w:t>
      </w:r>
      <w:r w:rsidR="00B24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 above </w:t>
      </w: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indoor air public health levels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; if so: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Conduct</w:t>
      </w:r>
      <w:proofErr w:type="gramEnd"/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Testing to identify potential sources of PCBs.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Encapsulation</w:t>
      </w:r>
      <w:proofErr w:type="gramEnd"/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or barriers may be considered as short-term</w:t>
      </w:r>
    </w:p>
    <w:p w:rsidR="00EC2C5B" w:rsidRPr="00263B45" w:rsidRDefault="00B24D91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>measures</w:t>
      </w:r>
      <w:proofErr w:type="gramEnd"/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; in the long term </w:t>
      </w:r>
      <w:proofErr w:type="spellStart"/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>encapsula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not effective for caulk </w:t>
      </w:r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>with levels above a few hundred ppm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Remove</w:t>
      </w:r>
      <w:proofErr w:type="gramEnd"/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PCB-containing caulk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 and other known primary source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materials from the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building to help lower air concentrations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Removal</w:t>
      </w:r>
      <w:proofErr w:type="gramEnd"/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must be performed by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qualified contractors and steps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taken to minimize the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spread of dust and vapors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3B45">
        <w:rPr>
          <w:rFonts w:ascii="Times New Roman" w:hAnsi="Times New Roman" w:cs="Times New Roman"/>
          <w:color w:val="003F69"/>
          <w:sz w:val="24"/>
          <w:szCs w:val="24"/>
        </w:rPr>
        <w:t xml:space="preserve"> </w:t>
      </w:r>
      <w:r w:rsidR="00B24D91"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Re</w:t>
      </w:r>
      <w:proofErr w:type="gramEnd"/>
      <w:r w:rsidRPr="00263B45">
        <w:rPr>
          <w:rFonts w:ascii="Times New Roman" w:hAnsi="Times New Roman" w:cs="Times New Roman"/>
          <w:color w:val="000000"/>
          <w:sz w:val="24"/>
          <w:szCs w:val="24"/>
        </w:rPr>
        <w:t>-test the air to verify successful re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duction in levels; if levels in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air are not reduced below public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 health levels, remediation and </w:t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follow-up testing may be needed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C5B" w:rsidRPr="00C82AD2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2A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PCB Air Testing</w:t>
      </w:r>
    </w:p>
    <w:p w:rsidR="00EC2C5B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D91" w:rsidRPr="00263B45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PCBs in Air</w:t>
      </w:r>
    </w:p>
    <w:p w:rsidR="00EC2C5B" w:rsidRPr="00263B45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>There are no regulatory standards for PCB concentrations in indoor air</w:t>
      </w:r>
      <w:r w:rsidR="00DE7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C5B" w:rsidRPr="00263B45" w:rsidRDefault="00631EC4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F69"/>
          <w:sz w:val="24"/>
          <w:szCs w:val="24"/>
        </w:rPr>
        <w:t xml:space="preserve"> </w:t>
      </w:r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EPA has developed recommended public health 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levels for different age groups </w:t>
      </w:r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that 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>anticipated to keep PCB exposures belo</w:t>
      </w:r>
      <w:r w:rsidR="00B24D91">
        <w:rPr>
          <w:rFonts w:ascii="Times New Roman" w:hAnsi="Times New Roman" w:cs="Times New Roman"/>
          <w:color w:val="000000"/>
          <w:sz w:val="24"/>
          <w:szCs w:val="24"/>
        </w:rPr>
        <w:t xml:space="preserve">w the “reference dose” from the </w:t>
      </w:r>
      <w:proofErr w:type="gramStart"/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>exposures</w:t>
      </w:r>
      <w:proofErr w:type="gramEnd"/>
      <w:r w:rsidR="00EC2C5B"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at schools and from other sources</w:t>
      </w:r>
      <w:r w:rsidR="00DE7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E7C" w:rsidRDefault="00EC2C5B" w:rsidP="00033E7C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>For more information contact</w:t>
      </w:r>
      <w:r w:rsidR="00C82A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2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521">
        <w:rPr>
          <w:rFonts w:ascii="Times New Roman" w:hAnsi="Times New Roman" w:cs="Times New Roman"/>
          <w:color w:val="000000"/>
          <w:sz w:val="24"/>
          <w:szCs w:val="24"/>
        </w:rPr>
        <w:t>James Moreno</w:t>
      </w:r>
      <w:r w:rsidR="00AE0C0B">
        <w:rPr>
          <w:rFonts w:ascii="Times New Roman" w:hAnsi="Times New Roman" w:cs="Times New Roman"/>
          <w:color w:val="000000"/>
          <w:sz w:val="24"/>
          <w:szCs w:val="24"/>
        </w:rPr>
        <w:t>, OG</w:t>
      </w:r>
      <w:r w:rsidR="00033E7C">
        <w:rPr>
          <w:rFonts w:ascii="Times New Roman" w:hAnsi="Times New Roman" w:cs="Times New Roman"/>
          <w:color w:val="000000"/>
          <w:sz w:val="24"/>
          <w:szCs w:val="24"/>
        </w:rPr>
        <w:t xml:space="preserve">SD M&amp;O Department </w:t>
      </w:r>
      <w:r w:rsidR="00DE705A">
        <w:rPr>
          <w:rFonts w:ascii="Times New Roman" w:hAnsi="Times New Roman" w:cs="Times New Roman"/>
          <w:color w:val="000000"/>
          <w:sz w:val="24"/>
          <w:szCs w:val="24"/>
        </w:rPr>
        <w:t xml:space="preserve">at 408-647-1265 </w:t>
      </w:r>
      <w:r w:rsidR="00033E7C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033E7C" w:rsidRDefault="00EC2C5B" w:rsidP="00B24D91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263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E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3B4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3E7C">
        <w:rPr>
          <w:rFonts w:ascii="Times New Roman" w:hAnsi="Times New Roman" w:cs="Times New Roman"/>
          <w:color w:val="000000"/>
          <w:sz w:val="24"/>
          <w:szCs w:val="24"/>
        </w:rPr>
        <w:t>PA Region 9’s PCB Coordinator:</w:t>
      </w:r>
    </w:p>
    <w:p w:rsidR="00033E7C" w:rsidRDefault="00514C30" w:rsidP="00033E7C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33E7C" w:rsidRDefault="00033E7C" w:rsidP="00033E7C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PCB Program Coordinator</w:t>
      </w:r>
    </w:p>
    <w:p w:rsidR="00EC2C5B" w:rsidRPr="00263B45" w:rsidRDefault="00DE705A" w:rsidP="00033E7C">
      <w:pPr>
        <w:autoSpaceDE w:val="0"/>
        <w:autoSpaceDN w:val="0"/>
        <w:adjustRightInd w:val="0"/>
        <w:spacing w:after="0" w:line="240" w:lineRule="auto"/>
        <w:ind w:left="990" w:firstLine="45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514C30" w:rsidRPr="00D5561A">
          <w:rPr>
            <w:rStyle w:val="Hyperlink"/>
            <w:rFonts w:ascii="Times New Roman" w:hAnsi="Times New Roman" w:cs="Times New Roman"/>
            <w:sz w:val="24"/>
            <w:szCs w:val="24"/>
          </w:rPr>
          <w:t>armann.steve@epa.gov</w:t>
        </w:r>
      </w:hyperlink>
      <w:r w:rsidR="00514C30">
        <w:rPr>
          <w:rFonts w:ascii="Times New Roman" w:hAnsi="Times New Roman" w:cs="Times New Roman"/>
          <w:color w:val="000000"/>
          <w:sz w:val="24"/>
          <w:szCs w:val="24"/>
        </w:rPr>
        <w:t xml:space="preserve"> or (415) 972-3352.</w:t>
      </w: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70D3" wp14:editId="7FC5305B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582930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90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5B" w:rsidRPr="00EC2C5B" w:rsidRDefault="00EC2C5B" w:rsidP="00EC2C5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EC2C5B">
                              <w:rPr>
                                <w:b/>
                              </w:rPr>
                              <w:t>Public Health Levels of PCBs in School Indoor Air (ng/m3)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1262"/>
                              <w:gridCol w:w="1262"/>
                              <w:gridCol w:w="1270"/>
                              <w:gridCol w:w="1266"/>
                              <w:gridCol w:w="1266"/>
                              <w:gridCol w:w="1265"/>
                            </w:tblGrid>
                            <w:tr w:rsidR="00CB568F" w:rsidTr="00CB568F">
                              <w:trPr>
                                <w:trHeight w:val="572"/>
                              </w:trPr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1-&lt;2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2-&lt;3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3-&lt;6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6-&lt;12</w:t>
                                  </w:r>
                                </w:p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Elementary School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12-&lt;15</w:t>
                                  </w:r>
                                </w:p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Middle School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15-&lt;19 High School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Age 19+ Adult</w:t>
                                  </w:r>
                                </w:p>
                              </w:tc>
                            </w:tr>
                            <w:tr w:rsidR="00CB568F" w:rsidTr="00CB568F">
                              <w:trPr>
                                <w:trHeight w:val="707"/>
                              </w:trPr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568F">
                                    <w:rPr>
                                      <w:b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CB568F" w:rsidTr="00CB568F">
                              <w:trPr>
                                <w:trHeight w:val="707"/>
                              </w:trPr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CB568F" w:rsidRPr="00CB568F" w:rsidRDefault="00CB568F" w:rsidP="00CB56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2C5B" w:rsidRDefault="00EC2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7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5.9pt;width:45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" fillcolor="white [3201]" strokecolor="#5b9bd5 [3204]" strokeweight="1.5pt">
                <v:textbox>
                  <w:txbxContent>
                    <w:p w:rsidR="00EC2C5B" w:rsidRPr="00EC2C5B" w:rsidRDefault="00EC2C5B" w:rsidP="00EC2C5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EC2C5B">
                        <w:rPr>
                          <w:b/>
                        </w:rPr>
                        <w:t>Public Health Levels of PCBs in School Indoor Air (ng/m3)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1262"/>
                        <w:gridCol w:w="1262"/>
                        <w:gridCol w:w="1270"/>
                        <w:gridCol w:w="1266"/>
                        <w:gridCol w:w="1266"/>
                        <w:gridCol w:w="1265"/>
                      </w:tblGrid>
                      <w:tr w:rsidR="00CB568F" w:rsidTr="00CB568F">
                        <w:trPr>
                          <w:trHeight w:val="572"/>
                        </w:trPr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1-&lt;2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2-&lt;3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3-&lt;6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6-&lt;12</w:t>
                            </w:r>
                          </w:p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Elementary School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12-&lt;15</w:t>
                            </w:r>
                          </w:p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Middle School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15-&lt;19 High School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Age 19+ Adult</w:t>
                            </w:r>
                          </w:p>
                        </w:tc>
                      </w:tr>
                      <w:tr w:rsidR="00CB568F" w:rsidTr="00CB568F">
                        <w:trPr>
                          <w:trHeight w:val="707"/>
                        </w:trPr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568F">
                              <w:rPr>
                                <w:b/>
                              </w:rPr>
                              <w:t>450</w:t>
                            </w:r>
                          </w:p>
                        </w:tc>
                      </w:tr>
                      <w:tr w:rsidR="00CB568F" w:rsidTr="00CB568F">
                        <w:trPr>
                          <w:trHeight w:val="707"/>
                        </w:trPr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CB568F" w:rsidRPr="00CB568F" w:rsidRDefault="00CB568F" w:rsidP="00CB56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C2C5B" w:rsidRDefault="00EC2C5B"/>
                  </w:txbxContent>
                </v:textbox>
              </v:shape>
            </w:pict>
          </mc:Fallback>
        </mc:AlternateContent>
      </w: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EC2C5B" w:rsidRDefault="00EC2C5B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FE35DE" w:rsidRDefault="00FE35DE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FE35DE" w:rsidRDefault="00FE35DE" w:rsidP="00EC2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F69"/>
          <w:sz w:val="16"/>
          <w:szCs w:val="16"/>
        </w:rPr>
      </w:pPr>
    </w:p>
    <w:p w:rsidR="00EC2C5B" w:rsidRPr="00FE35DE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5D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http://www.epa.gov/epawaste/hazard/tsd/pcbs/pubs/caulk/maxconcentrations.htm</w:t>
      </w:r>
    </w:p>
    <w:p w:rsidR="00EC2C5B" w:rsidRPr="00FE35DE" w:rsidRDefault="00CB568F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5DE">
        <w:rPr>
          <w:rFonts w:ascii="Times New Roman" w:hAnsi="Times New Roman" w:cs="Times New Roman"/>
          <w:b/>
          <w:bCs/>
          <w:color w:val="003F69"/>
          <w:sz w:val="24"/>
          <w:szCs w:val="24"/>
        </w:rPr>
        <w:t xml:space="preserve"> </w:t>
      </w:r>
    </w:p>
    <w:p w:rsidR="00CB568F" w:rsidRPr="00FE35DE" w:rsidRDefault="00CB568F" w:rsidP="00CB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  <w:r w:rsidRPr="00FE35DE">
        <w:rPr>
          <w:rFonts w:ascii="Arial" w:hAnsi="Arial" w:cs="Arial"/>
          <w:color w:val="1F4E79" w:themeColor="accent1" w:themeShade="80"/>
          <w:sz w:val="32"/>
          <w:szCs w:val="32"/>
        </w:rPr>
        <w:t xml:space="preserve"> </w:t>
      </w:r>
      <w:r w:rsidRPr="00FE35DE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Get Professional Advice and Information:</w:t>
      </w:r>
    </w:p>
    <w:p w:rsidR="00631EC4" w:rsidRPr="00631EC4" w:rsidRDefault="00631EC4" w:rsidP="00CB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68F" w:rsidRPr="00631EC4" w:rsidRDefault="00CB568F" w:rsidP="00631E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Remediating PCBs in buildings can be challenging</w:t>
      </w:r>
    </w:p>
    <w:p w:rsidR="00CB568F" w:rsidRPr="00631EC4" w:rsidRDefault="00CB568F" w:rsidP="00631E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Contact yo</w:t>
      </w:r>
      <w:r w:rsidR="00514C30">
        <w:rPr>
          <w:rFonts w:ascii="Times New Roman" w:hAnsi="Times New Roman" w:cs="Times New Roman"/>
          <w:color w:val="000000"/>
          <w:sz w:val="24"/>
          <w:szCs w:val="24"/>
        </w:rPr>
        <w:t xml:space="preserve">ur EPA PCB Coordinator –Steve </w:t>
      </w:r>
      <w:proofErr w:type="spellStart"/>
      <w:r w:rsidR="00514C30">
        <w:rPr>
          <w:rFonts w:ascii="Times New Roman" w:hAnsi="Times New Roman" w:cs="Times New Roman"/>
          <w:color w:val="000000"/>
          <w:sz w:val="24"/>
          <w:szCs w:val="24"/>
        </w:rPr>
        <w:t>Arman</w:t>
      </w:r>
      <w:r w:rsidR="00033E7C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51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68F" w:rsidRPr="00631EC4" w:rsidRDefault="00CB568F" w:rsidP="00631E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Read EPA</w:t>
      </w:r>
      <w:r w:rsidR="00AE0C0B">
        <w:rPr>
          <w:rFonts w:ascii="Times New Roman" w:hAnsi="Times New Roman" w:cs="Times New Roman"/>
          <w:color w:val="000000"/>
          <w:sz w:val="24"/>
          <w:szCs w:val="24"/>
        </w:rPr>
        <w:t xml:space="preserve"> information </w:t>
      </w:r>
      <w:r w:rsidR="00631E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C2C5B" w:rsidRPr="00C82AD2" w:rsidRDefault="00CB568F" w:rsidP="00C82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Work with certified</w:t>
      </w:r>
      <w:r w:rsidR="00631EC4">
        <w:rPr>
          <w:rFonts w:ascii="Times New Roman" w:hAnsi="Times New Roman" w:cs="Times New Roman"/>
          <w:color w:val="000000"/>
          <w:sz w:val="24"/>
          <w:szCs w:val="24"/>
        </w:rPr>
        <w:t xml:space="preserve"> contractors experienced in PCB </w:t>
      </w:r>
      <w:r w:rsidRPr="00631EC4">
        <w:rPr>
          <w:rFonts w:ascii="Times New Roman" w:hAnsi="Times New Roman" w:cs="Times New Roman"/>
          <w:color w:val="000000"/>
          <w:sz w:val="24"/>
          <w:szCs w:val="24"/>
        </w:rPr>
        <w:t>assessment and remediation in buildings</w:t>
      </w: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F69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8A"/>
          <w:sz w:val="32"/>
          <w:szCs w:val="32"/>
        </w:rPr>
      </w:pPr>
      <w:r w:rsidRPr="00631EC4">
        <w:rPr>
          <w:rFonts w:ascii="Times New Roman" w:hAnsi="Times New Roman" w:cs="Times New Roman"/>
          <w:b/>
          <w:bCs/>
          <w:color w:val="2D2D8A"/>
          <w:sz w:val="32"/>
          <w:szCs w:val="32"/>
        </w:rPr>
        <w:t>Additional Resources</w:t>
      </w:r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8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U.S. EPA. Current Best Practices for PCBs in Caulk Fact Sheet – Testing in Buildings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7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http://www.epa.gov/pcbsincaulk/caulktesting.htm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U.S. EPA. How to Test for PCBs and Characterize Suspect Materials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8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http://www.epa.gov/epawaste/hazard/tsd/pcbs/pubs/caulk/guide/guide-sect3.htm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U.S. EPA. Steps to Safe Renovation and Abatement of Buildings that Have </w:t>
      </w:r>
      <w:proofErr w:type="spellStart"/>
      <w:r w:rsidRPr="00631EC4">
        <w:rPr>
          <w:rFonts w:ascii="Times New Roman" w:hAnsi="Times New Roman" w:cs="Times New Roman"/>
          <w:color w:val="000000"/>
          <w:sz w:val="24"/>
          <w:szCs w:val="24"/>
        </w:rPr>
        <w:t>PCBContaining</w:t>
      </w:r>
      <w:proofErr w:type="spellEnd"/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Caulk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9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http://www.epa.gov/epawaste/hazard/tsd/pcbs/pubs/caulk/guide/index.htm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U.S. EPA. Contractors: Handling PCBs in Caulk </w:t>
      </w:r>
      <w:proofErr w:type="gramStart"/>
      <w:r w:rsidRPr="00631EC4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 Renovation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10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http://www.epa.gov/epawaste/hazard/tsd/pcbs/pubs/caulk/caulkcontractors.htm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U.S. EPA. Management, Cleanup, and Disposal of PCB Wastes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11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http://www.epa.gov/epawaste/hazard/tsd/pcbs/index.htm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U.S. EPA. Fact Sheets for Schools and Teachers </w:t>
      </w:r>
      <w:proofErr w:type="gramStart"/>
      <w:r w:rsidRPr="00631EC4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631EC4">
        <w:rPr>
          <w:rFonts w:ascii="Times New Roman" w:hAnsi="Times New Roman" w:cs="Times New Roman"/>
          <w:color w:val="000000"/>
          <w:sz w:val="24"/>
          <w:szCs w:val="24"/>
        </w:rPr>
        <w:t xml:space="preserve"> PCB-Contaminated Caulk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12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http://www.epa.gov/pcbsincaulk/caulkschoolkit.htm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U.S. EPA. PCBs in Schools Research</w:t>
      </w:r>
    </w:p>
    <w:p w:rsidR="00EC2C5B" w:rsidRDefault="00DE705A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  <w:hyperlink r:id="rId13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http://www.epa.gov/pcbsincaulk/caulkresearch.htm</w:t>
        </w:r>
      </w:hyperlink>
    </w:p>
    <w:p w:rsidR="00631EC4" w:rsidRPr="00631EC4" w:rsidRDefault="00631EC4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A9A"/>
          <w:sz w:val="24"/>
          <w:szCs w:val="24"/>
        </w:rPr>
      </w:pPr>
    </w:p>
    <w:p w:rsidR="00EC2C5B" w:rsidRPr="00631EC4" w:rsidRDefault="00EC2C5B" w:rsidP="00EC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EC4">
        <w:rPr>
          <w:rFonts w:ascii="Times New Roman" w:hAnsi="Times New Roman" w:cs="Times New Roman"/>
          <w:color w:val="000000"/>
          <w:sz w:val="24"/>
          <w:szCs w:val="24"/>
        </w:rPr>
        <w:t>CDC-ATSDR. Toxicological Profile for Polychlorinated Biphenyls (PCBs).</w:t>
      </w:r>
    </w:p>
    <w:p w:rsidR="00AA4714" w:rsidRDefault="00DE705A" w:rsidP="00EC2C5B">
      <w:pPr>
        <w:rPr>
          <w:rFonts w:ascii="Times New Roman" w:hAnsi="Times New Roman" w:cs="Times New Roman"/>
          <w:color w:val="009A9A"/>
          <w:sz w:val="24"/>
          <w:szCs w:val="24"/>
        </w:rPr>
      </w:pPr>
      <w:hyperlink r:id="rId14" w:history="1">
        <w:r w:rsidR="00631EC4" w:rsidRPr="0035792A">
          <w:rPr>
            <w:rStyle w:val="Hyperlink"/>
            <w:rFonts w:ascii="Times New Roman" w:hAnsi="Times New Roman" w:cs="Times New Roman"/>
            <w:sz w:val="24"/>
            <w:szCs w:val="24"/>
          </w:rPr>
          <w:t>http://www.atsdr.cdc.gov/toxprofiles/tp.asp?id=142&amp;tid=26</w:t>
        </w:r>
      </w:hyperlink>
    </w:p>
    <w:p w:rsidR="00631EC4" w:rsidRDefault="00631EC4" w:rsidP="00EC2C5B">
      <w:pPr>
        <w:rPr>
          <w:rFonts w:ascii="Times New Roman" w:hAnsi="Times New Roman" w:cs="Times New Roman"/>
          <w:sz w:val="24"/>
          <w:szCs w:val="24"/>
        </w:rPr>
      </w:pPr>
    </w:p>
    <w:p w:rsidR="00C82AD2" w:rsidRDefault="00C82AD2" w:rsidP="00EC2C5B">
      <w:pPr>
        <w:rPr>
          <w:rFonts w:ascii="Times New Roman" w:hAnsi="Times New Roman" w:cs="Times New Roman"/>
          <w:sz w:val="24"/>
          <w:szCs w:val="24"/>
        </w:rPr>
      </w:pPr>
    </w:p>
    <w:p w:rsidR="00A5729D" w:rsidRPr="00631EC4" w:rsidRDefault="00A5729D" w:rsidP="00EC2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Oak Grove School District Safety</w:t>
      </w:r>
      <w:r w:rsidR="00BD7C22">
        <w:rPr>
          <w:rFonts w:ascii="Times New Roman" w:hAnsi="Times New Roman" w:cs="Times New Roman"/>
          <w:sz w:val="24"/>
          <w:szCs w:val="24"/>
        </w:rPr>
        <w:t xml:space="preserve"> Committee on February 24, 2015. The plan was reviewed and updat</w:t>
      </w:r>
      <w:r w:rsidR="00334521">
        <w:rPr>
          <w:rFonts w:ascii="Times New Roman" w:hAnsi="Times New Roman" w:cs="Times New Roman"/>
          <w:sz w:val="24"/>
          <w:szCs w:val="24"/>
        </w:rPr>
        <w:t xml:space="preserve">ed August 2015, August 2016, </w:t>
      </w:r>
      <w:r w:rsidR="00BD7C22">
        <w:rPr>
          <w:rFonts w:ascii="Times New Roman" w:hAnsi="Times New Roman" w:cs="Times New Roman"/>
          <w:sz w:val="24"/>
          <w:szCs w:val="24"/>
        </w:rPr>
        <w:t>August 2017</w:t>
      </w:r>
      <w:r w:rsidR="00DE705A">
        <w:rPr>
          <w:rFonts w:ascii="Times New Roman" w:hAnsi="Times New Roman" w:cs="Times New Roman"/>
          <w:sz w:val="24"/>
          <w:szCs w:val="24"/>
        </w:rPr>
        <w:t>, August 2018 and June 2019</w:t>
      </w:r>
      <w:bookmarkStart w:id="0" w:name="_GoBack"/>
      <w:bookmarkEnd w:id="0"/>
      <w:r w:rsidR="00BD7C22">
        <w:rPr>
          <w:rFonts w:ascii="Times New Roman" w:hAnsi="Times New Roman" w:cs="Times New Roman"/>
          <w:sz w:val="24"/>
          <w:szCs w:val="24"/>
        </w:rPr>
        <w:t>.</w:t>
      </w:r>
    </w:p>
    <w:sectPr w:rsidR="00A5729D" w:rsidRPr="0063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3A"/>
    <w:multiLevelType w:val="hybridMultilevel"/>
    <w:tmpl w:val="450C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829"/>
    <w:multiLevelType w:val="hybridMultilevel"/>
    <w:tmpl w:val="4638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ADE"/>
    <w:multiLevelType w:val="hybridMultilevel"/>
    <w:tmpl w:val="4D844286"/>
    <w:lvl w:ilvl="0" w:tplc="4CA4B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5083"/>
    <w:multiLevelType w:val="hybridMultilevel"/>
    <w:tmpl w:val="502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4CB2"/>
    <w:multiLevelType w:val="hybridMultilevel"/>
    <w:tmpl w:val="39F6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5E00"/>
    <w:multiLevelType w:val="hybridMultilevel"/>
    <w:tmpl w:val="F8F8C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A02"/>
    <w:multiLevelType w:val="hybridMultilevel"/>
    <w:tmpl w:val="2C7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7204C"/>
    <w:multiLevelType w:val="hybridMultilevel"/>
    <w:tmpl w:val="7C30C4B4"/>
    <w:lvl w:ilvl="0" w:tplc="24D093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3F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B"/>
    <w:rsid w:val="0002095A"/>
    <w:rsid w:val="00033E7C"/>
    <w:rsid w:val="00084F91"/>
    <w:rsid w:val="000969EB"/>
    <w:rsid w:val="00263B45"/>
    <w:rsid w:val="00334521"/>
    <w:rsid w:val="00390213"/>
    <w:rsid w:val="00514C30"/>
    <w:rsid w:val="00612FC0"/>
    <w:rsid w:val="00631EC4"/>
    <w:rsid w:val="00942DFC"/>
    <w:rsid w:val="00A5729D"/>
    <w:rsid w:val="00AA4714"/>
    <w:rsid w:val="00AE0C0B"/>
    <w:rsid w:val="00AF2111"/>
    <w:rsid w:val="00B24D91"/>
    <w:rsid w:val="00BD7C22"/>
    <w:rsid w:val="00C52C1F"/>
    <w:rsid w:val="00C82AD2"/>
    <w:rsid w:val="00CB568F"/>
    <w:rsid w:val="00DE705A"/>
    <w:rsid w:val="00EC2C5B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CF40-B0D4-400A-A992-65A8A0A7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C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pawaste/hazard/tsd/pcbs/pubs/caulk/guide/guide-sect3.htm" TargetMode="External"/><Relationship Id="rId13" Type="http://schemas.openxmlformats.org/officeDocument/2006/relationships/hyperlink" Target="http://www.epa.gov/pcbsincaulk/caulkresear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pcbsincaulk/caulktesting.htm" TargetMode="External"/><Relationship Id="rId12" Type="http://schemas.openxmlformats.org/officeDocument/2006/relationships/hyperlink" Target="http://www.epa.gov/pcbsincaulk/caulkschoolki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mann.steve@epa.gov" TargetMode="External"/><Relationship Id="rId11" Type="http://schemas.openxmlformats.org/officeDocument/2006/relationships/hyperlink" Target="http://www.epa.gov/epawaste/hazard/tsd/pcbs/index.htm" TargetMode="External"/><Relationship Id="rId5" Type="http://schemas.openxmlformats.org/officeDocument/2006/relationships/hyperlink" Target="mailto:armann.steve@ep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/epawaste/hazard/tsd/pcbs/pubs/caulk/caulkcontracto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epawaste/hazard/tsd/pcbs/pubs/caulk/guide/index.htm" TargetMode="External"/><Relationship Id="rId14" Type="http://schemas.openxmlformats.org/officeDocument/2006/relationships/hyperlink" Target="http://www.atsdr.cdc.gov/toxprofiles/tp.asp?id=142&amp;tid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Fanciullo</dc:creator>
  <cp:keywords/>
  <dc:description/>
  <cp:lastModifiedBy>Colleen Fanciullo</cp:lastModifiedBy>
  <cp:revision>2</cp:revision>
  <dcterms:created xsi:type="dcterms:W3CDTF">2019-06-08T19:18:00Z</dcterms:created>
  <dcterms:modified xsi:type="dcterms:W3CDTF">2019-06-08T19:18:00Z</dcterms:modified>
</cp:coreProperties>
</file>