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20" w:line="276" w:lineRule="auto"/>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La Intersección Entre las Urbes y una Pandemia</w:t>
      </w:r>
    </w:p>
    <w:p w:rsidR="00000000" w:rsidDel="00000000" w:rsidP="00000000" w:rsidRDefault="00000000" w:rsidRPr="00000000" w14:paraId="00000002">
      <w:pPr>
        <w:shd w:fill="ffffff" w:val="clear"/>
        <w:spacing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Escrito p</w:t>
      </w:r>
      <w:r w:rsidDel="00000000" w:rsidR="00000000" w:rsidRPr="00000000">
        <w:rPr>
          <w:rFonts w:ascii="Times New Roman" w:cs="Times New Roman" w:eastAsia="Times New Roman" w:hAnsi="Times New Roman"/>
          <w:rtl w:val="0"/>
        </w:rPr>
        <w:t xml:space="preserve">or: Mikayla Pyke-Sharpe</w:t>
      </w:r>
    </w:p>
    <w:p w:rsidR="00000000" w:rsidDel="00000000" w:rsidP="00000000" w:rsidRDefault="00000000" w:rsidRPr="00000000" w14:paraId="00000003">
      <w:pPr>
        <w:shd w:fill="ffffff" w:val="clear"/>
        <w:spacing w:before="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Aunque sólo un pequeño porcentaje del mundo está formado por ciudades, hay que reconocer que éstas crean oportunidades para formas de intercambio cultural. Desgraciadamente, debido a la pandemia, puede que las ciudades nunca vuelvan a ser lo mismo. Muchos de los problemas a los que se enfrentan las ciudades tienen que ver con la capacidad de los hospitales, los problemas de salud mental y la supervivencia de los pequeños negocios. Sin embargo, también hay que reconocer que las ciudades han sido el centro de pandemias y epidemias en el pasado, por lo que cabe preguntarse por qué el COVID-19 debería afectar a la capacidad de recuperación de las mismas. En el pasado, los brotes de </w:t>
      </w:r>
      <w:r w:rsidDel="00000000" w:rsidR="00000000" w:rsidRPr="00000000">
        <w:rPr>
          <w:rFonts w:ascii="Times New Roman" w:cs="Times New Roman" w:eastAsia="Times New Roman" w:hAnsi="Times New Roman"/>
          <w:rtl w:val="0"/>
        </w:rPr>
        <w:t xml:space="preserve">pandemias</w:t>
      </w:r>
      <w:r w:rsidDel="00000000" w:rsidR="00000000" w:rsidRPr="00000000">
        <w:rPr>
          <w:rFonts w:ascii="Times New Roman" w:cs="Times New Roman" w:eastAsia="Times New Roman" w:hAnsi="Times New Roman"/>
          <w:rtl w:val="0"/>
        </w:rPr>
        <w:t xml:space="preserve"> han ido seguidos de un aumento del número de personas que se trasladaban a las ciudades atraídas por salarios más altos y alquileres más bajos. Este cambio también daría a las ciudades  en las que se ha producido una  gentrificación la oportunidad de reorganizarse. En general, tras las pandemias, siempre habrá una razón para que la gente se traslade a las ciudades debido a la disminución del precio de los alquileres, las oportunidades artísticas, las oportunidades de trabajo y la urbanización en general. "La urbanización siempre ha sido una fuerza mayor que las enfermedades infecciosas."</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tl w:val="0"/>
        </w:rPr>
      </w:r>
    </w:p>
    <w:p w:rsidR="00000000" w:rsidDel="00000000" w:rsidP="00000000" w:rsidRDefault="00000000" w:rsidRPr="00000000" w14:paraId="00000004">
      <w:pPr>
        <w:shd w:fill="ffffff" w:val="clear"/>
        <w:spacing w:before="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Aunque las ciudades urbanas en su conjunto no perezcan, las interacciones humanas se verán muy afectadas. Como es sabido, las pandemias sobreviven y se propagan en zonas densamente pobladas. Se puede deducir entonces que, como resultado de esta pandemia, las interacciones humanas provocarán miedo en lugar de alegría.</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Los pequeños negocios no sólo comparten la alegría con los clientes, sino que también proporcionan puestos de trabajo. Debido a pandemias como la que estamos viviendo, la interacción humana y las oportunidades de empleo se verán terriblemente afectadas si no se ponen en marcha amplias "infraestructuras sanitarias anti pandémicas y nuevos modelos económicos". </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tl w:val="0"/>
        </w:rPr>
      </w:r>
    </w:p>
    <w:p w:rsidR="00000000" w:rsidDel="00000000" w:rsidP="00000000" w:rsidRDefault="00000000" w:rsidRPr="00000000" w14:paraId="00000005">
      <w:pPr>
        <w:shd w:fill="ffffff" w:val="clear"/>
        <w:spacing w:before="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Esto también reconocerá las graves disparidades sanitarias y económicas a las que se enfrentan ciertos grupos demográficos (minorías) dentro de las zonas urbanizadas. Las comunidades de color han sido durante mucho tiempo objeto de discriminación en el lugar de trabajo y de falta de atención sanitaria, y también han sido víctimas de la exclusión social. Aunque el COVID-19 no discrimina por motivos de raza, ha afectado de forma desproporcionada a quienes estaban en desventaja en comparación con el resto de la sociedad antes de su llegada. Los porcentajes de desempleo en las comunidades de color también fueron astronómicamente altos. Para ser más exactos, "el 16,8% para los trabajadores negros, el 15,1% para los trabajadores indios americanos y nativos de Alaska, y el 13% para los trabajadores hispanos".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tl w:val="0"/>
        </w:rPr>
      </w:r>
    </w:p>
    <w:p w:rsidR="00000000" w:rsidDel="00000000" w:rsidP="00000000" w:rsidRDefault="00000000" w:rsidRPr="00000000" w14:paraId="00000006">
      <w:pPr>
        <w:shd w:fill="ffffff" w:val="clear"/>
        <w:spacing w:before="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Los sistemas penitenciarios también fueron sumamente afectados por COVID-19. Ha habido un desconecto continuado entre oficiales de salud pública y los oficiales de salud penitenciaria que ha sido resaltado por COVID-19. Esto ha cimentado el entendimiento de que “salud correccional es salud pública.” </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Debido a las varias personas que viajan </w:t>
      </w:r>
      <w:r w:rsidDel="00000000" w:rsidR="00000000" w:rsidRPr="00000000">
        <w:rPr>
          <w:rFonts w:ascii="Times New Roman" w:cs="Times New Roman" w:eastAsia="Times New Roman" w:hAnsi="Times New Roman"/>
          <w:rtl w:val="0"/>
        </w:rPr>
        <w:t xml:space="preserve">hacía</w:t>
      </w:r>
      <w:r w:rsidDel="00000000" w:rsidR="00000000" w:rsidRPr="00000000">
        <w:rPr>
          <w:rFonts w:ascii="Times New Roman" w:cs="Times New Roman" w:eastAsia="Times New Roman" w:hAnsi="Times New Roman"/>
          <w:rtl w:val="0"/>
        </w:rPr>
        <w:t xml:space="preserve"> y desde las facilidades correccionales, se ha vuelto cada vez más difícil ejecutar rastreo de contactos. </w:t>
      </w:r>
    </w:p>
    <w:p w:rsidR="00000000" w:rsidDel="00000000" w:rsidP="00000000" w:rsidRDefault="00000000" w:rsidRPr="00000000" w14:paraId="00000007">
      <w:pPr>
        <w:shd w:fill="ffffff" w:val="clear"/>
        <w:spacing w:before="200"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También se ha comprobado que los internos de los centros penitenciarios tienen un alto índice de problemas de salud preexistentes. Asimismo, en las prisiones hay una elevada población con enfermedades mentales, problemas de abuso de sustancias y personas que provienen de hogares inestables. Estos factores los exponen a un mayor riesgo de contraer enfermedades infecciosas. En los centros penitenciarios, también es bastante difícil satisfacer las necesidades sanitarias básicas, así como la privacidad, debido a la estrechez de las instalaciones. El mayor problema al que se enfrentan actualmente estos centros es, con mucho, la capacidad de tomar las precauciones necesarias para detener la propagación del virus.</w:t>
      </w:r>
    </w:p>
    <w:p w:rsidR="00000000" w:rsidDel="00000000" w:rsidP="00000000" w:rsidRDefault="00000000" w:rsidRPr="00000000" w14:paraId="00000008">
      <w:pPr>
        <w:shd w:fill="ffffff" w:val="clear"/>
        <w:spacing w:before="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Otra población que se enfrenta a los mismos problemas que la de los centros penitenciarios son los  ancianos de los centros de residencia asistida. Casi toda su población corre un mayor riesgo de contraer el virus debido a su edad y/o a sus enfermedades crónicas. Asimismo, en estos centros es más fácil la propagación del virus debido al estrecho contacto entre los residentes y el personal. De media, uno de cada cinco residentes de residencias asistidas contrajo el virus, frente a uno de cada cuarenta en el público general.</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Dado que  estos centros no están regulados a nivel federal, ha resultado difícil recopilar datos dentro de las poblaciones de viviendas asistidas. Esto deja a los estados con la opción de publicar o no los datos.</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Sólo catorce estados informaron sobre estos centros y la mitad de ellos informaron sobre las muertes del personal de los mismos. Debido a la cantidad limitada de datos relativos a la vida asistida, se ha dejado a muchos estudios sin la comprensión adecuada del efecto de COVID-19 en estas instituciones.</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tl w:val="0"/>
        </w:rPr>
      </w:r>
    </w:p>
    <w:p w:rsidR="00000000" w:rsidDel="00000000" w:rsidP="00000000" w:rsidRDefault="00000000" w:rsidRPr="00000000" w14:paraId="00000009">
      <w:pPr>
        <w:shd w:fill="ffffff" w:val="clear"/>
        <w:spacing w:before="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Entre nuestros fallos en el sistema de encarcelamiento y nuestra incapacidad para proteger a nuestros ancianos, COVID-19 ha sacado a la luz muchas de las deficiencias de nuestra sociedad que deben ser abordadas.</w:t>
      </w:r>
    </w:p>
    <w:p w:rsidR="00000000" w:rsidDel="00000000" w:rsidP="00000000" w:rsidRDefault="00000000" w:rsidRPr="00000000" w14:paraId="0000000A">
      <w:pPr>
        <w:shd w:fill="ffffff" w:val="clear"/>
        <w:spacing w:before="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shd w:fill="ffffff" w:val="clear"/>
        <w:spacing w:before="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hd w:fill="ffffff" w:val="clear"/>
        <w:spacing w:before="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hd w:fill="ffffff" w:val="clear"/>
        <w:spacing w:before="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before="200"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F">
      <w:pPr>
        <w:spacing w:line="240" w:lineRule="auto"/>
        <w:rPr>
          <w:rFonts w:ascii="Times New Roman" w:cs="Times New Roman" w:eastAsia="Times New Roman" w:hAnsi="Times New Roman"/>
          <w:color w:val="333333"/>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333333"/>
          <w:sz w:val="16"/>
          <w:szCs w:val="16"/>
          <w:rtl w:val="0"/>
        </w:rPr>
        <w:t xml:space="preserve"> Florida, Richard, et al. "How Life in Our Cities Will Look after the Coronavirus</w:t>
      </w:r>
    </w:p>
    <w:p w:rsidR="00000000" w:rsidDel="00000000" w:rsidP="00000000" w:rsidRDefault="00000000" w:rsidRPr="00000000" w14:paraId="00000010">
      <w:pPr>
        <w:shd w:fill="ffffff" w:val="clear"/>
        <w:rPr>
          <w:rFonts w:ascii="Times New Roman" w:cs="Times New Roman" w:eastAsia="Times New Roman" w:hAnsi="Times New Roman"/>
          <w:color w:val="333333"/>
          <w:sz w:val="16"/>
          <w:szCs w:val="16"/>
        </w:rPr>
      </w:pPr>
      <w:r w:rsidDel="00000000" w:rsidR="00000000" w:rsidRPr="00000000">
        <w:rPr>
          <w:rFonts w:ascii="Times New Roman" w:cs="Times New Roman" w:eastAsia="Times New Roman" w:hAnsi="Times New Roman"/>
          <w:color w:val="333333"/>
          <w:sz w:val="16"/>
          <w:szCs w:val="16"/>
          <w:rtl w:val="0"/>
        </w:rPr>
        <w:t xml:space="preserve">     Pandemic." </w:t>
      </w:r>
      <w:r w:rsidDel="00000000" w:rsidR="00000000" w:rsidRPr="00000000">
        <w:rPr>
          <w:rFonts w:ascii="Times New Roman" w:cs="Times New Roman" w:eastAsia="Times New Roman" w:hAnsi="Times New Roman"/>
          <w:i w:val="1"/>
          <w:color w:val="333333"/>
          <w:sz w:val="16"/>
          <w:szCs w:val="16"/>
          <w:rtl w:val="0"/>
        </w:rPr>
        <w:t xml:space="preserve">Foreign Policy</w:t>
      </w:r>
      <w:r w:rsidDel="00000000" w:rsidR="00000000" w:rsidRPr="00000000">
        <w:rPr>
          <w:rFonts w:ascii="Times New Roman" w:cs="Times New Roman" w:eastAsia="Times New Roman" w:hAnsi="Times New Roman"/>
          <w:color w:val="333333"/>
          <w:sz w:val="16"/>
          <w:szCs w:val="16"/>
          <w:rtl w:val="0"/>
        </w:rPr>
        <w:t xml:space="preserve">, foreignpolicy.com/2020/05/01/</w:t>
      </w:r>
    </w:p>
    <w:p w:rsidR="00000000" w:rsidDel="00000000" w:rsidP="00000000" w:rsidRDefault="00000000" w:rsidRPr="00000000" w14:paraId="00000011">
      <w:pPr>
        <w:shd w:fill="ffffff" w:val="clear"/>
        <w:rPr>
          <w:rFonts w:ascii="Times New Roman" w:cs="Times New Roman" w:eastAsia="Times New Roman" w:hAnsi="Times New Roman"/>
          <w:color w:val="333333"/>
          <w:sz w:val="16"/>
          <w:szCs w:val="16"/>
        </w:rPr>
      </w:pPr>
      <w:r w:rsidDel="00000000" w:rsidR="00000000" w:rsidRPr="00000000">
        <w:rPr>
          <w:rFonts w:ascii="Times New Roman" w:cs="Times New Roman" w:eastAsia="Times New Roman" w:hAnsi="Times New Roman"/>
          <w:color w:val="333333"/>
          <w:sz w:val="16"/>
          <w:szCs w:val="16"/>
          <w:rtl w:val="0"/>
        </w:rPr>
        <w:t xml:space="preserve">     future-of-cities-urban-life-after-coronavirus-pandemic/. </w:t>
      </w:r>
    </w:p>
    <w:p w:rsidR="00000000" w:rsidDel="00000000" w:rsidP="00000000" w:rsidRDefault="00000000" w:rsidRPr="00000000" w14:paraId="00000012">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13">
      <w:pPr>
        <w:spacing w:line="240" w:lineRule="auto"/>
        <w:rPr>
          <w:rFonts w:ascii="Times New Roman" w:cs="Times New Roman" w:eastAsia="Times New Roman" w:hAnsi="Times New Roman"/>
          <w:color w:val="333333"/>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color w:val="333333"/>
          <w:sz w:val="16"/>
          <w:szCs w:val="16"/>
          <w:rtl w:val="0"/>
        </w:rPr>
        <w:t xml:space="preserve">Politico Magazine. "Coronavirus Will Change the World Permanently. Here's How."</w:t>
      </w:r>
    </w:p>
    <w:p w:rsidR="00000000" w:rsidDel="00000000" w:rsidP="00000000" w:rsidRDefault="00000000" w:rsidRPr="00000000" w14:paraId="00000014">
      <w:pPr>
        <w:shd w:fill="ffffff" w:val="clear"/>
        <w:rPr>
          <w:rFonts w:ascii="Times New Roman" w:cs="Times New Roman" w:eastAsia="Times New Roman" w:hAnsi="Times New Roman"/>
          <w:color w:val="333333"/>
          <w:sz w:val="16"/>
          <w:szCs w:val="16"/>
        </w:rPr>
      </w:pPr>
      <w:r w:rsidDel="00000000" w:rsidR="00000000" w:rsidRPr="00000000">
        <w:rPr>
          <w:rFonts w:ascii="Times New Roman" w:cs="Times New Roman" w:eastAsia="Times New Roman" w:hAnsi="Times New Roman"/>
          <w:color w:val="333333"/>
          <w:sz w:val="16"/>
          <w:szCs w:val="16"/>
          <w:rtl w:val="0"/>
        </w:rPr>
        <w:t xml:space="preserve">     </w:t>
      </w:r>
      <w:r w:rsidDel="00000000" w:rsidR="00000000" w:rsidRPr="00000000">
        <w:rPr>
          <w:rFonts w:ascii="Times New Roman" w:cs="Times New Roman" w:eastAsia="Times New Roman" w:hAnsi="Times New Roman"/>
          <w:i w:val="1"/>
          <w:color w:val="333333"/>
          <w:sz w:val="16"/>
          <w:szCs w:val="16"/>
          <w:rtl w:val="0"/>
        </w:rPr>
        <w:t xml:space="preserve">Politico</w:t>
      </w:r>
      <w:r w:rsidDel="00000000" w:rsidR="00000000" w:rsidRPr="00000000">
        <w:rPr>
          <w:rFonts w:ascii="Times New Roman" w:cs="Times New Roman" w:eastAsia="Times New Roman" w:hAnsi="Times New Roman"/>
          <w:color w:val="333333"/>
          <w:sz w:val="16"/>
          <w:szCs w:val="16"/>
          <w:rtl w:val="0"/>
        </w:rPr>
        <w:t xml:space="preserve">, www.politico.com/news/magazine/2020/03/19/</w:t>
      </w:r>
    </w:p>
    <w:p w:rsidR="00000000" w:rsidDel="00000000" w:rsidP="00000000" w:rsidRDefault="00000000" w:rsidRPr="00000000" w14:paraId="00000015">
      <w:pPr>
        <w:shd w:fill="ffffff" w:val="clear"/>
        <w:rPr>
          <w:rFonts w:ascii="Times New Roman" w:cs="Times New Roman" w:eastAsia="Times New Roman" w:hAnsi="Times New Roman"/>
          <w:color w:val="333333"/>
          <w:sz w:val="16"/>
          <w:szCs w:val="16"/>
        </w:rPr>
      </w:pPr>
      <w:r w:rsidDel="00000000" w:rsidR="00000000" w:rsidRPr="00000000">
        <w:rPr>
          <w:rFonts w:ascii="Times New Roman" w:cs="Times New Roman" w:eastAsia="Times New Roman" w:hAnsi="Times New Roman"/>
          <w:color w:val="333333"/>
          <w:sz w:val="16"/>
          <w:szCs w:val="16"/>
          <w:rtl w:val="0"/>
        </w:rPr>
        <w:t xml:space="preserve">     Coronavirus-effect-economy-life-society-analysis-covid-135579.</w:t>
      </w:r>
    </w:p>
    <w:p w:rsidR="00000000" w:rsidDel="00000000" w:rsidP="00000000" w:rsidRDefault="00000000" w:rsidRPr="00000000" w14:paraId="00000016">
      <w:pPr>
        <w:shd w:fill="ffffff" w:val="clear"/>
        <w:rPr>
          <w:sz w:val="16"/>
          <w:szCs w:val="16"/>
        </w:rPr>
      </w:pPr>
      <w:r w:rsidDel="00000000" w:rsidR="00000000" w:rsidRPr="00000000">
        <w:rPr>
          <w:rFonts w:ascii="Times New Roman" w:cs="Times New Roman" w:eastAsia="Times New Roman" w:hAnsi="Times New Roman"/>
          <w:color w:val="333333"/>
          <w:sz w:val="16"/>
          <w:szCs w:val="16"/>
          <w:rtl w:val="0"/>
        </w:rPr>
        <w:t xml:space="preserve"> </w:t>
      </w:r>
      <w:r w:rsidDel="00000000" w:rsidR="00000000" w:rsidRPr="00000000">
        <w:rPr>
          <w:rtl w:val="0"/>
        </w:rPr>
      </w:r>
    </w:p>
  </w:footnote>
  <w:footnote w:id="2">
    <w:p w:rsidR="00000000" w:rsidDel="00000000" w:rsidP="00000000" w:rsidRDefault="00000000" w:rsidRPr="00000000" w14:paraId="00000017">
      <w:pPr>
        <w:spacing w:line="240" w:lineRule="auto"/>
        <w:rPr>
          <w:rFonts w:ascii="Times New Roman" w:cs="Times New Roman" w:eastAsia="Times New Roman" w:hAnsi="Times New Roman"/>
          <w:color w:val="333333"/>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color w:val="333333"/>
          <w:sz w:val="16"/>
          <w:szCs w:val="16"/>
          <w:rtl w:val="0"/>
        </w:rPr>
        <w:t xml:space="preserve">Florida, Richard, et al. "How Life in Our Cities Will Look after the Coronavirus</w:t>
      </w:r>
    </w:p>
    <w:p w:rsidR="00000000" w:rsidDel="00000000" w:rsidP="00000000" w:rsidRDefault="00000000" w:rsidRPr="00000000" w14:paraId="00000018">
      <w:pPr>
        <w:shd w:fill="ffffff" w:val="clear"/>
        <w:rPr>
          <w:rFonts w:ascii="Times New Roman" w:cs="Times New Roman" w:eastAsia="Times New Roman" w:hAnsi="Times New Roman"/>
          <w:color w:val="333333"/>
          <w:sz w:val="16"/>
          <w:szCs w:val="16"/>
        </w:rPr>
      </w:pPr>
      <w:r w:rsidDel="00000000" w:rsidR="00000000" w:rsidRPr="00000000">
        <w:rPr>
          <w:rFonts w:ascii="Times New Roman" w:cs="Times New Roman" w:eastAsia="Times New Roman" w:hAnsi="Times New Roman"/>
          <w:color w:val="333333"/>
          <w:sz w:val="16"/>
          <w:szCs w:val="16"/>
          <w:rtl w:val="0"/>
        </w:rPr>
        <w:t xml:space="preserve">     Pandemic." </w:t>
      </w:r>
      <w:r w:rsidDel="00000000" w:rsidR="00000000" w:rsidRPr="00000000">
        <w:rPr>
          <w:rFonts w:ascii="Times New Roman" w:cs="Times New Roman" w:eastAsia="Times New Roman" w:hAnsi="Times New Roman"/>
          <w:i w:val="1"/>
          <w:color w:val="333333"/>
          <w:sz w:val="16"/>
          <w:szCs w:val="16"/>
          <w:rtl w:val="0"/>
        </w:rPr>
        <w:t xml:space="preserve">Foreign Policy</w:t>
      </w:r>
      <w:r w:rsidDel="00000000" w:rsidR="00000000" w:rsidRPr="00000000">
        <w:rPr>
          <w:rFonts w:ascii="Times New Roman" w:cs="Times New Roman" w:eastAsia="Times New Roman" w:hAnsi="Times New Roman"/>
          <w:color w:val="333333"/>
          <w:sz w:val="16"/>
          <w:szCs w:val="16"/>
          <w:rtl w:val="0"/>
        </w:rPr>
        <w:t xml:space="preserve">, foreignpolicy.com/2020/05/01/</w:t>
      </w:r>
    </w:p>
    <w:p w:rsidR="00000000" w:rsidDel="00000000" w:rsidP="00000000" w:rsidRDefault="00000000" w:rsidRPr="00000000" w14:paraId="00000019">
      <w:pPr>
        <w:shd w:fill="ffffff" w:val="clear"/>
        <w:rPr>
          <w:rFonts w:ascii="Times New Roman" w:cs="Times New Roman" w:eastAsia="Times New Roman" w:hAnsi="Times New Roman"/>
          <w:color w:val="333333"/>
          <w:sz w:val="16"/>
          <w:szCs w:val="16"/>
        </w:rPr>
      </w:pPr>
      <w:r w:rsidDel="00000000" w:rsidR="00000000" w:rsidRPr="00000000">
        <w:rPr>
          <w:rFonts w:ascii="Times New Roman" w:cs="Times New Roman" w:eastAsia="Times New Roman" w:hAnsi="Times New Roman"/>
          <w:color w:val="333333"/>
          <w:sz w:val="16"/>
          <w:szCs w:val="16"/>
          <w:rtl w:val="0"/>
        </w:rPr>
        <w:t xml:space="preserve">     future-of-cities-urban-life-after-coronavirus-pandemic/.</w:t>
      </w:r>
    </w:p>
    <w:p w:rsidR="00000000" w:rsidDel="00000000" w:rsidP="00000000" w:rsidRDefault="00000000" w:rsidRPr="00000000" w14:paraId="0000001A">
      <w:pPr>
        <w:shd w:fill="ffffff" w:val="clear"/>
        <w:rPr>
          <w:rFonts w:ascii="Times New Roman" w:cs="Times New Roman" w:eastAsia="Times New Roman" w:hAnsi="Times New Roman"/>
          <w:color w:val="333333"/>
          <w:sz w:val="16"/>
          <w:szCs w:val="16"/>
        </w:rPr>
      </w:pPr>
      <w:r w:rsidDel="00000000" w:rsidR="00000000" w:rsidRPr="00000000">
        <w:rPr>
          <w:rtl w:val="0"/>
        </w:rPr>
      </w:r>
    </w:p>
  </w:footnote>
  <w:footnote w:id="3">
    <w:p w:rsidR="00000000" w:rsidDel="00000000" w:rsidP="00000000" w:rsidRDefault="00000000" w:rsidRPr="00000000" w14:paraId="0000001B">
      <w:pPr>
        <w:spacing w:line="240" w:lineRule="auto"/>
        <w:rPr>
          <w:rFonts w:ascii="Times New Roman" w:cs="Times New Roman" w:eastAsia="Times New Roman" w:hAnsi="Times New Roman"/>
          <w:color w:val="333333"/>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333333"/>
          <w:sz w:val="16"/>
          <w:szCs w:val="16"/>
          <w:rtl w:val="0"/>
        </w:rPr>
        <w:t xml:space="preserve">Maxwell, Conor, and Danyelle Solomon. "The Economic Fallout of the Coronavirus</w:t>
      </w:r>
    </w:p>
    <w:p w:rsidR="00000000" w:rsidDel="00000000" w:rsidP="00000000" w:rsidRDefault="00000000" w:rsidRPr="00000000" w14:paraId="0000001C">
      <w:pPr>
        <w:shd w:fill="ffffff" w:val="clear"/>
        <w:rPr>
          <w:rFonts w:ascii="Times New Roman" w:cs="Times New Roman" w:eastAsia="Times New Roman" w:hAnsi="Times New Roman"/>
          <w:color w:val="333333"/>
          <w:sz w:val="16"/>
          <w:szCs w:val="16"/>
        </w:rPr>
      </w:pPr>
      <w:r w:rsidDel="00000000" w:rsidR="00000000" w:rsidRPr="00000000">
        <w:rPr>
          <w:rFonts w:ascii="Times New Roman" w:cs="Times New Roman" w:eastAsia="Times New Roman" w:hAnsi="Times New Roman"/>
          <w:color w:val="333333"/>
          <w:sz w:val="16"/>
          <w:szCs w:val="16"/>
          <w:rtl w:val="0"/>
        </w:rPr>
        <w:t xml:space="preserve">     for People of Color." </w:t>
      </w:r>
      <w:r w:rsidDel="00000000" w:rsidR="00000000" w:rsidRPr="00000000">
        <w:rPr>
          <w:rFonts w:ascii="Times New Roman" w:cs="Times New Roman" w:eastAsia="Times New Roman" w:hAnsi="Times New Roman"/>
          <w:i w:val="1"/>
          <w:color w:val="333333"/>
          <w:sz w:val="16"/>
          <w:szCs w:val="16"/>
          <w:rtl w:val="0"/>
        </w:rPr>
        <w:t xml:space="preserve">Center for American Progress</w:t>
      </w:r>
      <w:r w:rsidDel="00000000" w:rsidR="00000000" w:rsidRPr="00000000">
        <w:rPr>
          <w:rFonts w:ascii="Times New Roman" w:cs="Times New Roman" w:eastAsia="Times New Roman" w:hAnsi="Times New Roman"/>
          <w:color w:val="333333"/>
          <w:sz w:val="16"/>
          <w:szCs w:val="16"/>
          <w:rtl w:val="0"/>
        </w:rPr>
        <w:t xml:space="preserve">,</w:t>
      </w:r>
    </w:p>
    <w:p w:rsidR="00000000" w:rsidDel="00000000" w:rsidP="00000000" w:rsidRDefault="00000000" w:rsidRPr="00000000" w14:paraId="0000001D">
      <w:pPr>
        <w:shd w:fill="ffffff" w:val="clear"/>
        <w:rPr>
          <w:rFonts w:ascii="Times New Roman" w:cs="Times New Roman" w:eastAsia="Times New Roman" w:hAnsi="Times New Roman"/>
          <w:color w:val="333333"/>
          <w:sz w:val="16"/>
          <w:szCs w:val="16"/>
        </w:rPr>
      </w:pPr>
      <w:r w:rsidDel="00000000" w:rsidR="00000000" w:rsidRPr="00000000">
        <w:rPr>
          <w:rFonts w:ascii="Times New Roman" w:cs="Times New Roman" w:eastAsia="Times New Roman" w:hAnsi="Times New Roman"/>
          <w:color w:val="333333"/>
          <w:sz w:val="16"/>
          <w:szCs w:val="16"/>
          <w:rtl w:val="0"/>
        </w:rPr>
        <w:t xml:space="preserve">     www.americanprogress.org/issues/race/news/2020/04/14/483125/</w:t>
      </w:r>
    </w:p>
    <w:p w:rsidR="00000000" w:rsidDel="00000000" w:rsidP="00000000" w:rsidRDefault="00000000" w:rsidRPr="00000000" w14:paraId="0000001E">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1F">
      <w:pPr>
        <w:spacing w:line="240" w:lineRule="auto"/>
        <w:rPr>
          <w:rFonts w:ascii="Times New Roman" w:cs="Times New Roman" w:eastAsia="Times New Roman" w:hAnsi="Times New Roman"/>
          <w:i w:val="1"/>
          <w:color w:val="333333"/>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Jordan, Alison O., et al. </w:t>
      </w:r>
      <w:r w:rsidDel="00000000" w:rsidR="00000000" w:rsidRPr="00000000">
        <w:rPr>
          <w:rFonts w:ascii="Times New Roman" w:cs="Times New Roman" w:eastAsia="Times New Roman" w:hAnsi="Times New Roman"/>
          <w:i w:val="1"/>
          <w:color w:val="333333"/>
          <w:sz w:val="20"/>
          <w:szCs w:val="20"/>
          <w:rtl w:val="0"/>
        </w:rPr>
        <w:t xml:space="preserve">Addressing COVID-19 and Correctional Facilities: A</w:t>
      </w:r>
    </w:p>
    <w:p w:rsidR="00000000" w:rsidDel="00000000" w:rsidP="00000000" w:rsidRDefault="00000000" w:rsidRPr="00000000" w14:paraId="00000020">
      <w:pPr>
        <w:shd w:fill="ffffff" w:val="clear"/>
        <w:rPr>
          <w:sz w:val="20"/>
          <w:szCs w:val="20"/>
        </w:rPr>
      </w:pP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rFonts w:ascii="Times New Roman" w:cs="Times New Roman" w:eastAsia="Times New Roman" w:hAnsi="Times New Roman"/>
          <w:i w:val="1"/>
          <w:color w:val="333333"/>
          <w:sz w:val="20"/>
          <w:szCs w:val="20"/>
          <w:rtl w:val="0"/>
        </w:rPr>
        <w:t xml:space="preserve">Social Work Imperative</w:t>
      </w:r>
      <w:r w:rsidDel="00000000" w:rsidR="00000000" w:rsidRPr="00000000">
        <w:rPr>
          <w:rFonts w:ascii="Times New Roman" w:cs="Times New Roman" w:eastAsia="Times New Roman" w:hAnsi="Times New Roman"/>
          <w:color w:val="333333"/>
          <w:sz w:val="20"/>
          <w:szCs w:val="20"/>
          <w:rtl w:val="0"/>
        </w:rPr>
        <w:t xml:space="preserve">. June 2020, www.socialworkers.org/</w:t>
      </w:r>
      <w:r w:rsidDel="00000000" w:rsidR="00000000" w:rsidRPr="00000000">
        <w:rPr>
          <w:rtl w:val="0"/>
        </w:rPr>
      </w:r>
    </w:p>
  </w:footnote>
  <w:footnote w:id="5">
    <w:p w:rsidR="00000000" w:rsidDel="00000000" w:rsidP="00000000" w:rsidRDefault="00000000" w:rsidRPr="00000000" w14:paraId="000000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True, Sarah, et al. "Overlooked and Undercounted: The Growing Impact of COVID-19 on Assisted Living Facilities." </w:t>
      </w:r>
      <w:r w:rsidDel="00000000" w:rsidR="00000000" w:rsidRPr="00000000">
        <w:rPr>
          <w:rFonts w:ascii="Times New Roman" w:cs="Times New Roman" w:eastAsia="Times New Roman" w:hAnsi="Times New Roman"/>
          <w:i w:val="1"/>
          <w:color w:val="333333"/>
          <w:sz w:val="20"/>
          <w:szCs w:val="20"/>
          <w:rtl w:val="0"/>
        </w:rPr>
        <w:t xml:space="preserve">KFF</w:t>
      </w:r>
      <w:r w:rsidDel="00000000" w:rsidR="00000000" w:rsidRPr="00000000">
        <w:rPr>
          <w:rFonts w:ascii="Times New Roman" w:cs="Times New Roman" w:eastAsia="Times New Roman" w:hAnsi="Times New Roman"/>
          <w:color w:val="333333"/>
          <w:sz w:val="20"/>
          <w:szCs w:val="20"/>
          <w:rtl w:val="0"/>
        </w:rPr>
        <w:t xml:space="preserve">, 1 Sept. 2020, www.kff.org/coronavirus-covid-19/issue-brief/overlooked-and-undercounted-the-growing-impact-of-covid-19-on-assisted-living-facilities/. </w:t>
      </w:r>
      <w:r w:rsidDel="00000000" w:rsidR="00000000" w:rsidRPr="00000000">
        <w:rPr>
          <w:rtl w:val="0"/>
        </w:rPr>
      </w:r>
    </w:p>
  </w:footnote>
  <w:footnote w:id="6">
    <w:p w:rsidR="00000000" w:rsidDel="00000000" w:rsidP="00000000" w:rsidRDefault="00000000" w:rsidRPr="00000000" w14:paraId="000000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Yi, Sarah H., et al. "Characterization of COVID-19 in Assisted Living Facilities — 39 States, October 2020." </w:t>
      </w:r>
      <w:r w:rsidDel="00000000" w:rsidR="00000000" w:rsidRPr="00000000">
        <w:rPr>
          <w:rFonts w:ascii="Times New Roman" w:cs="Times New Roman" w:eastAsia="Times New Roman" w:hAnsi="Times New Roman"/>
          <w:i w:val="1"/>
          <w:color w:val="333333"/>
          <w:sz w:val="20"/>
          <w:szCs w:val="20"/>
          <w:rtl w:val="0"/>
        </w:rPr>
        <w:t xml:space="preserve">CDC</w:t>
      </w: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rFonts w:ascii="Times New Roman" w:cs="Times New Roman" w:eastAsia="Times New Roman" w:hAnsi="Times New Roman"/>
          <w:i w:val="1"/>
          <w:color w:val="333333"/>
          <w:sz w:val="20"/>
          <w:szCs w:val="20"/>
          <w:rtl w:val="0"/>
        </w:rPr>
        <w:t xml:space="preserve">Centers for Disease Control and</w:t>
      </w: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rFonts w:ascii="Times New Roman" w:cs="Times New Roman" w:eastAsia="Times New Roman" w:hAnsi="Times New Roman"/>
          <w:i w:val="1"/>
          <w:color w:val="333333"/>
          <w:sz w:val="20"/>
          <w:szCs w:val="20"/>
          <w:rtl w:val="0"/>
        </w:rPr>
        <w:t xml:space="preserve">Prevention</w:t>
      </w:r>
      <w:r w:rsidDel="00000000" w:rsidR="00000000" w:rsidRPr="00000000">
        <w:rPr>
          <w:rFonts w:ascii="Times New Roman" w:cs="Times New Roman" w:eastAsia="Times New Roman" w:hAnsi="Times New Roman"/>
          <w:color w:val="333333"/>
          <w:sz w:val="20"/>
          <w:szCs w:val="20"/>
          <w:rtl w:val="0"/>
        </w:rPr>
        <w:t xml:space="preserve">, 20 Nov. 2020, www.cdc.gov/mmwr/volumes/69/wr/mm6946a3.htm. </w:t>
      </w:r>
      <w:r w:rsidDel="00000000" w:rsidR="00000000" w:rsidRPr="00000000">
        <w:rPr>
          <w:rtl w:val="0"/>
        </w:rPr>
      </w:r>
    </w:p>
  </w:footnote>
  <w:footnote w:id="7">
    <w:p w:rsidR="00000000" w:rsidDel="00000000" w:rsidP="00000000" w:rsidRDefault="00000000" w:rsidRPr="00000000" w14:paraId="000000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True, Sarah, et al. "Overlooked and Undercounted: The Growing Impact of COVID-19 on Assisted Living Facilities." </w:t>
      </w:r>
      <w:r w:rsidDel="00000000" w:rsidR="00000000" w:rsidRPr="00000000">
        <w:rPr>
          <w:rFonts w:ascii="Times New Roman" w:cs="Times New Roman" w:eastAsia="Times New Roman" w:hAnsi="Times New Roman"/>
          <w:i w:val="1"/>
          <w:color w:val="333333"/>
          <w:sz w:val="20"/>
          <w:szCs w:val="20"/>
          <w:rtl w:val="0"/>
        </w:rPr>
        <w:t xml:space="preserve">KFF</w:t>
      </w:r>
      <w:r w:rsidDel="00000000" w:rsidR="00000000" w:rsidRPr="00000000">
        <w:rPr>
          <w:rFonts w:ascii="Times New Roman" w:cs="Times New Roman" w:eastAsia="Times New Roman" w:hAnsi="Times New Roman"/>
          <w:color w:val="333333"/>
          <w:sz w:val="20"/>
          <w:szCs w:val="20"/>
          <w:rtl w:val="0"/>
        </w:rPr>
        <w:t xml:space="preserve">, 1 Sept. 2020, www.kff.org/coronavirus-covid-19/issue-brief/overlooked-and-undercounted-the-growing-impact-of-covid-19-on-assisted-living-fac   ilities/. </w:t>
      </w: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