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43505859375" w:right="0" w:firstLine="0"/>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Disparidades </w:t>
      </w:r>
      <w:r w:rsidDel="00000000" w:rsidR="00000000" w:rsidRPr="00000000">
        <w:rPr>
          <w:rFonts w:ascii="Times New Roman" w:cs="Times New Roman" w:eastAsia="Times New Roman" w:hAnsi="Times New Roman"/>
          <w:b w:val="1"/>
          <w:color w:val="0b5394"/>
          <w:sz w:val="28"/>
          <w:szCs w:val="28"/>
          <w:rtl w:val="0"/>
        </w:rPr>
        <w:t xml:space="preserve">R</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aciales</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1.568603515625" w:line="276" w:lineRule="auto"/>
        <w:ind w:left="23.8787841796875" w:right="0" w:firstLine="0"/>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rtl w:val="0"/>
        </w:rPr>
        <w:t xml:space="preserve">Escrito p</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or: Xuan Lan Tran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40.01953125" w:line="276" w:lineRule="auto"/>
        <w:ind w:left="12.8753662109375" w:right="13.09814453125" w:firstLine="712.5233459472656"/>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A través de la historia, el racismo sistémico en el área de la medicina ha acabado con las vidas de personas negras, indígenas y de otra gente de color. Últimamente, la COVID-19 ha demostrado que la discriminacion racial en los sistemas de salud existe debido a las disparidades establecidas en puestos de trabajo, en viviendas y en estatus socioeconómico. Los estereotipos y los prejuicios históricos, a la par que las estadísticas fuera de contexto, pueden llevar a que el público general rechace aún más las comunidades racialmente marginadas.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9.6240234375" w:line="276" w:lineRule="auto"/>
        <w:ind w:left="7.377777099609375" w:right="1.181640625" w:firstLine="727.9164123535156"/>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Según la New England Journal of Medicine, las estadísticas de Wisconsin y Michigan de principios de abril demostraron que el porcentaje de gente de piel oscura afectado por la pandemia fue dos veces el porcentaje de gente de piel oscura en esa zona. En otras áreas también se han encontrado disparidades similares. Las epidemias pasadas y los desastres naturales sugieren que existe un patrón que demuestra que las comunidades que están marginadas socialmente sufrirán los que más. Sin embargo, mostrar cifras aisladas sobre cómo la COVID-19 afecta a las minorías raciales desproporcionadamente con la esperanza de aumentar la conciencia y combatir el racismo puede causar el efecto contrario: las estadísticas fuera de contexto pueden hacer que las personas se crean que las diferencias genéticas particulares de las minorías raciales las hacen más susceptibles a la enfermedad.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9.6240234375" w:line="276" w:lineRule="auto"/>
        <w:ind w:left="7.377777099609375" w:right="1.181640625" w:firstLine="727.9164123535156"/>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Las cifras dadas sin explicación también pueden llevar a la creación de estereotipos raciales sobre las personas de color. Por ejemplo, durante los brotes de tuberculosis del siglo XX en el sur urbano, los afroamericanos fueron descartados porque se creía que eran demasiado tercos para llevar una higiene adecuada. Se han creado estereotipos similares contra los asiáticos y latinoamericanos. Estos problemas con la falta de datos contextualizados pueden llevar a ignorar las disparidades raciales con la creencia de que las estadísticas más altas de la COVID-19 en las minorías raciales son innatas y no se pueden evitar. Los datos proporcionados sin un análisis adecuado pueden causar división geográfica y empeorar la marginación de las minorías raciales, según el sociólogo Loïc Wacquant. Wacquant hace referencia a este fenómeno como “estigmatización territorial”. En cuanto a cómo se aplica la estigmatización territorial a la pandemia de la COVID-19, los vecindarios que ya están sufriendo pueden sufrir aún más debido al monitoreo y escrutinio casi opresivo, el chivo expiatorio de los residentes locales o la alienación del público en general.</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05.83953857421875" w:line="276" w:lineRule="auto"/>
        <w:ind w:left="16.39373779296875" w:right="269.97314453125" w:firstLine="0"/>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El Centro para el Control y la Protección de Enfermedades publicó un artículo que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recopilaba</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múltiples fuentes para analizar las desigualdades raciales debido a la COVID-19. Como se indicaba en su artículo, las disparidades históricamente establecidas en las instituciones médicas contribuyen a tasas más altas de infección, hospitalización y muerte en BIOPIC. También son notables los efectos de los determinantes sociales en la COVID-19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cuyas ramificaciones se ven amplificadas por la raza. Factores como una mayor probabilidad de no tener seguro en los estadounidenses blancos no hispanos</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las barreras culturales o lingüísticas en la atención médica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la falta de transporte accesible y la discriminación en los sistemas destinados a ayudar en la salud y el bienestar, contribuyen a tasas más altas de la COVID-19 en BIOPIC. Algunas minorías raciales también pueden desconfiar y evitar intencionalmente los sistemas de salud debido a la experiencia previa con desigualdades en el tratamiento, o por el contexto histórico de dichas desigualdades, como múltiples ejemplos de esterilización forzada en el campo médico o las mayores tasas de mortalidad materna en mujeres de color.</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3"/>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89.6240234375" w:line="276" w:lineRule="auto"/>
        <w:ind w:left="7.377777099609375" w:right="97.684326171875" w:firstLine="734.0736389160156"/>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Las disparidades ocupacionales también juegan un papel en las desigualdades de la COVID-19. Ciertas minorías raciales o étnicas trabajan en sectores esenciales como el transporte público, granjas, fábricas, supermercados o centros de salud.</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4"/>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Todos estos sectores están infravalorados, a pesar de ser considerados “trabajadores esenciales” en la pandemia, y por lo tanto conducen a condiciones laborales que generan un mayor riesgo de infección por la COVID-19. Muchos de estos trabajos involucran factores de alto riesgo de infección, como no poder tomar una licencia por enfermedad remunerada, requerir un contacto cercano con los consumidores u otros trabajadores, o carecer por completo de la capacidad para trabajar de forma remota. El 17% de los trabajadores negros trabajan en sectores de primera línea, y más del 25% trabaja en el sector del transporte público.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05.318603515625" w:line="276" w:lineRule="auto"/>
        <w:ind w:left="12.215576171875" w:right="0" w:firstLine="730.1155090332031"/>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Debido a las barreras educativas, algunas minorías raciales pueden tener menos opciones laborales en el futuro, lo que también puede conducir a trabajos menos estables o con salarios más bajos. Un ejemplo de esta inestabilidad ocupacional quedó claro cuando la tasa de desempleo en aumento durante abril fue del 16,7% para los estadounidenses negros, mientras que fue del 14,2% para los estadounidenses blancos.</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5"/>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Esta flexibilidad ocupacional limitada conduce a las disparidades ocupacionales antes mencionadas y, junto con las disparidades económicas, las minorías raciales se ven obligadas a aceptar trabajos que las colocan en mayor riesgo de contraer la COVID-19.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07.3016357421875" w:line="276" w:lineRule="auto"/>
        <w:ind w:left="12.8753662109375" w:right="318.309326171875" w:firstLine="729.4557189941406"/>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Por último, es más probable que las minorías raciales y/o étnicas permanezcan en condiciones de hacinamiento, lo que dificulta el seguimiento de medidas preventivas como el distanciamiento social. Del mismo modo, las tasas de desempleo desproporcionadas para BIOPIC debido a la COVID-19 conducen a mayores posibilidades de quedarse sin hogar, desalojo o compartir vivienda.</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6"/>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04.62432861328125" w:line="276" w:lineRule="auto"/>
        <w:ind w:left="9.356842041015625" w:right="53.6669921875" w:firstLine="710.6431579589844"/>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Los datos publicados por The Lancet procedentes de 50 estudios con 18.728.893 pacientes realizados tanto en los Estados Unidos como en el Reino Unido encontraron que las personas negras y asiáticas tienen una mayor probabilidad de contraer la COVID-19. Los datos también mostraron que las personas asiáticas pueden tener una mayor probabilidad de admisión a la UTI y muerte por la COVID-19 incluso con sexo / género, edad y condiciones coexistentes (pero estos estudios aún no han sido revisados por pares). En estos estudios, se encontró que las personas negras tenían el doble de probabilidades de estar infectadas con la COVID-19 en una proporción ajustada de grupo de 2.02: 1 en comparación con las personas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blancas, mientras que las personas asiáticas y latinas también tenían más probabilidades de estar infectadas que las personas blancas a tasas de 1,61 y 1,77, respectivamente. Sobre las tasas de mortalidad y el origen étnico, los estudios mostraron que los individuos asiáticos tenían un mayor riesgo de muerte que los blancos en una proporción de 0,23: 0,22, pero cuando se revisó por pares, este aumento del riesgo se redujo. Los análisis ajustados no mostraron un mayor riesgo de muerte para las personas latinas o negras.</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06.22314453125" w:line="276" w:lineRule="auto"/>
        <w:ind w:left="5.398712158203125" w:right="116.002197265625" w:firstLine="797.1324157714844"/>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Los hallazgos de estos estudios implican que el impacto severo de la COVID-19 en las comunidades negras, latinas y asiáticas se debe en gran parte a la tasa de infección desproporcionada. Múltiples factores pueden explicar por qué existe un mayor riesgo de infección e incluso de muerte en estos grupos minoritarios. Las personas de origen asiático, latino y negro pueden vivir en hogares intergeneracionales. A partir de 2009, los estadounidenses de origen asiático constituían el 26% de los hogares intergeneracionales, los afroamericanos eran el 24% de los hogares intergeneracionales y los latinos el 23% de los hogares intergeneracionales, todo lo cual resultó en condiciones de vida de hacinamiento.</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9"/>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Además, en el nivel socioeconómico más bajo entre estas minorías raciales aumenta la probabilidad de residencias con más instalaciones comunales o áreas compartidas. En una Encuesta de Población Actual de la Oficina de Estadísticas Laborales para el año 2018, la investigación mostró que los trabajadores negros tenían más probabilidades de estar en sectores que requerían una proximidad cercana a otros y una sujeción crónica a condiciones infecciosas.</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0"/>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También se descubrió que los asiáticos tenían un mayor riesgo de infecciones mortales, incluso cuando se tuvieron en cuenta comorbilidades como la diabetes y las enfermedades cardiovasculares. El informe más reciente del Centro Nacional de Auditoría e Investigación de Cuidados Intensivos mostró que los asiáticos y los negros fueron desproporcionalmente hospitalizados e internados en la unidad de Cuidados Intensivos.</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1"/>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05.7269287109375" w:line="276" w:lineRule="auto"/>
        <w:ind w:left="8.917083740234375" w:right="26.265869140625" w:firstLine="726.3771057128906"/>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Se ha demostrado que el racismo sistémico contribuye a las disparidades basadas en la raza en los datos clínicos de la COVID-19. El racismo existe a nivel individual, comunitario, organizacional e institucional, todo lo cual conduce a la discriminación, opresión y marginalización de las minorías étnicas. Aplicado a la asistencia sanitaria, esto provoca disparidades en el tratamiento y la atención, barreras para acceder a la atención, desconfianza y estrés psicosocial. Los poderes económicos y políticos han dado lugar a desigualdades raciales en el nivel socioeconómico y provocan tasas y riesgos más altos de infección, hospitalización y muerte. Como resultado, esta pandemia se convierte en un problema endémico tanto en los Estados Unidos como en el Reino Unido. </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2"/>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u w:val="non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31.65847778320312" w:line="276" w:lineRule="auto"/>
        <w:ind w:left="9.597625732421875" w:right="280.067138671875" w:hanging="2.278900146484375"/>
        <w:rPr>
          <w:rFonts w:ascii="Times New Roman" w:cs="Times New Roman" w:eastAsia="Times New Roman" w:hAnsi="Times New Roman"/>
          <w:i w:val="0"/>
          <w:smallCaps w:val="0"/>
          <w:strike w:val="0"/>
          <w:u w:val="none"/>
          <w:shd w:fill="auto" w:val="clear"/>
          <w:vertAlign w:val="baseline"/>
        </w:rPr>
      </w:pPr>
      <w:r w:rsidDel="00000000" w:rsidR="00000000" w:rsidRPr="00000000">
        <w:rPr>
          <w:rtl w:val="0"/>
        </w:rPr>
      </w:r>
    </w:p>
    <w:sectPr>
      <w:pgSz w:h="15840" w:w="12240" w:orient="portrait"/>
      <w:pgMar w:bottom="1500" w:top="1405.050048828125" w:left="1434.6012878417969" w:right="1409.874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Chowkwanyun, Merlin, and Adolph L. Reed. “Racial Health Disparities and Covid-19 — Caution and Context.” </w:t>
      </w:r>
      <w:r w:rsidDel="00000000" w:rsidR="00000000" w:rsidRPr="00000000">
        <w:rPr>
          <w:rFonts w:ascii="Times New Roman" w:cs="Times New Roman" w:eastAsia="Times New Roman" w:hAnsi="Times New Roman"/>
          <w:i w:val="1"/>
          <w:sz w:val="20"/>
          <w:szCs w:val="20"/>
          <w:rtl w:val="0"/>
        </w:rPr>
        <w:t xml:space="preserve">New England Journal of Medicine</w:t>
      </w:r>
      <w:r w:rsidDel="00000000" w:rsidR="00000000" w:rsidRPr="00000000">
        <w:rPr>
          <w:rFonts w:ascii="Times New Roman" w:cs="Times New Roman" w:eastAsia="Times New Roman" w:hAnsi="Times New Roman"/>
          <w:sz w:val="20"/>
          <w:szCs w:val="20"/>
          <w:rtl w:val="0"/>
        </w:rPr>
        <w:t xml:space="preserve">, vol. 383, no. 3, 2020, pp. 201–203., doi:10.1056/nejmp2012910. </w:t>
      </w:r>
      <w:r w:rsidDel="00000000" w:rsidR="00000000" w:rsidRPr="00000000">
        <w:rPr>
          <w:rtl w:val="0"/>
        </w:rPr>
      </w:r>
    </w:p>
  </w:footnote>
  <w:footnote w:id="1">
    <w:p w:rsidR="00000000" w:rsidDel="00000000" w:rsidP="00000000" w:rsidRDefault="00000000" w:rsidRPr="00000000" w14:paraId="000000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Institute of Medicine. 2002. </w:t>
      </w:r>
      <w:r w:rsidDel="00000000" w:rsidR="00000000" w:rsidRPr="00000000">
        <w:rPr>
          <w:rFonts w:ascii="Times New Roman" w:cs="Times New Roman" w:eastAsia="Times New Roman" w:hAnsi="Times New Roman"/>
          <w:i w:val="1"/>
          <w:sz w:val="20"/>
          <w:szCs w:val="20"/>
          <w:rtl w:val="0"/>
        </w:rPr>
        <w:t xml:space="preserve">Care Without Coverage: Too Little, Too Late</w:t>
      </w:r>
      <w:r w:rsidDel="00000000" w:rsidR="00000000" w:rsidRPr="00000000">
        <w:rPr>
          <w:rFonts w:ascii="Times New Roman" w:cs="Times New Roman" w:eastAsia="Times New Roman" w:hAnsi="Times New Roman"/>
          <w:sz w:val="20"/>
          <w:szCs w:val="20"/>
          <w:rtl w:val="0"/>
        </w:rPr>
        <w:t xml:space="preserve">. Washington, DC: The National </w:t>
      </w:r>
      <w:r w:rsidDel="00000000" w:rsidR="00000000" w:rsidRPr="00000000">
        <w:rPr>
          <w:rtl w:val="0"/>
        </w:rPr>
      </w:r>
    </w:p>
  </w:footnote>
  <w:footnote w:id="2">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Institute of Medicine. 2003. </w:t>
      </w:r>
      <w:r w:rsidDel="00000000" w:rsidR="00000000" w:rsidRPr="00000000">
        <w:rPr>
          <w:rFonts w:ascii="Times New Roman" w:cs="Times New Roman" w:eastAsia="Times New Roman" w:hAnsi="Times New Roman"/>
          <w:i w:val="1"/>
          <w:sz w:val="20"/>
          <w:szCs w:val="20"/>
          <w:rtl w:val="0"/>
        </w:rPr>
        <w:t xml:space="preserve">Unequal Treatment: Confronting Racial and Ethnic Disparities in Health Care</w:t>
      </w:r>
      <w:r w:rsidDel="00000000" w:rsidR="00000000" w:rsidRPr="00000000">
        <w:rPr>
          <w:rFonts w:ascii="Times New Roman" w:cs="Times New Roman" w:eastAsia="Times New Roman" w:hAnsi="Times New Roman"/>
          <w:sz w:val="20"/>
          <w:szCs w:val="20"/>
          <w:rtl w:val="0"/>
        </w:rPr>
        <w:t xml:space="preserve">. Washington, DC: The National Academies Press. https://doi.org/10.17226/10260.</w:t>
      </w:r>
      <w:r w:rsidDel="00000000" w:rsidR="00000000" w:rsidRPr="00000000">
        <w:rPr>
          <w:rtl w:val="0"/>
        </w:rPr>
      </w:r>
    </w:p>
  </w:footnote>
  <w:footnote w:id="3">
    <w:p w:rsidR="00000000" w:rsidDel="00000000" w:rsidP="00000000" w:rsidRDefault="00000000" w:rsidRPr="00000000" w14:paraId="00000011">
      <w:pPr>
        <w:spacing w:line="240" w:lineRule="auto"/>
        <w:rPr>
          <w:b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Pagán, Angélica Marie, et al. “Spring 2020 Journal: Mitigating Black Maternal Mortality.” Edited by Lisa McCorkell et al., </w:t>
      </w:r>
      <w:r w:rsidDel="00000000" w:rsidR="00000000" w:rsidRPr="00000000">
        <w:rPr>
          <w:rFonts w:ascii="Times New Roman" w:cs="Times New Roman" w:eastAsia="Times New Roman" w:hAnsi="Times New Roman"/>
          <w:i w:val="1"/>
          <w:sz w:val="20"/>
          <w:szCs w:val="20"/>
          <w:rtl w:val="0"/>
        </w:rPr>
        <w:t xml:space="preserve">Berkeley Public Policy Journal</w:t>
      </w:r>
      <w:r w:rsidDel="00000000" w:rsidR="00000000" w:rsidRPr="00000000">
        <w:rPr>
          <w:rFonts w:ascii="Times New Roman" w:cs="Times New Roman" w:eastAsia="Times New Roman" w:hAnsi="Times New Roman"/>
          <w:sz w:val="20"/>
          <w:szCs w:val="20"/>
          <w:rtl w:val="0"/>
        </w:rPr>
        <w:t xml:space="preserve">, 13 Apr. 2020, bppj.berkeley.edu/2020/04/13/spring-2020-journal-mitigating-black-maternal-mortality/. </w:t>
      </w:r>
      <w:r w:rsidDel="00000000" w:rsidR="00000000" w:rsidRPr="00000000">
        <w:rPr>
          <w:rtl w:val="0"/>
        </w:rPr>
      </w:r>
    </w:p>
  </w:footnote>
  <w:footnote w:id="4">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“Composition of the Labor Force.” </w:t>
      </w:r>
      <w:r w:rsidDel="00000000" w:rsidR="00000000" w:rsidRPr="00000000">
        <w:rPr>
          <w:rFonts w:ascii="Times New Roman" w:cs="Times New Roman" w:eastAsia="Times New Roman" w:hAnsi="Times New Roman"/>
          <w:i w:val="1"/>
          <w:sz w:val="20"/>
          <w:szCs w:val="20"/>
          <w:rtl w:val="0"/>
        </w:rPr>
        <w:t xml:space="preserve">U.S. Bureau of Labor Statistics</w:t>
      </w:r>
      <w:r w:rsidDel="00000000" w:rsidR="00000000" w:rsidRPr="00000000">
        <w:rPr>
          <w:rFonts w:ascii="Times New Roman" w:cs="Times New Roman" w:eastAsia="Times New Roman" w:hAnsi="Times New Roman"/>
          <w:sz w:val="20"/>
          <w:szCs w:val="20"/>
          <w:rtl w:val="0"/>
        </w:rPr>
        <w:t xml:space="preserve">, U.S. Bureau of Labor Statistics, 1 Oct. 2019, www.bls.gov/opub/reports/race-and-ethnicity/2018/home.htm. </w:t>
      </w:r>
      <w:r w:rsidDel="00000000" w:rsidR="00000000" w:rsidRPr="00000000">
        <w:rPr>
          <w:rtl w:val="0"/>
        </w:rPr>
      </w:r>
    </w:p>
  </w:footnote>
  <w:footnote w:id="5">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Gould, Elise, and Valerie Wilson. “Black Workers Face Two of the Most Lethal Preexisting Conditions for Coronavirus-Racism and Economic Inequality.” </w:t>
      </w:r>
      <w:r w:rsidDel="00000000" w:rsidR="00000000" w:rsidRPr="00000000">
        <w:rPr>
          <w:rFonts w:ascii="Times New Roman" w:cs="Times New Roman" w:eastAsia="Times New Roman" w:hAnsi="Times New Roman"/>
          <w:i w:val="1"/>
          <w:sz w:val="20"/>
          <w:szCs w:val="20"/>
          <w:rtl w:val="0"/>
        </w:rPr>
        <w:t xml:space="preserve">Economic Policy Institute</w:t>
      </w:r>
      <w:r w:rsidDel="00000000" w:rsidR="00000000" w:rsidRPr="00000000">
        <w:rPr>
          <w:rFonts w:ascii="Times New Roman" w:cs="Times New Roman" w:eastAsia="Times New Roman" w:hAnsi="Times New Roman"/>
          <w:sz w:val="20"/>
          <w:szCs w:val="20"/>
          <w:rtl w:val="0"/>
        </w:rPr>
        <w:t xml:space="preserve">, 1 June 2020, www.epi.org/publication/black-workers-covid/. </w:t>
      </w:r>
      <w:r w:rsidDel="00000000" w:rsidR="00000000" w:rsidRPr="00000000">
        <w:rPr>
          <w:rtl w:val="0"/>
        </w:rPr>
      </w:r>
    </w:p>
  </w:footnote>
  <w:footnote w:id="6">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“Race And Education: How Race Affects Education.” </w:t>
      </w:r>
      <w:r w:rsidDel="00000000" w:rsidR="00000000" w:rsidRPr="00000000">
        <w:rPr>
          <w:rFonts w:ascii="Times New Roman" w:cs="Times New Roman" w:eastAsia="Times New Roman" w:hAnsi="Times New Roman"/>
          <w:i w:val="1"/>
          <w:sz w:val="20"/>
          <w:szCs w:val="20"/>
          <w:rtl w:val="0"/>
        </w:rPr>
        <w:t xml:space="preserve">The Annie E. Casey Foundation</w:t>
      </w:r>
      <w:r w:rsidDel="00000000" w:rsidR="00000000" w:rsidRPr="00000000">
        <w:rPr>
          <w:rFonts w:ascii="Times New Roman" w:cs="Times New Roman" w:eastAsia="Times New Roman" w:hAnsi="Times New Roman"/>
          <w:sz w:val="20"/>
          <w:szCs w:val="20"/>
          <w:rtl w:val="0"/>
        </w:rPr>
        <w:t xml:space="preserve">, 25 Nov. 2006, www.aecf.org/resources/race-matters-how-race-affects-education-opportunities</w:t>
      </w:r>
      <w:r w:rsidDel="00000000" w:rsidR="00000000" w:rsidRPr="00000000">
        <w:rPr>
          <w:rtl w:val="0"/>
        </w:rPr>
      </w:r>
    </w:p>
  </w:footnote>
  <w:footnote w:id="7">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“Health Equity Considerations and Racial and Ethnic Minority Groups.” </w:t>
      </w:r>
      <w:r w:rsidDel="00000000" w:rsidR="00000000" w:rsidRPr="00000000">
        <w:rPr>
          <w:rFonts w:ascii="Times New Roman" w:cs="Times New Roman" w:eastAsia="Times New Roman" w:hAnsi="Times New Roman"/>
          <w:i w:val="1"/>
          <w:sz w:val="20"/>
          <w:szCs w:val="20"/>
          <w:rtl w:val="0"/>
        </w:rPr>
        <w:t xml:space="preserve">Centers for Disease Control and Prevention</w:t>
      </w:r>
      <w:r w:rsidDel="00000000" w:rsidR="00000000" w:rsidRPr="00000000">
        <w:rPr>
          <w:rFonts w:ascii="Times New Roman" w:cs="Times New Roman" w:eastAsia="Times New Roman" w:hAnsi="Times New Roman"/>
          <w:sz w:val="20"/>
          <w:szCs w:val="20"/>
          <w:rtl w:val="0"/>
        </w:rPr>
        <w:t xml:space="preserve">, Centers for Disease Control and Prevention, 24 July 2020, www.cdc.gov/coronavirus/2019-ncov/community/health-equity/race-ethnicity.html#fn19. </w:t>
      </w:r>
    </w:p>
    <w:p w:rsidR="00000000" w:rsidDel="00000000" w:rsidP="00000000" w:rsidRDefault="00000000" w:rsidRPr="00000000" w14:paraId="00000016">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Sze, Shirley, et al. </w:t>
      </w:r>
      <w:r w:rsidDel="00000000" w:rsidR="00000000" w:rsidRPr="00000000">
        <w:rPr>
          <w:rFonts w:ascii="Times New Roman" w:cs="Times New Roman" w:eastAsia="Times New Roman" w:hAnsi="Times New Roman"/>
          <w:i w:val="1"/>
          <w:sz w:val="20"/>
          <w:szCs w:val="20"/>
          <w:rtl w:val="0"/>
        </w:rPr>
        <w:t xml:space="preserve">Ethnicity and Clinical Outcomes in COVID-19: A Systematic Review and Meta-Analysis</w:t>
      </w:r>
      <w:r w:rsidDel="00000000" w:rsidR="00000000" w:rsidRPr="00000000">
        <w:rPr>
          <w:rFonts w:ascii="Times New Roman" w:cs="Times New Roman" w:eastAsia="Times New Roman" w:hAnsi="Times New Roman"/>
          <w:sz w:val="20"/>
          <w:szCs w:val="20"/>
          <w:rtl w:val="0"/>
        </w:rPr>
        <w:t xml:space="preserve">, vol. 29, 12 Nov. 2020, doi:https://doi.org/10.1016/j.eclinm.2020.100630. </w:t>
      </w:r>
      <w:r w:rsidDel="00000000" w:rsidR="00000000" w:rsidRPr="00000000">
        <w:rPr>
          <w:rtl w:val="0"/>
        </w:rPr>
      </w:r>
    </w:p>
  </w:footnote>
  <w:footnote w:id="9">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“Chapter 3: Demographics of Multi-Generational Households.” </w:t>
      </w:r>
      <w:r w:rsidDel="00000000" w:rsidR="00000000" w:rsidRPr="00000000">
        <w:rPr>
          <w:rFonts w:ascii="Times New Roman" w:cs="Times New Roman" w:eastAsia="Times New Roman" w:hAnsi="Times New Roman"/>
          <w:i w:val="1"/>
          <w:sz w:val="20"/>
          <w:szCs w:val="20"/>
          <w:rtl w:val="0"/>
        </w:rPr>
        <w:t xml:space="preserve">Pew Research Center's Social &amp; Demographic Trends Project</w:t>
      </w:r>
      <w:r w:rsidDel="00000000" w:rsidR="00000000" w:rsidRPr="00000000">
        <w:rPr>
          <w:rFonts w:ascii="Times New Roman" w:cs="Times New Roman" w:eastAsia="Times New Roman" w:hAnsi="Times New Roman"/>
          <w:sz w:val="20"/>
          <w:szCs w:val="20"/>
          <w:rtl w:val="0"/>
        </w:rPr>
        <w:t xml:space="preserve">, 31 Dec. 2019, www.pewsocialtrends.org/2011/10/03/chapter-3-demographics-of-multi-generational-households/#race-and-ethnicity</w:t>
      </w:r>
      <w:r w:rsidDel="00000000" w:rsidR="00000000" w:rsidRPr="00000000">
        <w:rPr>
          <w:rtl w:val="0"/>
        </w:rPr>
      </w:r>
    </w:p>
  </w:footnote>
  <w:footnote w:id="10">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“Composition of the Labor Force.” </w:t>
      </w:r>
      <w:r w:rsidDel="00000000" w:rsidR="00000000" w:rsidRPr="00000000">
        <w:rPr>
          <w:rFonts w:ascii="Times New Roman" w:cs="Times New Roman" w:eastAsia="Times New Roman" w:hAnsi="Times New Roman"/>
          <w:i w:val="1"/>
          <w:sz w:val="20"/>
          <w:szCs w:val="20"/>
          <w:rtl w:val="0"/>
        </w:rPr>
        <w:t xml:space="preserve">U.S. Bureau of Labor Statistics</w:t>
      </w:r>
      <w:r w:rsidDel="00000000" w:rsidR="00000000" w:rsidRPr="00000000">
        <w:rPr>
          <w:rFonts w:ascii="Times New Roman" w:cs="Times New Roman" w:eastAsia="Times New Roman" w:hAnsi="Times New Roman"/>
          <w:sz w:val="20"/>
          <w:szCs w:val="20"/>
          <w:rtl w:val="0"/>
        </w:rPr>
        <w:t xml:space="preserve">, U.S. Bureau of Labor Statistics, 1 Oct. 2019, www.bls.gov/opub/reports/race-and-ethnicity/2018/home.htm. </w:t>
      </w:r>
      <w:r w:rsidDel="00000000" w:rsidR="00000000" w:rsidRPr="00000000">
        <w:rPr>
          <w:rtl w:val="0"/>
        </w:rPr>
      </w:r>
    </w:p>
  </w:footnote>
  <w:footnote w:id="11">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Richards-Belle, Alvin et al. “COVID-19 in critical care: epidemiology of the first epidemic wave across England, Wales and Northern Ireland.” </w:t>
      </w:r>
      <w:r w:rsidDel="00000000" w:rsidR="00000000" w:rsidRPr="00000000">
        <w:rPr>
          <w:rFonts w:ascii="Times New Roman" w:cs="Times New Roman" w:eastAsia="Times New Roman" w:hAnsi="Times New Roman"/>
          <w:i w:val="1"/>
          <w:sz w:val="20"/>
          <w:szCs w:val="20"/>
          <w:rtl w:val="0"/>
        </w:rPr>
        <w:t xml:space="preserve">Intensive care medicine</w:t>
      </w:r>
      <w:r w:rsidDel="00000000" w:rsidR="00000000" w:rsidRPr="00000000">
        <w:rPr>
          <w:rFonts w:ascii="Times New Roman" w:cs="Times New Roman" w:eastAsia="Times New Roman" w:hAnsi="Times New Roman"/>
          <w:sz w:val="20"/>
          <w:szCs w:val="20"/>
          <w:rtl w:val="0"/>
        </w:rPr>
        <w:t xml:space="preserve"> vol. 46,11 (2020): 2035-2047. doi:10.1007/s00134-020-06267-0</w:t>
      </w:r>
    </w:p>
    <w:p w:rsidR="00000000" w:rsidDel="00000000" w:rsidP="00000000" w:rsidRDefault="00000000" w:rsidRPr="00000000" w14:paraId="0000001B">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“Health Equity Considerations and Racial and Ethnic Minority Groups.” </w:t>
      </w:r>
      <w:r w:rsidDel="00000000" w:rsidR="00000000" w:rsidRPr="00000000">
        <w:rPr>
          <w:rFonts w:ascii="Times New Roman" w:cs="Times New Roman" w:eastAsia="Times New Roman" w:hAnsi="Times New Roman"/>
          <w:i w:val="1"/>
          <w:sz w:val="20"/>
          <w:szCs w:val="20"/>
          <w:rtl w:val="0"/>
        </w:rPr>
        <w:t xml:space="preserve">Centers for Disease Control and Prevention</w:t>
      </w:r>
      <w:r w:rsidDel="00000000" w:rsidR="00000000" w:rsidRPr="00000000">
        <w:rPr>
          <w:rFonts w:ascii="Times New Roman" w:cs="Times New Roman" w:eastAsia="Times New Roman" w:hAnsi="Times New Roman"/>
          <w:sz w:val="20"/>
          <w:szCs w:val="20"/>
          <w:rtl w:val="0"/>
        </w:rPr>
        <w:t xml:space="preserve">, Centers for Disease Control and Prevention, 24 July 2020, www.cdc.gov/coronavirus/2019-ncov/community/health-equity/race-ethnicity.html#fn19. </w:t>
      </w:r>
      <w:r w:rsidDel="00000000" w:rsidR="00000000" w:rsidRPr="00000000">
        <w:rPr>
          <w:rtl w:val="0"/>
        </w:rPr>
      </w:r>
    </w:p>
  </w:footnote>
  <w:footnote w:id="13">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Sze, Shirley, et al. </w:t>
      </w:r>
      <w:r w:rsidDel="00000000" w:rsidR="00000000" w:rsidRPr="00000000">
        <w:rPr>
          <w:rFonts w:ascii="Times New Roman" w:cs="Times New Roman" w:eastAsia="Times New Roman" w:hAnsi="Times New Roman"/>
          <w:i w:val="1"/>
          <w:sz w:val="20"/>
          <w:szCs w:val="20"/>
          <w:rtl w:val="0"/>
        </w:rPr>
        <w:t xml:space="preserve">Ethnicity and Clinical Outcomes in COVID-19: A Systematic Review and Meta-Analysis</w:t>
      </w:r>
      <w:r w:rsidDel="00000000" w:rsidR="00000000" w:rsidRPr="00000000">
        <w:rPr>
          <w:rFonts w:ascii="Times New Roman" w:cs="Times New Roman" w:eastAsia="Times New Roman" w:hAnsi="Times New Roman"/>
          <w:sz w:val="20"/>
          <w:szCs w:val="20"/>
          <w:rtl w:val="0"/>
        </w:rPr>
        <w:t xml:space="preserve">, vol. 29, 12 Nov. 2020, doi:https://doi.org/10.1016/j.eclinm.2020.100630. </w:t>
      </w:r>
    </w:p>
    <w:p w:rsidR="00000000" w:rsidDel="00000000" w:rsidP="00000000" w:rsidRDefault="00000000" w:rsidRPr="00000000" w14:paraId="0000001E">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