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0" w:line="276" w:lineRule="auto"/>
        <w:ind w:left="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I Mötet Mellan Urbanisering och en Pandemi</w:t>
      </w:r>
    </w:p>
    <w:p w:rsidR="00000000" w:rsidDel="00000000" w:rsidP="00000000" w:rsidRDefault="00000000" w:rsidRPr="00000000" w14:paraId="00000002">
      <w:pPr>
        <w:shd w:fill="ffffff" w:val="clear"/>
        <w:spacing w:before="0"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 Mikayla Pyke-Sharpe</w:t>
      </w:r>
    </w:p>
    <w:p w:rsidR="00000000" w:rsidDel="00000000" w:rsidP="00000000" w:rsidRDefault="00000000" w:rsidRPr="00000000" w14:paraId="00000003">
      <w:pPr>
        <w:shd w:fill="ffffff" w:val="clear"/>
        <w:spacing w:before="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hd w:fill="ffffff" w:val="clear"/>
        <w:spacing w:before="0"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Även om det bara är  en liten andel av världen som består av städer så är det i dessa som de främsta möjligheterna  för olika former av kulturutbyte finns. På grund av pandemin så kanske städerna aldrig kommer att bli detsamma igen. Många av de utmaningar som dagens städer står inför handlar om sjukhusens kapacitet, psykiska problem och småföretagarna överlevnad. Även om städer tidigare varit centrum för både pandemier och epidemier så måste man ställa sig frågan, hur kommer covid-19 påverka städernas förmåga att återhämta sig? Tidigare i historien så har pandemiutbrott medfört att fler att människor flyttat till städer på grund av  av högre löner och lägre hyror. Denna förändring skulle också ge gentrifierade städer chansen att förändras. Sammanfattningsvis betyder detta att det  efter pandemier alltid att kommer att finnas en anledning för människor att flytta till städer på grund av lägre hyror, konstnärliga möjligheter liksom  jobbmöjligheter i allmänhet. "Urbanisering har alltid varit en större kraft än smittsam sjukdom."</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5">
      <w:pPr>
        <w:shd w:fill="ffffff" w:val="clear"/>
        <w:spacing w:before="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hd w:fill="ffffff" w:val="clear"/>
        <w:spacing w:before="0"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Även om städerna i sig kanske inte går förlorade, kommer mänskliga interaktioner att påverkas starkt. De är allmänt känt att pandemier sprids i tätbefolkade områden. Man kan därmed dra slutsatsen att människor kommer bli allt mer rädda för mänskliga kontakter på grund av pandemin.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På grund av pandemier, i likhet med covid-19, kommer mänsklig interaktion och jobbmöjligheter att påverkas oerhört om inte om en omfattande reformering av hälso-och sjukvård och nya ekonomiska modeller görs.</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p w:rsidR="00000000" w:rsidDel="00000000" w:rsidP="00000000" w:rsidRDefault="00000000" w:rsidRPr="00000000" w14:paraId="00000007">
      <w:pPr>
        <w:shd w:fill="ffffff" w:val="clear"/>
        <w:spacing w:before="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ffffff" w:val="clear"/>
        <w:spacing w:before="0"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Detta sätter fingret på de omfattande hälso- och ekonomiska skillnader som råder mellan olika grupper i städerna, inte minst minoriteter. Många minoritetsgrupper har sedan länge utsatts för diskriminering på arbetsplatsen och när det gäller brist på hälso- och sjukvård. Även om covid-19 inte diskriminerar på grund av hudfärg så påverkas de som redan är missgynnade när det gäller möjligheter till hälso och sjukvård. Andelen arbetslöshet i dessa grupper också mycket högre. I exakt siffror innebär detta 16,8 procent bland svarta, 15,1 procent för ursprungs bokningen och 13 procent bland spansktalande.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9">
      <w:pPr>
        <w:shd w:fill="ffffff" w:val="clear"/>
        <w:spacing w:before="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hd w:fill="ffffff" w:val="clear"/>
        <w:spacing w:before="0"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Fängelsena</w:t>
      </w:r>
      <w:r w:rsidDel="00000000" w:rsidR="00000000" w:rsidRPr="00000000">
        <w:rPr>
          <w:rFonts w:ascii="Times New Roman" w:cs="Times New Roman" w:eastAsia="Times New Roman" w:hAnsi="Times New Roman"/>
          <w:rtl w:val="0"/>
        </w:rPr>
        <w:t xml:space="preserve"> påverkades också mycket av covid-19. Det har skett en kontinuerlig koppling mellan folkhälsovård tjänstemän och fängelse hälsoexperter som har lyfts fram som ett resultat av COVID-19. Detta har förstärkt förståelsen att "korrigerings hälsa är folkhälsa."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På grund av de olika människorna som reser till och från korrigering anläggningar har det blivit allt svårare att utföra kontaktspårning.</w:t>
      </w:r>
    </w:p>
    <w:p w:rsidR="00000000" w:rsidDel="00000000" w:rsidP="00000000" w:rsidRDefault="00000000" w:rsidRPr="00000000" w14:paraId="0000000B">
      <w:pPr>
        <w:shd w:fill="ffffff" w:val="clear"/>
        <w:spacing w:before="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hd w:fill="ffffff" w:val="clear"/>
        <w:spacing w:before="0"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Man har också funnit att de som befinner sig i kriminalvården har en hög frekvens av redan existerande hälsoproblem. På samma sätt har fängelser en hög befolkning av personer med psykisk sjukdom, missbruksproblem och människor som kommer från instabila boendemiljöer. Dessa faktorer innebär en högre risk för smittsamma sjukdomar. I kriminalvårds anläggningar är det också  svårt att tillgodose grundläggande sanitära behov samt integritet på grund av de intagna lever nära inpå varandra. Den största frågan som kriminalvården för närvarande står inför förmågan att vidta nödvändiga försiktighetsåtgärder för att stoppa spridningen av viruset.</w:t>
      </w:r>
    </w:p>
    <w:p w:rsidR="00000000" w:rsidDel="00000000" w:rsidP="00000000" w:rsidRDefault="00000000" w:rsidRPr="00000000" w14:paraId="0000000D">
      <w:pPr>
        <w:shd w:fill="ffffff" w:val="clear"/>
        <w:spacing w:before="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hd w:fill="ffffff" w:val="clear"/>
        <w:spacing w:before="0"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annan grupp som har ställts inför samma problem som kriminalvårds inrättningar är äldreboende. På grund av hög ålder och kroniska sjukdomar är denna grupp i en större riskgrupp att drabbas av viruset. På samma sätt är det lättare att sprida viruset inom dessa anläggningar till följd av den nära kontakten mellan de intagna och personal.</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Eftersom dessa boende inte är federalt reglerade har det visat sig svårt att samla in data inom äldreboenden. Endast hälften av dessa stater har rapporterat om dödsfall bland personal i dessa anläggningar.</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På grund av begränsade mängder data har det lämnat många studier utan den rätta förståelsen för effekten av covid-19 på bla äldreboenden.</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0F">
      <w:pPr>
        <w:shd w:fill="ffffff" w:val="clear"/>
        <w:spacing w:before="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hd w:fill="ffffff" w:val="clear"/>
        <w:spacing w:before="0"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Mellan våra misslyckanden inom fängelsesystemet och vår oförmåga att skydda våra äldre har covid-19 fört fram många av våra samhälls brister som måste åtgärdas.</w:t>
      </w:r>
    </w:p>
    <w:p w:rsidR="00000000" w:rsidDel="00000000" w:rsidP="00000000" w:rsidRDefault="00000000" w:rsidRPr="00000000" w14:paraId="00000011">
      <w:pPr>
        <w:shd w:fill="ffffff" w:val="clear"/>
        <w:spacing w:before="0" w:line="276" w:lineRule="auto"/>
        <w:ind w:left="0" w:firstLine="0"/>
        <w:rPr>
          <w:b w:val="1"/>
          <w:sz w:val="32"/>
          <w:szCs w:val="32"/>
        </w:rPr>
      </w:pP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color w:val="333333"/>
          <w:sz w:val="20"/>
          <w:szCs w:val="20"/>
        </w:rPr>
      </w:pPr>
      <w:r w:rsidDel="00000000" w:rsidR="00000000" w:rsidRPr="00000000">
        <w:rPr>
          <w:rtl w:val="0"/>
        </w:rPr>
      </w:r>
    </w:p>
    <w:p w:rsidR="00000000" w:rsidDel="00000000" w:rsidP="00000000" w:rsidRDefault="00000000" w:rsidRPr="00000000" w14:paraId="00000013">
      <w:pPr>
        <w:shd w:fill="ffffff" w:val="clear"/>
        <w:rPr>
          <w:rFonts w:ascii="Times New Roman" w:cs="Times New Roman" w:eastAsia="Times New Roman" w:hAnsi="Times New Roman"/>
          <w:color w:val="333333"/>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color w:val="333333"/>
          <w:sz w:val="20"/>
          <w:szCs w:val="20"/>
          <w:rtl w:val="0"/>
        </w:rPr>
        <w:t xml:space="preserve">Florida, Richard, et al. "How Life in Our Cities Will Look after the Coronavirus Pandemic." </w:t>
      </w:r>
      <w:r w:rsidDel="00000000" w:rsidR="00000000" w:rsidRPr="00000000">
        <w:rPr>
          <w:rFonts w:ascii="Times New Roman" w:cs="Times New Roman" w:eastAsia="Times New Roman" w:hAnsi="Times New Roman"/>
          <w:i w:val="1"/>
          <w:color w:val="333333"/>
          <w:sz w:val="20"/>
          <w:szCs w:val="20"/>
          <w:rtl w:val="0"/>
        </w:rPr>
        <w:t xml:space="preserve">Foreign Policy</w:t>
      </w:r>
      <w:r w:rsidDel="00000000" w:rsidR="00000000" w:rsidRPr="00000000">
        <w:rPr>
          <w:rFonts w:ascii="Times New Roman" w:cs="Times New Roman" w:eastAsia="Times New Roman" w:hAnsi="Times New Roman"/>
          <w:color w:val="333333"/>
          <w:sz w:val="20"/>
          <w:szCs w:val="20"/>
          <w:rtl w:val="0"/>
        </w:rPr>
        <w:t xml:space="preserve">, foreignpolicy.com/2020/05/01/future-of-cities-urban-life-after-coronavirus-pandemic/. </w:t>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6">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Politico Magazine. "Coronavirus Will Change the World Permanently. Here's How. </w:t>
      </w:r>
      <w:r w:rsidDel="00000000" w:rsidR="00000000" w:rsidRPr="00000000">
        <w:rPr>
          <w:rFonts w:ascii="Times New Roman" w:cs="Times New Roman" w:eastAsia="Times New Roman" w:hAnsi="Times New Roman"/>
          <w:i w:val="1"/>
          <w:color w:val="333333"/>
          <w:sz w:val="20"/>
          <w:szCs w:val="20"/>
          <w:rtl w:val="0"/>
        </w:rPr>
        <w:t xml:space="preserve">Politico</w:t>
      </w:r>
      <w:r w:rsidDel="00000000" w:rsidR="00000000" w:rsidRPr="00000000">
        <w:rPr>
          <w:rFonts w:ascii="Times New Roman" w:cs="Times New Roman" w:eastAsia="Times New Roman" w:hAnsi="Times New Roman"/>
          <w:color w:val="333333"/>
          <w:sz w:val="20"/>
          <w:szCs w:val="20"/>
          <w:rtl w:val="0"/>
        </w:rPr>
        <w:t xml:space="preserve">, www.politico.com/news/magazine/2020/03/19/coronavirus-effect-economy-life-society-analysis-covid-135579. </w:t>
      </w:r>
    </w:p>
    <w:p w:rsidR="00000000" w:rsidDel="00000000" w:rsidP="00000000" w:rsidRDefault="00000000" w:rsidRPr="00000000" w14:paraId="00000017">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8">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Florida, Richard, et al. "How Life in Our Cities Will Look after the Coronavirus Pandemic." </w:t>
      </w:r>
      <w:r w:rsidDel="00000000" w:rsidR="00000000" w:rsidRPr="00000000">
        <w:rPr>
          <w:rFonts w:ascii="Times New Roman" w:cs="Times New Roman" w:eastAsia="Times New Roman" w:hAnsi="Times New Roman"/>
          <w:i w:val="1"/>
          <w:color w:val="333333"/>
          <w:sz w:val="20"/>
          <w:szCs w:val="20"/>
          <w:rtl w:val="0"/>
        </w:rPr>
        <w:t xml:space="preserve">Foreign Policy</w:t>
      </w:r>
      <w:r w:rsidDel="00000000" w:rsidR="00000000" w:rsidRPr="00000000">
        <w:rPr>
          <w:rFonts w:ascii="Times New Roman" w:cs="Times New Roman" w:eastAsia="Times New Roman" w:hAnsi="Times New Roman"/>
          <w:color w:val="333333"/>
          <w:sz w:val="20"/>
          <w:szCs w:val="20"/>
          <w:rtl w:val="0"/>
        </w:rPr>
        <w:t xml:space="preserve">, foreignpolicy.com/2020/05/01/future-of-cities-urban-life-after-coronavirus-pandemic/. </w:t>
      </w:r>
    </w:p>
    <w:p w:rsidR="00000000" w:rsidDel="00000000" w:rsidP="00000000" w:rsidRDefault="00000000" w:rsidRPr="00000000" w14:paraId="00000019">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A">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Maxwell, Conor, and Danyelle Solomon. "The Economic Fallout of the Coronavirus for People of Color." </w:t>
      </w:r>
      <w:r w:rsidDel="00000000" w:rsidR="00000000" w:rsidRPr="00000000">
        <w:rPr>
          <w:rFonts w:ascii="Times New Roman" w:cs="Times New Roman" w:eastAsia="Times New Roman" w:hAnsi="Times New Roman"/>
          <w:i w:val="1"/>
          <w:color w:val="333333"/>
          <w:sz w:val="20"/>
          <w:szCs w:val="20"/>
          <w:rtl w:val="0"/>
        </w:rPr>
        <w:t xml:space="preserve">Center for American Progress</w:t>
      </w:r>
      <w:r w:rsidDel="00000000" w:rsidR="00000000" w:rsidRPr="00000000">
        <w:rPr>
          <w:rFonts w:ascii="Times New Roman" w:cs="Times New Roman" w:eastAsia="Times New Roman" w:hAnsi="Times New Roman"/>
          <w:color w:val="333333"/>
          <w:sz w:val="20"/>
          <w:szCs w:val="20"/>
          <w:rtl w:val="0"/>
        </w:rPr>
        <w:t xml:space="preserve">,www.americanprogress.org/issues/race/news/2020/04/14/483125/</w:t>
      </w:r>
    </w:p>
    <w:p w:rsidR="00000000" w:rsidDel="00000000" w:rsidP="00000000" w:rsidRDefault="00000000" w:rsidRPr="00000000" w14:paraId="0000001B">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1C">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Jordan, Alison O., et al. </w:t>
      </w:r>
      <w:r w:rsidDel="00000000" w:rsidR="00000000" w:rsidRPr="00000000">
        <w:rPr>
          <w:rFonts w:ascii="Times New Roman" w:cs="Times New Roman" w:eastAsia="Times New Roman" w:hAnsi="Times New Roman"/>
          <w:i w:val="1"/>
          <w:color w:val="333333"/>
          <w:sz w:val="20"/>
          <w:szCs w:val="20"/>
          <w:rtl w:val="0"/>
        </w:rPr>
        <w:t xml:space="preserve">Addressing COVID-19 and Correctional Facilities: A Social Work Imperative</w:t>
      </w:r>
      <w:r w:rsidDel="00000000" w:rsidR="00000000" w:rsidRPr="00000000">
        <w:rPr>
          <w:rFonts w:ascii="Times New Roman" w:cs="Times New Roman" w:eastAsia="Times New Roman" w:hAnsi="Times New Roman"/>
          <w:color w:val="333333"/>
          <w:sz w:val="20"/>
          <w:szCs w:val="20"/>
          <w:rtl w:val="0"/>
        </w:rPr>
        <w:t xml:space="preserve">. June 2020, www.socialworkers.org/</w:t>
      </w:r>
    </w:p>
    <w:p w:rsidR="00000000" w:rsidDel="00000000" w:rsidP="00000000" w:rsidRDefault="00000000" w:rsidRPr="00000000" w14:paraId="0000001D">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1E">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True, Sarah, et al. "Overlooked and Undercounted: The Growing Impact of COVID-19 on Assisted Living Facilities." </w:t>
      </w:r>
      <w:r w:rsidDel="00000000" w:rsidR="00000000" w:rsidRPr="00000000">
        <w:rPr>
          <w:rFonts w:ascii="Times New Roman" w:cs="Times New Roman" w:eastAsia="Times New Roman" w:hAnsi="Times New Roman"/>
          <w:i w:val="1"/>
          <w:color w:val="333333"/>
          <w:sz w:val="20"/>
          <w:szCs w:val="20"/>
          <w:rtl w:val="0"/>
        </w:rPr>
        <w:t xml:space="preserve">KFF</w:t>
      </w:r>
      <w:r w:rsidDel="00000000" w:rsidR="00000000" w:rsidRPr="00000000">
        <w:rPr>
          <w:rFonts w:ascii="Times New Roman" w:cs="Times New Roman" w:eastAsia="Times New Roman" w:hAnsi="Times New Roman"/>
          <w:color w:val="333333"/>
          <w:sz w:val="20"/>
          <w:szCs w:val="20"/>
          <w:rtl w:val="0"/>
        </w:rPr>
        <w:t xml:space="preserve">, 1 Sept. 2020, </w:t>
      </w:r>
      <w:r w:rsidDel="00000000" w:rsidR="00000000" w:rsidRPr="00000000">
        <w:rPr>
          <w:rFonts w:ascii="Times New Roman" w:cs="Times New Roman" w:eastAsia="Times New Roman" w:hAnsi="Times New Roman"/>
          <w:color w:val="333333"/>
          <w:sz w:val="20"/>
          <w:szCs w:val="20"/>
          <w:rtl w:val="0"/>
        </w:rPr>
        <w:t xml:space="preserve">www.kff.org/coronavirus-covid-19/issue-brief/</w:t>
      </w:r>
      <w:r w:rsidDel="00000000" w:rsidR="00000000" w:rsidRPr="00000000">
        <w:rPr>
          <w:rFonts w:ascii="Times New Roman" w:cs="Times New Roman" w:eastAsia="Times New Roman" w:hAnsi="Times New Roman"/>
          <w:color w:val="333333"/>
          <w:sz w:val="20"/>
          <w:szCs w:val="20"/>
          <w:rtl w:val="0"/>
        </w:rPr>
        <w:t xml:space="preserve"> overlooked-and-undercounted-the-growing-impact-of-covid-19-on-assisted-living-facilities/. </w:t>
      </w:r>
    </w:p>
    <w:p w:rsidR="00000000" w:rsidDel="00000000" w:rsidP="00000000" w:rsidRDefault="00000000" w:rsidRPr="00000000" w14:paraId="0000001F">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20">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Yi, Sarah H., et al. "Characterization of COVID-19 in Assisted Living Facilities — 39 States, October 2020." </w:t>
      </w:r>
      <w:r w:rsidDel="00000000" w:rsidR="00000000" w:rsidRPr="00000000">
        <w:rPr>
          <w:rFonts w:ascii="Times New Roman" w:cs="Times New Roman" w:eastAsia="Times New Roman" w:hAnsi="Times New Roman"/>
          <w:i w:val="1"/>
          <w:color w:val="333333"/>
          <w:sz w:val="20"/>
          <w:szCs w:val="20"/>
          <w:rtl w:val="0"/>
        </w:rPr>
        <w:t xml:space="preserve">CDC</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i w:val="1"/>
          <w:color w:val="333333"/>
          <w:sz w:val="20"/>
          <w:szCs w:val="20"/>
          <w:rtl w:val="0"/>
        </w:rPr>
        <w:t xml:space="preserve">Centers for Disease Control and Prevention</w:t>
      </w:r>
      <w:r w:rsidDel="00000000" w:rsidR="00000000" w:rsidRPr="00000000">
        <w:rPr>
          <w:rFonts w:ascii="Times New Roman" w:cs="Times New Roman" w:eastAsia="Times New Roman" w:hAnsi="Times New Roman"/>
          <w:color w:val="333333"/>
          <w:sz w:val="20"/>
          <w:szCs w:val="20"/>
          <w:rtl w:val="0"/>
        </w:rPr>
        <w:t xml:space="preserve">, 20 Nov. 2020, www.cdc.gov/mmwr/volumes/69/wr/mm6946a3.htm. </w:t>
      </w:r>
    </w:p>
    <w:p w:rsidR="00000000" w:rsidDel="00000000" w:rsidP="00000000" w:rsidRDefault="00000000" w:rsidRPr="00000000" w14:paraId="00000021">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True, Sarah, et al. "Overlooked and Undercounted: The Growing Impact of COVID-19 on Assisted Living Facilities." </w:t>
      </w:r>
      <w:r w:rsidDel="00000000" w:rsidR="00000000" w:rsidRPr="00000000">
        <w:rPr>
          <w:rFonts w:ascii="Times New Roman" w:cs="Times New Roman" w:eastAsia="Times New Roman" w:hAnsi="Times New Roman"/>
          <w:i w:val="1"/>
          <w:color w:val="333333"/>
          <w:sz w:val="20"/>
          <w:szCs w:val="20"/>
          <w:rtl w:val="0"/>
        </w:rPr>
        <w:t xml:space="preserve">KFF</w:t>
      </w:r>
      <w:r w:rsidDel="00000000" w:rsidR="00000000" w:rsidRPr="00000000">
        <w:rPr>
          <w:rFonts w:ascii="Times New Roman" w:cs="Times New Roman" w:eastAsia="Times New Roman" w:hAnsi="Times New Roman"/>
          <w:color w:val="333333"/>
          <w:sz w:val="20"/>
          <w:szCs w:val="20"/>
          <w:rtl w:val="0"/>
        </w:rPr>
        <w:t xml:space="preserve">, 1 Sept. 2020, www.kff.org/coronavirus-covid-19/issue-brief/overlooked-and-undercounted-the-growing-impact-of-covid-19-on-assisted-living-facilities/.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