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Rule="auto"/>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Intersection de L'urbanisation et D'une Pandémie</w:t>
      </w:r>
    </w:p>
    <w:p w:rsidR="00000000" w:rsidDel="00000000" w:rsidP="00000000" w:rsidRDefault="00000000" w:rsidRPr="00000000" w14:paraId="00000002">
      <w:pPr>
        <w:shd w:fill="ffffff" w:val="clea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Mikayla Pyke-Sharpe</w:t>
      </w:r>
    </w:p>
    <w:p w:rsidR="00000000" w:rsidDel="00000000" w:rsidP="00000000" w:rsidRDefault="00000000" w:rsidRPr="00000000" w14:paraId="00000003">
      <w:pPr>
        <w:shd w:fill="ffffff" w:val="clear"/>
        <w:spacing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Bien que </w:t>
      </w:r>
      <w:r w:rsidDel="00000000" w:rsidR="00000000" w:rsidRPr="00000000">
        <w:rPr>
          <w:rFonts w:ascii="Times New Roman" w:cs="Times New Roman" w:eastAsia="Times New Roman" w:hAnsi="Times New Roman"/>
          <w:rtl w:val="0"/>
        </w:rPr>
        <w:t xml:space="preserve">seul un</w:t>
      </w:r>
      <w:r w:rsidDel="00000000" w:rsidR="00000000" w:rsidRPr="00000000">
        <w:rPr>
          <w:rFonts w:ascii="Times New Roman" w:cs="Times New Roman" w:eastAsia="Times New Roman" w:hAnsi="Times New Roman"/>
          <w:rtl w:val="0"/>
        </w:rPr>
        <w:t xml:space="preserve"> petit pourcentage du monde soit fait des villes, il faut tout de même reconnaître qu’elles créent des opportunités pour des formes d'échange culturel. Malheureusement, à cause de la pandémie, les villes ne pourraient plus jamais être les mêmes. Beaucoup de problèmes auxquels les villes sont confrontées concernent les capacités des hôpitaux, les problèmes de santé mentale et la survie des petites entreprises. Cependant, il faut aussi reconnaître que les villes ont été au centre de pandémies et d'épidémies dans le passé, ce qui soulève la question: pourquoi le COVID-19 devrait-il affecter la capacité des villes à récupérer? Dans le passé, une augmentation du nombre de personnes se déplaçant vers les villes attirées par des salaires plus élevés et des loyers plus bas a suivi des épidémies. Ce changement donnera également aux villes </w:t>
      </w:r>
      <w:r w:rsidDel="00000000" w:rsidR="00000000" w:rsidRPr="00000000">
        <w:rPr>
          <w:rFonts w:ascii="Times New Roman" w:cs="Times New Roman" w:eastAsia="Times New Roman" w:hAnsi="Times New Roman"/>
          <w:rtl w:val="0"/>
        </w:rPr>
        <w:t xml:space="preserve">gentrifiées</w:t>
      </w:r>
      <w:r w:rsidDel="00000000" w:rsidR="00000000" w:rsidRPr="00000000">
        <w:rPr>
          <w:rFonts w:ascii="Times New Roman" w:cs="Times New Roman" w:eastAsia="Times New Roman" w:hAnsi="Times New Roman"/>
          <w:rtl w:val="0"/>
        </w:rPr>
        <w:t xml:space="preserve"> la possibilité de se réorganiser. Dans l'ensemble, il y a toujours une raison pour que les gens </w:t>
      </w:r>
      <w:r w:rsidDel="00000000" w:rsidR="00000000" w:rsidRPr="00000000">
        <w:rPr>
          <w:rFonts w:ascii="Times New Roman" w:cs="Times New Roman" w:eastAsia="Times New Roman" w:hAnsi="Times New Roman"/>
          <w:rtl w:val="0"/>
        </w:rPr>
        <w:t xml:space="preserve">déménagent</w:t>
      </w:r>
      <w:r w:rsidDel="00000000" w:rsidR="00000000" w:rsidRPr="00000000">
        <w:rPr>
          <w:rFonts w:ascii="Times New Roman" w:cs="Times New Roman" w:eastAsia="Times New Roman" w:hAnsi="Times New Roman"/>
          <w:rtl w:val="0"/>
        </w:rPr>
        <w:t xml:space="preserve"> dans les villes en raison de la baisse des loyers, des opportunités artistiques, des opportunités d’emploi et de l'urbanisation dans son ensemble. “L’urbanisation a toujours été une force plus importante que les maladies </w:t>
      </w:r>
      <w:r w:rsidDel="00000000" w:rsidR="00000000" w:rsidRPr="00000000">
        <w:rPr>
          <w:rFonts w:ascii="Times New Roman" w:cs="Times New Roman" w:eastAsia="Times New Roman" w:hAnsi="Times New Roman"/>
          <w:rtl w:val="0"/>
        </w:rPr>
        <w:t xml:space="preserve">infectieuse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4">
      <w:pPr>
        <w:shd w:fill="ffffff" w:val="clear"/>
        <w:spacing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Bien que les villes urbaines dans leur ensemble ne périssent pas, les interactions humaines seront fortement affectées. Comme on le sait, les pandémies surviennent et se propagent dans des zones densément peuplées. On peut alors en déduire qu'à la suite de cette pandémie, les interactions humaines provoquent</w:t>
      </w:r>
      <w:r w:rsidDel="00000000" w:rsidR="00000000" w:rsidRPr="00000000">
        <w:rPr>
          <w:rFonts w:ascii="Times New Roman" w:cs="Times New Roman" w:eastAsia="Times New Roman" w:hAnsi="Times New Roman"/>
          <w:rtl w:val="0"/>
        </w:rPr>
        <w:t xml:space="preserve"> la peur plutôt que la joie.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Les petites entreprises ne partagent pas seulement la joie avec les clients, elles créent également des emplois. En raison de pandémies telles que celles que nous traversons maintenant, l'interaction humaine et les possibilités d’emploi seront terriblement affectées si une "infrastructure de soins de santé anti-pandémie et de nouveaux modèles économiques" ne sont pas mis en place.</w:t>
      </w:r>
      <w:r w:rsidDel="00000000" w:rsidR="00000000" w:rsidRPr="00000000">
        <w:rPr>
          <w:rFonts w:ascii="Times New Roman" w:cs="Times New Roman" w:eastAsia="Times New Roman" w:hAnsi="Times New Roman"/>
          <w:highlight w:val="white"/>
          <w:vertAlign w:val="superscript"/>
        </w:rPr>
        <w:footnoteReference w:customMarkFollows="0" w:id="2"/>
      </w:r>
      <w:r w:rsidDel="00000000" w:rsidR="00000000" w:rsidRPr="00000000">
        <w:rPr>
          <w:rFonts w:ascii="Times New Roman" w:cs="Times New Roman" w:eastAsia="Times New Roman" w:hAnsi="Times New Roman"/>
          <w:highlight w:val="white"/>
          <w:vertAlign w:val="superscript"/>
          <w:rtl w:val="0"/>
        </w:rPr>
        <w:t xml:space="preserve"> </w:t>
      </w:r>
      <w:r w:rsidDel="00000000" w:rsidR="00000000" w:rsidRPr="00000000">
        <w:rPr>
          <w:rtl w:val="0"/>
        </w:rPr>
      </w:r>
    </w:p>
    <w:p w:rsidR="00000000" w:rsidDel="00000000" w:rsidP="00000000" w:rsidRDefault="00000000" w:rsidRPr="00000000" w14:paraId="00000005">
      <w:pPr>
        <w:shd w:fill="ffffff" w:val="clear"/>
        <w:spacing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Cela reconnaîtra également les graves disparités sanitaires et économiques auxquelles sont confrontées les données démographiques </w:t>
      </w:r>
      <w:r w:rsidDel="00000000" w:rsidR="00000000" w:rsidRPr="00000000">
        <w:rPr>
          <w:rFonts w:ascii="Times New Roman" w:cs="Times New Roman" w:eastAsia="Times New Roman" w:hAnsi="Times New Roman"/>
          <w:rtl w:val="0"/>
        </w:rPr>
        <w:t xml:space="preserve">les </w:t>
      </w:r>
      <w:r w:rsidDel="00000000" w:rsidR="00000000" w:rsidRPr="00000000">
        <w:rPr>
          <w:rFonts w:ascii="Times New Roman" w:cs="Times New Roman" w:eastAsia="Times New Roman" w:hAnsi="Times New Roman"/>
          <w:rtl w:val="0"/>
        </w:rPr>
        <w:t xml:space="preserve">(minorité</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dans les zones urbanisées. Les communauté</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au </w:t>
      </w:r>
      <w:r w:rsidDel="00000000" w:rsidR="00000000" w:rsidRPr="00000000">
        <w:rPr>
          <w:rFonts w:ascii="Times New Roman" w:cs="Times New Roman" w:eastAsia="Times New Roman" w:hAnsi="Times New Roman"/>
          <w:rtl w:val="0"/>
        </w:rPr>
        <w:t xml:space="preserve">de </w:t>
      </w:r>
      <w:r w:rsidDel="00000000" w:rsidR="00000000" w:rsidRPr="00000000">
        <w:rPr>
          <w:rFonts w:ascii="Times New Roman" w:cs="Times New Roman" w:eastAsia="Times New Roman" w:hAnsi="Times New Roman"/>
          <w:rtl w:val="0"/>
        </w:rPr>
        <w:t xml:space="preserve">couleurs ont longtemps été soumise</w:t>
      </w:r>
      <w:r w:rsidDel="00000000" w:rsidR="00000000" w:rsidRPr="00000000">
        <w:rPr>
          <w:rFonts w:ascii="Times New Roman" w:cs="Times New Roman" w:eastAsia="Times New Roman" w:hAnsi="Times New Roman"/>
          <w:rtl w:val="0"/>
        </w:rPr>
        <w:t xml:space="preserve">s a </w:t>
      </w:r>
      <w:r w:rsidDel="00000000" w:rsidR="00000000" w:rsidRPr="00000000">
        <w:rPr>
          <w:rFonts w:ascii="Times New Roman" w:cs="Times New Roman" w:eastAsia="Times New Roman" w:hAnsi="Times New Roman"/>
          <w:rtl w:val="0"/>
        </w:rPr>
        <w:t xml:space="preserve">la discrimination sur le lieu de travail, au manque de soins de santé et ont également été victimes de redlining</w:t>
      </w:r>
      <w:r w:rsidDel="00000000" w:rsidR="00000000" w:rsidRPr="00000000">
        <w:rPr>
          <w:rFonts w:ascii="Times New Roman" w:cs="Times New Roman" w:eastAsia="Times New Roman" w:hAnsi="Times New Roman"/>
          <w:rtl w:val="0"/>
        </w:rPr>
        <w:t xml:space="preserve"> discrimination financiere. </w:t>
      </w:r>
      <w:r w:rsidDel="00000000" w:rsidR="00000000" w:rsidRPr="00000000">
        <w:rPr>
          <w:rFonts w:ascii="Times New Roman" w:cs="Times New Roman" w:eastAsia="Times New Roman" w:hAnsi="Times New Roman"/>
          <w:rtl w:val="0"/>
        </w:rPr>
        <w:t xml:space="preserve"> Bien que le COVID-19 ne fasse pas de discrimination sur la base de la race, il affecte de maniere disproportionnée ceux qui étaient désavantagés par rapport au reste de la société avant son arrivée. </w:t>
      </w:r>
      <w:r w:rsidDel="00000000" w:rsidR="00000000" w:rsidRPr="00000000">
        <w:rPr>
          <w:rFonts w:ascii="Times New Roman" w:cs="Times New Roman" w:eastAsia="Times New Roman" w:hAnsi="Times New Roman"/>
          <w:rtl w:val="0"/>
        </w:rPr>
        <w:t xml:space="preserve">Le </w:t>
      </w:r>
      <w:r w:rsidDel="00000000" w:rsidR="00000000" w:rsidRPr="00000000">
        <w:rPr>
          <w:rFonts w:ascii="Times New Roman" w:cs="Times New Roman" w:eastAsia="Times New Roman" w:hAnsi="Times New Roman"/>
          <w:rtl w:val="0"/>
        </w:rPr>
        <w:t xml:space="preserve">pourcentage de chômage dans les communautés de couleurs </w:t>
      </w:r>
      <w:r w:rsidDel="00000000" w:rsidR="00000000" w:rsidRPr="00000000">
        <w:rPr>
          <w:rFonts w:ascii="Times New Roman" w:cs="Times New Roman" w:eastAsia="Times New Roman" w:hAnsi="Times New Roman"/>
          <w:rtl w:val="0"/>
        </w:rPr>
        <w:t xml:space="preserve">étaient</w:t>
      </w:r>
      <w:r w:rsidDel="00000000" w:rsidR="00000000" w:rsidRPr="00000000">
        <w:rPr>
          <w:rFonts w:ascii="Times New Roman" w:cs="Times New Roman" w:eastAsia="Times New Roman" w:hAnsi="Times New Roman"/>
          <w:rtl w:val="0"/>
        </w:rPr>
        <w:t xml:space="preserve"> aussi astronomiquement élevé. Pour être précis, “16,8% pour les travailleurs noirs, 15,1% pour les travailleurs indiens d'Amérique et les autochtones d'Alaska et 13% pour les travailleurs hispaniques.” </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06">
      <w:pPr>
        <w:shd w:fill="ffffff" w:val="clear"/>
        <w:spacing w:before="12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Les systèmes pénitentiaires ont également été fortement touchés par la COVID-19. Il y a eu une déconnexion continue entre les responsables de la santé publique et les experts de la santé carcérale qui a été mise en évidence à la suite de COVID-19. Cela a renforcé l'idée que la “la santé correctionnelle est la santé publique.” </w:t>
      </w:r>
      <w:r w:rsidDel="00000000" w:rsidR="00000000" w:rsidRPr="00000000">
        <w:rPr>
          <w:rFonts w:ascii="Times New Roman" w:cs="Times New Roman" w:eastAsia="Times New Roman" w:hAnsi="Times New Roman"/>
          <w:highlight w:val="white"/>
          <w:vertAlign w:val="superscript"/>
        </w:rPr>
        <w:footnoteReference w:customMarkFollows="0" w:id="4"/>
      </w:r>
      <w:r w:rsidDel="00000000" w:rsidR="00000000" w:rsidRPr="00000000">
        <w:rPr>
          <w:rFonts w:ascii="Times New Roman" w:cs="Times New Roman" w:eastAsia="Times New Roman" w:hAnsi="Times New Roman"/>
          <w:highlight w:val="white"/>
          <w:rtl w:val="0"/>
        </w:rPr>
        <w:t xml:space="preserve"> En raison des diverses personnes qui se rendent dans les établissements correctionnels et en reviennent, il est devenu de plus en plus difficile de rechercher les contacts.</w:t>
      </w:r>
    </w:p>
    <w:p w:rsidR="00000000" w:rsidDel="00000000" w:rsidP="00000000" w:rsidRDefault="00000000" w:rsidRPr="00000000" w14:paraId="00000007">
      <w:pPr>
        <w:shd w:fill="ffffff" w:val="clear"/>
        <w:spacing w:before="120" w:lineRule="auto"/>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également été constaté</w:t>
      </w:r>
      <w:r w:rsidDel="00000000" w:rsidR="00000000" w:rsidRPr="00000000">
        <w:rPr>
          <w:rFonts w:ascii="Times New Roman" w:cs="Times New Roman" w:eastAsia="Times New Roman" w:hAnsi="Times New Roman"/>
          <w:rtl w:val="0"/>
        </w:rPr>
        <w:t xml:space="preserve"> que les personnes incarcérées dans les établissements correctionnels ont un taux élevé de problèmes de santé préexistants. De même, les prisons ont une forte population de personnes souffrant de maladie mentale, de problèmes de toxicomanie et de personnes qui viennent de logements instables. Ces facteurs les exposent à un risque plus élevé de contracter des maladies infectieuses. Dans les établissements correctionnels, il est également assez difficile de répondre aux besoins sanitaires de base ainsi qu'à la vie privée en raison de la proximité. De loin, le plus grand problème auquel les établissements correctionnels sont actuellement confrontés est la capacité de prendre les précautions nécessaires pour stopper la propagation du virus.</w:t>
      </w:r>
      <w:r w:rsidDel="00000000" w:rsidR="00000000" w:rsidRPr="00000000">
        <w:rPr>
          <w:rtl w:val="0"/>
        </w:rPr>
      </w:r>
    </w:p>
    <w:p w:rsidR="00000000" w:rsidDel="00000000" w:rsidP="00000000" w:rsidRDefault="00000000" w:rsidRPr="00000000" w14:paraId="00000008">
      <w:pPr>
        <w:shd w:fill="ffffff" w:val="clear"/>
        <w:spacing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autre population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qui a été confrontée aux mêmes problèmes que les établissements correctionnels </w:t>
      </w:r>
      <w:r w:rsidDel="00000000" w:rsidR="00000000" w:rsidRPr="00000000">
        <w:rPr>
          <w:rFonts w:ascii="Times New Roman" w:cs="Times New Roman" w:eastAsia="Times New Roman" w:hAnsi="Times New Roman"/>
          <w:rtl w:val="0"/>
        </w:rPr>
        <w:t xml:space="preserve">est celle qui réside dans</w:t>
      </w:r>
      <w:r w:rsidDel="00000000" w:rsidR="00000000" w:rsidRPr="00000000">
        <w:rPr>
          <w:rFonts w:ascii="Times New Roman" w:cs="Times New Roman" w:eastAsia="Times New Roman" w:hAnsi="Times New Roman"/>
          <w:rtl w:val="0"/>
        </w:rPr>
        <w:t xml:space="preserve"> les établissements d’aide à la vie autonome.  Presque toute sa population est plus à risque de contracter le virus à cause de son âge et/ou de ses maladies chroniques. De même, dans ces établissements, il est plus facile de propager le virus en raison du contact étroit entre les résidents et le personnel. En moyenne, un </w:t>
      </w:r>
      <w:r w:rsidDel="00000000" w:rsidR="00000000" w:rsidRPr="00000000">
        <w:rPr>
          <w:rFonts w:ascii="Times New Roman" w:cs="Times New Roman" w:eastAsia="Times New Roman" w:hAnsi="Times New Roman"/>
          <w:rtl w:val="0"/>
        </w:rPr>
        <w:t xml:space="preserve">résident</w:t>
      </w:r>
      <w:r w:rsidDel="00000000" w:rsidR="00000000" w:rsidRPr="00000000">
        <w:rPr>
          <w:rFonts w:ascii="Times New Roman" w:cs="Times New Roman" w:eastAsia="Times New Roman" w:hAnsi="Times New Roman"/>
          <w:u w:val="single"/>
          <w:rtl w:val="0"/>
        </w:rPr>
        <w:t xml:space="preserve"> assiste </w:t>
      </w:r>
      <w:r w:rsidDel="00000000" w:rsidR="00000000" w:rsidRPr="00000000">
        <w:rPr>
          <w:rFonts w:ascii="Times New Roman" w:cs="Times New Roman" w:eastAsia="Times New Roman" w:hAnsi="Times New Roman"/>
          <w:rtl w:val="0"/>
        </w:rPr>
        <w:t xml:space="preserve">sur</w:t>
      </w:r>
      <w:r w:rsidDel="00000000" w:rsidR="00000000" w:rsidRPr="00000000">
        <w:rPr>
          <w:rFonts w:ascii="Times New Roman" w:cs="Times New Roman" w:eastAsia="Times New Roman" w:hAnsi="Times New Roman"/>
          <w:rtl w:val="0"/>
        </w:rPr>
        <w:t xml:space="preserve"> cinq était atteint du virus, par opposition à un sur quarante dans le grand public.</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Comme elles ne sont pas réglementées par le gouvernement fédéral, il s’est avéré difficile de recueillir des données au sein de populations assistées. Cela laisse aux Etats le choix de publier ou non les données.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Seuls quatorze Etats signalent des établissements d’aide à la vie autonome  et la moitié de ces Etats signalent des décès parmi le personnel de cet établissement. En raison de quantités limitées de données concernant l’aide à la vie autonome, de nombreuses études n’ont pas permis de bien comprendre l’effet de la COVID-19 sur les établissements d’aide à la vie autonome.</w:t>
      </w:r>
      <w:r w:rsidDel="00000000" w:rsidR="00000000" w:rsidRPr="00000000">
        <w:rPr>
          <w:rFonts w:ascii="Times New Roman" w:cs="Times New Roman" w:eastAsia="Times New Roman" w:hAnsi="Times New Roman"/>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09">
      <w:pPr>
        <w:shd w:fill="ffffff" w:val="clear"/>
        <w:spacing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nos échecs au sein du système d'incarcération et notre incapacité à protéger nos personnes âgées, </w:t>
      </w:r>
      <w:r w:rsidDel="00000000" w:rsidR="00000000" w:rsidRPr="00000000">
        <w:rPr>
          <w:rFonts w:ascii="Times New Roman" w:cs="Times New Roman" w:eastAsia="Times New Roman" w:hAnsi="Times New Roman"/>
          <w:rtl w:val="0"/>
        </w:rPr>
        <w:t xml:space="preserve">le </w:t>
      </w:r>
      <w:r w:rsidDel="00000000" w:rsidR="00000000" w:rsidRPr="00000000">
        <w:rPr>
          <w:rFonts w:ascii="Times New Roman" w:cs="Times New Roman" w:eastAsia="Times New Roman" w:hAnsi="Times New Roman"/>
          <w:rtl w:val="0"/>
        </w:rPr>
        <w:t xml:space="preserve">COVID-19 a mis en lumière bon nombre </w:t>
      </w:r>
      <w:r w:rsidDel="00000000" w:rsidR="00000000" w:rsidRPr="00000000">
        <w:rPr>
          <w:rFonts w:ascii="Times New Roman" w:cs="Times New Roman" w:eastAsia="Times New Roman" w:hAnsi="Times New Roman"/>
          <w:rtl w:val="0"/>
        </w:rPr>
        <w:t xml:space="preserve">de</w:t>
      </w:r>
      <w:r w:rsidDel="00000000" w:rsidR="00000000" w:rsidRPr="00000000">
        <w:rPr>
          <w:rFonts w:ascii="Times New Roman" w:cs="Times New Roman" w:eastAsia="Times New Roman" w:hAnsi="Times New Roman"/>
          <w:rtl w:val="0"/>
        </w:rPr>
        <w:t xml:space="preserve"> lacunes de notre société qui doivent être </w:t>
      </w:r>
      <w:r w:rsidDel="00000000" w:rsidR="00000000" w:rsidRPr="00000000">
        <w:rPr>
          <w:rFonts w:ascii="Times New Roman" w:cs="Times New Roman" w:eastAsia="Times New Roman" w:hAnsi="Times New Roman"/>
          <w:rtl w:val="0"/>
        </w:rPr>
        <w:t xml:space="preserve">abordés.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A">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color w:val="333333"/>
          <w:sz w:val="20"/>
          <w:szCs w:val="20"/>
          <w:rtl w:val="0"/>
        </w:rPr>
        <w:t xml:space="preserve">Florida, Richard, et al. "How Life in Our Cities Will Look after the Coronavirus Pandemic." </w:t>
      </w:r>
      <w:r w:rsidDel="00000000" w:rsidR="00000000" w:rsidRPr="00000000">
        <w:rPr>
          <w:rFonts w:ascii="Times New Roman" w:cs="Times New Roman" w:eastAsia="Times New Roman" w:hAnsi="Times New Roman"/>
          <w:i w:val="1"/>
          <w:color w:val="333333"/>
          <w:sz w:val="20"/>
          <w:szCs w:val="20"/>
          <w:rtl w:val="0"/>
        </w:rPr>
        <w:t xml:space="preserve">Foreign Policy</w:t>
      </w:r>
      <w:r w:rsidDel="00000000" w:rsidR="00000000" w:rsidRPr="00000000">
        <w:rPr>
          <w:rFonts w:ascii="Times New Roman" w:cs="Times New Roman" w:eastAsia="Times New Roman" w:hAnsi="Times New Roman"/>
          <w:color w:val="333333"/>
          <w:sz w:val="20"/>
          <w:szCs w:val="20"/>
          <w:rtl w:val="0"/>
        </w:rPr>
        <w:t xml:space="preserve">, foreignpolicy.com/2020/05/01/ future-of-cities-urban-life-after-coronavirus-pandemic/. </w:t>
      </w:r>
    </w:p>
    <w:p w:rsidR="00000000" w:rsidDel="00000000" w:rsidP="00000000" w:rsidRDefault="00000000" w:rsidRPr="00000000" w14:paraId="0000000B">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0C">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rtl w:val="0"/>
        </w:rPr>
        <w:t xml:space="preserve">Politico Magazine. "Coronavirus Will Change the World Permanently. Here's How."</w:t>
      </w:r>
      <w:r w:rsidDel="00000000" w:rsidR="00000000" w:rsidRPr="00000000">
        <w:rPr>
          <w:rFonts w:ascii="Times New Roman" w:cs="Times New Roman" w:eastAsia="Times New Roman" w:hAnsi="Times New Roman"/>
          <w:i w:val="1"/>
          <w:color w:val="333333"/>
          <w:sz w:val="20"/>
          <w:szCs w:val="20"/>
          <w:rtl w:val="0"/>
        </w:rPr>
        <w:t xml:space="preserve">Politico</w:t>
      </w:r>
      <w:r w:rsidDel="00000000" w:rsidR="00000000" w:rsidRPr="00000000">
        <w:rPr>
          <w:rFonts w:ascii="Times New Roman" w:cs="Times New Roman" w:eastAsia="Times New Roman" w:hAnsi="Times New Roman"/>
          <w:color w:val="333333"/>
          <w:sz w:val="20"/>
          <w:szCs w:val="20"/>
          <w:rtl w:val="0"/>
        </w:rPr>
        <w:t xml:space="preserve">, www.politico.com/news/magazine/2020/03/19/ coronavirus-effect-economy-life-society-analysis-covid-135579. </w:t>
      </w:r>
    </w:p>
    <w:p w:rsidR="00000000" w:rsidDel="00000000" w:rsidP="00000000" w:rsidRDefault="00000000" w:rsidRPr="00000000" w14:paraId="0000000D">
      <w:pPr>
        <w:spacing w:line="240" w:lineRule="auto"/>
        <w:rPr>
          <w:sz w:val="18"/>
          <w:szCs w:val="18"/>
        </w:rPr>
      </w:pPr>
      <w:r w:rsidDel="00000000" w:rsidR="00000000" w:rsidRPr="00000000">
        <w:rPr>
          <w:rtl w:val="0"/>
        </w:rPr>
      </w:r>
    </w:p>
  </w:footnote>
  <w:footnote w:id="2">
    <w:p w:rsidR="00000000" w:rsidDel="00000000" w:rsidP="00000000" w:rsidRDefault="00000000" w:rsidRPr="00000000" w14:paraId="0000000E">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color w:val="333333"/>
          <w:sz w:val="20"/>
          <w:szCs w:val="20"/>
          <w:rtl w:val="0"/>
        </w:rPr>
        <w:t xml:space="preserve">Florida, Richard, et al. "How Life in Our Cities Will Look after the Coronavirus Pandemic." </w:t>
      </w:r>
      <w:r w:rsidDel="00000000" w:rsidR="00000000" w:rsidRPr="00000000">
        <w:rPr>
          <w:rFonts w:ascii="Times New Roman" w:cs="Times New Roman" w:eastAsia="Times New Roman" w:hAnsi="Times New Roman"/>
          <w:i w:val="1"/>
          <w:color w:val="333333"/>
          <w:sz w:val="20"/>
          <w:szCs w:val="20"/>
          <w:rtl w:val="0"/>
        </w:rPr>
        <w:t xml:space="preserve">Foreign Policy</w:t>
      </w:r>
      <w:r w:rsidDel="00000000" w:rsidR="00000000" w:rsidRPr="00000000">
        <w:rPr>
          <w:rFonts w:ascii="Times New Roman" w:cs="Times New Roman" w:eastAsia="Times New Roman" w:hAnsi="Times New Roman"/>
          <w:color w:val="333333"/>
          <w:sz w:val="20"/>
          <w:szCs w:val="20"/>
          <w:rtl w:val="0"/>
        </w:rPr>
        <w:t xml:space="preserve">, foreignpolicy.com/2020/05/01/future-of-cities-urban-life-after-coronavirus-pandemic/. </w:t>
      </w:r>
    </w:p>
    <w:p w:rsidR="00000000" w:rsidDel="00000000" w:rsidP="00000000" w:rsidRDefault="00000000" w:rsidRPr="00000000" w14:paraId="0000000F">
      <w:pPr>
        <w:shd w:fill="ffffff" w:val="clear"/>
        <w:rPr>
          <w:rFonts w:ascii="Times New Roman" w:cs="Times New Roman" w:eastAsia="Times New Roman" w:hAnsi="Times New Roman"/>
          <w:color w:val="333333"/>
          <w:sz w:val="20"/>
          <w:szCs w:val="20"/>
        </w:rPr>
      </w:pPr>
      <w:r w:rsidDel="00000000" w:rsidR="00000000" w:rsidRPr="00000000">
        <w:rPr>
          <w:rtl w:val="0"/>
        </w:rPr>
      </w:r>
    </w:p>
  </w:footnote>
  <w:footnote w:id="3">
    <w:p w:rsidR="00000000" w:rsidDel="00000000" w:rsidP="00000000" w:rsidRDefault="00000000" w:rsidRPr="00000000" w14:paraId="00000010">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rtl w:val="0"/>
        </w:rPr>
        <w:t xml:space="preserve">Maxwell, Conor, and Danyelle Solomon. "The Economic Fallout of the Coronavirus for People of Color." </w:t>
      </w:r>
      <w:r w:rsidDel="00000000" w:rsidR="00000000" w:rsidRPr="00000000">
        <w:rPr>
          <w:rFonts w:ascii="Times New Roman" w:cs="Times New Roman" w:eastAsia="Times New Roman" w:hAnsi="Times New Roman"/>
          <w:i w:val="1"/>
          <w:color w:val="333333"/>
          <w:sz w:val="20"/>
          <w:szCs w:val="20"/>
          <w:rtl w:val="0"/>
        </w:rPr>
        <w:t xml:space="preserve">Center for American Progress</w:t>
      </w:r>
      <w:r w:rsidDel="00000000" w:rsidR="00000000" w:rsidRPr="00000000">
        <w:rPr>
          <w:rFonts w:ascii="Times New Roman" w:cs="Times New Roman" w:eastAsia="Times New Roman" w:hAnsi="Times New Roman"/>
          <w:color w:val="333333"/>
          <w:sz w:val="20"/>
          <w:szCs w:val="20"/>
          <w:rtl w:val="0"/>
        </w:rPr>
        <w:t xml:space="preserve">,  www.americanprogress.org/issues/race/news/2020/04/14/483125/economic-fallout-coronavirus-people-color/. </w:t>
      </w:r>
    </w:p>
    <w:p w:rsidR="00000000" w:rsidDel="00000000" w:rsidP="00000000" w:rsidRDefault="00000000" w:rsidRPr="00000000" w14:paraId="00000011">
      <w:pPr>
        <w:shd w:fill="ffffff" w:val="clear"/>
        <w:rPr>
          <w:rFonts w:ascii="Times New Roman" w:cs="Times New Roman" w:eastAsia="Times New Roman" w:hAnsi="Times New Roman"/>
          <w:color w:val="333333"/>
          <w:sz w:val="20"/>
          <w:szCs w:val="20"/>
        </w:rPr>
      </w:pPr>
      <w:r w:rsidDel="00000000" w:rsidR="00000000" w:rsidRPr="00000000">
        <w:rPr>
          <w:rtl w:val="0"/>
        </w:rPr>
      </w:r>
    </w:p>
  </w:footnote>
  <w:footnote w:id="4">
    <w:p w:rsidR="00000000" w:rsidDel="00000000" w:rsidP="00000000" w:rsidRDefault="00000000" w:rsidRPr="00000000" w14:paraId="00000012">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rtl w:val="0"/>
        </w:rPr>
        <w:t xml:space="preserve">Jordan, Alison O., et al. </w:t>
      </w:r>
      <w:r w:rsidDel="00000000" w:rsidR="00000000" w:rsidRPr="00000000">
        <w:rPr>
          <w:rFonts w:ascii="Times New Roman" w:cs="Times New Roman" w:eastAsia="Times New Roman" w:hAnsi="Times New Roman"/>
          <w:i w:val="1"/>
          <w:color w:val="333333"/>
          <w:sz w:val="20"/>
          <w:szCs w:val="20"/>
          <w:rtl w:val="0"/>
        </w:rPr>
        <w:t xml:space="preserve">Addressing COVID-19 and Correctional Facilities: A</w:t>
      </w:r>
      <w:r w:rsidDel="00000000" w:rsidR="00000000" w:rsidRPr="00000000">
        <w:rPr>
          <w:rFonts w:ascii="Times New Roman" w:cs="Times New Roman" w:eastAsia="Times New Roman" w:hAnsi="Times New Roman"/>
          <w:color w:val="333333"/>
          <w:sz w:val="20"/>
          <w:szCs w:val="20"/>
          <w:rtl w:val="0"/>
        </w:rPr>
        <w:t xml:space="preserve"> </w:t>
      </w:r>
      <w:r w:rsidDel="00000000" w:rsidR="00000000" w:rsidRPr="00000000">
        <w:rPr>
          <w:rFonts w:ascii="Times New Roman" w:cs="Times New Roman" w:eastAsia="Times New Roman" w:hAnsi="Times New Roman"/>
          <w:i w:val="1"/>
          <w:color w:val="333333"/>
          <w:sz w:val="20"/>
          <w:szCs w:val="20"/>
          <w:rtl w:val="0"/>
        </w:rPr>
        <w:t xml:space="preserve">Social Work Imperative</w:t>
      </w:r>
      <w:r w:rsidDel="00000000" w:rsidR="00000000" w:rsidRPr="00000000">
        <w:rPr>
          <w:rFonts w:ascii="Times New Roman" w:cs="Times New Roman" w:eastAsia="Times New Roman" w:hAnsi="Times New Roman"/>
          <w:color w:val="333333"/>
          <w:sz w:val="20"/>
          <w:szCs w:val="20"/>
          <w:rtl w:val="0"/>
        </w:rPr>
        <w:t xml:space="preserve">. June 2020, www.socialworkers.org/</w:t>
      </w:r>
    </w:p>
    <w:p w:rsidR="00000000" w:rsidDel="00000000" w:rsidP="00000000" w:rsidRDefault="00000000" w:rsidRPr="00000000" w14:paraId="00000013">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4">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rtl w:val="0"/>
        </w:rPr>
        <w:t xml:space="preserve">True, Sarah, et al. "Overlooked and Undercounted: The Growing Impact of COVID-19 on Assisted Living Facilities." </w:t>
      </w:r>
      <w:r w:rsidDel="00000000" w:rsidR="00000000" w:rsidRPr="00000000">
        <w:rPr>
          <w:rFonts w:ascii="Times New Roman" w:cs="Times New Roman" w:eastAsia="Times New Roman" w:hAnsi="Times New Roman"/>
          <w:i w:val="1"/>
          <w:color w:val="333333"/>
          <w:sz w:val="20"/>
          <w:szCs w:val="20"/>
          <w:rtl w:val="0"/>
        </w:rPr>
        <w:t xml:space="preserve">KFF</w:t>
      </w:r>
      <w:r w:rsidDel="00000000" w:rsidR="00000000" w:rsidRPr="00000000">
        <w:rPr>
          <w:rFonts w:ascii="Times New Roman" w:cs="Times New Roman" w:eastAsia="Times New Roman" w:hAnsi="Times New Roman"/>
          <w:color w:val="333333"/>
          <w:sz w:val="20"/>
          <w:szCs w:val="20"/>
          <w:rtl w:val="0"/>
        </w:rPr>
        <w:t xml:space="preserve">, 1 Sept. 2020, www.kff.org/ coronavirus-covid-19/issue-brief/overlooked-and-undercounted-the-growing-impact-of-covid-19-on-assisted-living-facilities/. </w:t>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6">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rtl w:val="0"/>
        </w:rPr>
        <w:t xml:space="preserve">Yi, Sarah H., et al. "Characterization of COVID-19 in Assisted Living Facilities  — 39 States, October 2020." </w:t>
      </w:r>
      <w:r w:rsidDel="00000000" w:rsidR="00000000" w:rsidRPr="00000000">
        <w:rPr>
          <w:rFonts w:ascii="Times New Roman" w:cs="Times New Roman" w:eastAsia="Times New Roman" w:hAnsi="Times New Roman"/>
          <w:i w:val="1"/>
          <w:color w:val="333333"/>
          <w:sz w:val="20"/>
          <w:szCs w:val="20"/>
          <w:rtl w:val="0"/>
        </w:rPr>
        <w:t xml:space="preserve">CDC</w:t>
      </w:r>
      <w:r w:rsidDel="00000000" w:rsidR="00000000" w:rsidRPr="00000000">
        <w:rPr>
          <w:rFonts w:ascii="Times New Roman" w:cs="Times New Roman" w:eastAsia="Times New Roman" w:hAnsi="Times New Roman"/>
          <w:color w:val="333333"/>
          <w:sz w:val="20"/>
          <w:szCs w:val="20"/>
          <w:rtl w:val="0"/>
        </w:rPr>
        <w:t xml:space="preserve">. </w:t>
      </w:r>
      <w:r w:rsidDel="00000000" w:rsidR="00000000" w:rsidRPr="00000000">
        <w:rPr>
          <w:rFonts w:ascii="Times New Roman" w:cs="Times New Roman" w:eastAsia="Times New Roman" w:hAnsi="Times New Roman"/>
          <w:i w:val="1"/>
          <w:color w:val="333333"/>
          <w:sz w:val="20"/>
          <w:szCs w:val="20"/>
          <w:rtl w:val="0"/>
        </w:rPr>
        <w:t xml:space="preserve">Centers for Disease Control andPrevention</w:t>
      </w:r>
      <w:r w:rsidDel="00000000" w:rsidR="00000000" w:rsidRPr="00000000">
        <w:rPr>
          <w:rFonts w:ascii="Times New Roman" w:cs="Times New Roman" w:eastAsia="Times New Roman" w:hAnsi="Times New Roman"/>
          <w:color w:val="333333"/>
          <w:sz w:val="20"/>
          <w:szCs w:val="20"/>
          <w:rtl w:val="0"/>
        </w:rPr>
        <w:t xml:space="preserve">, 20 Nov. 2020, www.cdc.gov/mmwr/volumes/69/wr/mm6946a3.htm. </w:t>
      </w:r>
    </w:p>
    <w:p w:rsidR="00000000" w:rsidDel="00000000" w:rsidP="00000000" w:rsidRDefault="00000000" w:rsidRPr="00000000" w14:paraId="00000017">
      <w:pPr>
        <w:shd w:fill="ffffff" w:val="clear"/>
        <w:rPr>
          <w:rFonts w:ascii="Times New Roman" w:cs="Times New Roman" w:eastAsia="Times New Roman" w:hAnsi="Times New Roman"/>
          <w:color w:val="333333"/>
          <w:sz w:val="20"/>
          <w:szCs w:val="20"/>
        </w:rPr>
      </w:pPr>
      <w:r w:rsidDel="00000000" w:rsidR="00000000" w:rsidRPr="00000000">
        <w:rPr>
          <w:rtl w:val="0"/>
        </w:rPr>
      </w:r>
    </w:p>
  </w:footnote>
  <w:footnote w:id="7">
    <w:p w:rsidR="00000000" w:rsidDel="00000000" w:rsidP="00000000" w:rsidRDefault="00000000" w:rsidRPr="00000000" w14:paraId="00000018">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333333"/>
          <w:sz w:val="20"/>
          <w:szCs w:val="20"/>
          <w:rtl w:val="0"/>
        </w:rPr>
        <w:t xml:space="preserve">True, Sarah, et al. "Overlooked and Undercounted: The Growing Impact of COVID-19 on Assisted Living Facilities." </w:t>
      </w:r>
      <w:r w:rsidDel="00000000" w:rsidR="00000000" w:rsidRPr="00000000">
        <w:rPr>
          <w:rFonts w:ascii="Times New Roman" w:cs="Times New Roman" w:eastAsia="Times New Roman" w:hAnsi="Times New Roman"/>
          <w:i w:val="1"/>
          <w:color w:val="333333"/>
          <w:sz w:val="20"/>
          <w:szCs w:val="20"/>
          <w:rtl w:val="0"/>
        </w:rPr>
        <w:t xml:space="preserve">KFF</w:t>
      </w:r>
      <w:r w:rsidDel="00000000" w:rsidR="00000000" w:rsidRPr="00000000">
        <w:rPr>
          <w:rFonts w:ascii="Times New Roman" w:cs="Times New Roman" w:eastAsia="Times New Roman" w:hAnsi="Times New Roman"/>
          <w:color w:val="333333"/>
          <w:sz w:val="20"/>
          <w:szCs w:val="20"/>
          <w:rtl w:val="0"/>
        </w:rPr>
        <w:t xml:space="preserve">, 1 Sept. 2020, www.kff.org/ coronavirus-covid-19/issue-brief/overlooked-and-undercounted-the-growing-impact-of-covid-19-on-assisted-living-facilities/. </w:t>
      </w:r>
    </w:p>
    <w:p w:rsidR="00000000" w:rsidDel="00000000" w:rsidP="00000000" w:rsidRDefault="00000000" w:rsidRPr="00000000" w14:paraId="00000019">
      <w:pPr>
        <w:spacing w:line="240" w:lineRule="auto"/>
        <w:rPr>
          <w:rFonts w:ascii="Times New Roman" w:cs="Times New Roman" w:eastAsia="Times New Roman" w:hAnsi="Times New Roman"/>
          <w:color w:val="333333"/>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