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b5394"/>
          <w:sz w:val="28"/>
          <w:szCs w:val="28"/>
          <w:rtl w:val="0"/>
        </w:rPr>
        <w:t xml:space="preserve">Management Globale</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 xml:space="preserve">Écrit par: Maya Mukherjee</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Tandis que la COVID-19 ravage la population mondiale, il est important de considérer les caractéristiques sociétales qui ont permis à la maladie de se propager. Ces mêmes caractéristiques nous avertissent de la réponse gouvernementale au changement climatique. La COVID-19, comme le changement climatique, est un problème mondial qui ne peut qu'être résolu à l'échelle internationale. </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COVID-19 a été découverte en octobre 2019 et provient de la ville de Wuhan en Chine. Les scientifiques pensent que la maladie a été transmise par les chauves-souris, mais on ignore la façon dont elle s'est propagée aux humains. Depuis 2019, la COVID-19 s'est répandu dans le monde entier, surtout dans certaines régions d'Europe et aux États-Unis. Alors que le bilan de morts dépasse les 2 millions de personnes dans le monde</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il faut analyser l'impact de la maladie, surtout aux États-Unis. </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Pendant la pandémie de la COVID-19, la méfiance à l'égard de la science a rendu la réaction gouvernementale moins efficace. Au cours des dix derniers mois, des hommes politiques ont diffusé de fausses informations sur le virus. Par exemple, le président Donald Trump a prétendu sur Twitter que le CDC exagérait le nombre de décès à cause du virus.</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En outre, Anthony Fauci, le principal expert en maladies infectieuses du pays, n’a pas, dès le début, recommandé à la population de porter des masques</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(une maladresse qu'il a corrigé plus tard). Les hauts fonctionnaires du gouvernement ont mélangé développement de la science et inexactitudes afin de contrecarrer la croyance dans le fait scientifique. Des remarques de ce genre, émises par des hommes d'État, ont minimisé la gravité du virus et l'importance de prendre des précautions. </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 type de manipulation n'a pas seulement été réalisé par les Républicains. Le démocrate Andrew Cuomo, gouverneur de New York, a déclaré le 19 mars qu'il pensait que "la peur est plus dangereuse que le virus en ce moment,”</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 ce qui dédramatisait la gravité du virus. Il faut noter que ce commentaire a eu lieu le jour où 1 133 nouveaux cas du virus avaient été recensés.</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rtl w:val="0"/>
        </w:rPr>
        <w:t xml:space="preserve"> Les deux partis politiques ont répandu de fausses informations sur la COVID-19 alors que la situation évoluait rapidement; les deux partis n’ont pas réussi à créer un système de santé publique efficace. En outre, les deux principaux partis politiques n’ont pas trouvé de terrain d’entente en ce qui concernaient les règles à suivre, le sauvetage financier, le financement de l’assurance des soins et l'aide pour les dettes de santé. Des deux côtés, les décisions partisanes ont empêché toute unité, ce qui n’a fait que prolonger la pandémie, nuisant ainsi au peuple américain et à l'économie.</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désinformation, propagée par les hommes d'État, a des impacts bien au-delà de la COVID-19. Le changement climatique est une crise aussi controversée entre les deux partis en ce qui concerne la cause, l'urgence et l'impact économique. Par exemple, en 2019, le gouverneur républicain de Floride, Ron DeSantis, n’a pas répondu quand on lui a demandé s'il croyait que les humains étaient à l'origine du changement climatique.</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Fonts w:ascii="Times New Roman" w:cs="Times New Roman" w:eastAsia="Times New Roman" w:hAnsi="Times New Roman"/>
          <w:rtl w:val="0"/>
        </w:rPr>
        <w:t xml:space="preserve"> Comme dans le cas de la COVID-19, contourner un problème grave et inévitable ne fera qu'aggraver les situations. Par exemple, le "Green New Deal" (au coût estimé à 172 milliards de dollars), et dont l’objectif est de bâtir une industrie énergétique qui n'emploie plus de gaz à effet de serre d'ici 2040, n’a pas été voté au sénat au printemps 2019.</w:t>
      </w:r>
      <w:r w:rsidDel="00000000" w:rsidR="00000000" w:rsidRPr="00000000">
        <w:rPr>
          <w:rFonts w:ascii="Times New Roman" w:cs="Times New Roman" w:eastAsia="Times New Roman" w:hAnsi="Times New Roman"/>
          <w:vertAlign w:val="superscript"/>
        </w:rPr>
        <w:footnoteReference w:customMarkFollows="0" w:id="6"/>
      </w:r>
      <w:r w:rsidDel="00000000" w:rsidR="00000000" w:rsidRPr="00000000">
        <w:rPr>
          <w:rFonts w:ascii="Times New Roman" w:cs="Times New Roman" w:eastAsia="Times New Roman" w:hAnsi="Times New Roman"/>
          <w:rtl w:val="0"/>
        </w:rPr>
        <w:t xml:space="preserve"> L'avenir du changement climatique est très négatif puisque les deux partis politiques ne parviennent pas à s’accorder sur une solution pour améliorer les infrastructures essentielles à la sécurité économique et civile des États-Unis.</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réponse à la COVID-19 a été incohérente aux États-Unis à cause du gouvernement fédéral qui n’a pas fourni de plan unifié. Alors que les zones d'infection élevée ricochent dans les 50 états, il est évident qu'une réponse unifiée est essentielle pour combattre la COVID-19 de manière efficace. La cause sous-jacente de cette réponse décousue est le manque d'accord entre les partis politiques. Chaque état, ville et comté a alors la possibilité de choisir sa propre réponse à la COVID-19. Les différentes actions entreprises entre les États de droite et de gauche ont entraîné un nombre accablant de nouveaux cas du virus et de décès conséquents. </w:t>
      </w:r>
      <w:r w:rsidDel="00000000" w:rsidR="00000000" w:rsidRPr="00000000">
        <w:rPr>
          <w:rFonts w:ascii="Times New Roman" w:cs="Times New Roman" w:eastAsia="Times New Roman" w:hAnsi="Times New Roman"/>
          <w:vertAlign w:val="superscript"/>
        </w:rPr>
        <w:footnoteReference w:customMarkFollows="0" w:id="7"/>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Corée du Sud a montré la voie. Elle a ainsi prouvé qu'un gouvernement unifié était essentiel pour combattre de façon efficace la COVID-19. Un traçage agressif à partir de février et un confinement d'un mois ont permis au gouvernement de contenir le virus à la fin de mars. Bien que la grande majorité de la population ait respecté les ordres de quarantaine, il y a eu évidemment des gens qui ont refusé de rester chez eux. Cependant, la principale différence entre les États-Unis et la Corée est que cette dernière a interdit à ceux qui étaient exposés au virus de quitter leur maison. La Corée du Sud, comme les États-Unis, a connu une contestation politique à sa réponse au COVID-19. Le Premier ministre, Chung Sye-Kyun, en ne portant pas de masque, a normalisé cette pratique, et le Président en affirmant que le virus disparaîtrait en février s’est opposé au confinement. Tous les deux ont changé d'avis, après que des preuves irréfutables sur les ravages commis par le virus leur ont été présentées. </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12">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réponse remarquable de la Corée du Sud à la COVID-19 s’est construite sur l'unité politique et la véracité des faits scientifiques.</w:t>
      </w:r>
      <w:r w:rsidDel="00000000" w:rsidR="00000000" w:rsidRPr="00000000">
        <w:rPr>
          <w:rFonts w:ascii="Times New Roman" w:cs="Times New Roman" w:eastAsia="Times New Roman" w:hAnsi="Times New Roman"/>
          <w:vertAlign w:val="superscript"/>
        </w:rPr>
        <w:footnoteReference w:customMarkFollows="0" w:id="8"/>
      </w:r>
      <w:r w:rsidDel="00000000" w:rsidR="00000000" w:rsidRPr="00000000">
        <w:rPr>
          <w:rFonts w:ascii="Times New Roman" w:cs="Times New Roman" w:eastAsia="Times New Roman" w:hAnsi="Times New Roman"/>
          <w:rtl w:val="0"/>
        </w:rPr>
        <w:t xml:space="preserve"> La Corée du Sud nous montre l'exemple. Cela réaffirme à quel point un gouvernement unifié est vital pour lutter contre la pandémie. </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outre, la COVID-19 reflète le racisme systématique aux États-Unis. Les minorités ethniques et religieuses sont les plus touchées par la COVID-19 à cause de la discrimination raciale sous-jacente dans l'éducation, le logement et les services de santé. Les écoles des quartiers minoritaires ont un taux d'abandon plus élevé et des résultats aux tests standardisés plus faibles que les écoles des quartiers blancs. Par conséquent, les élèves de ces communautés ont tendance à avoir moins de chance d'aller à l'université et reçoivent moins d'opportunités de travail. Les emplois mal payés tels que ceux dans les fermes, les usines, les épiceries et les transports publics sont tous occupés de manière disproportionnée par des minorités.</w:t>
      </w:r>
      <w:r w:rsidDel="00000000" w:rsidR="00000000" w:rsidRPr="00000000">
        <w:rPr>
          <w:rFonts w:ascii="Times New Roman" w:cs="Times New Roman" w:eastAsia="Times New Roman" w:hAnsi="Times New Roman"/>
          <w:vertAlign w:val="superscript"/>
        </w:rPr>
        <w:footnoteReference w:customMarkFollows="0" w:id="9"/>
      </w:r>
      <w:r w:rsidDel="00000000" w:rsidR="00000000" w:rsidRPr="00000000">
        <w:rPr>
          <w:rFonts w:ascii="Times New Roman" w:cs="Times New Roman" w:eastAsia="Times New Roman" w:hAnsi="Times New Roman"/>
          <w:rtl w:val="0"/>
        </w:rPr>
        <w:t xml:space="preserve"> Ces emplois ont une flexibilité limitée même pendant la pandémie et mettent ainsi les salariés en danger. Les personnes qui ont fait des études supérieures ont des métiers moins à risque. Les logements surpeuplés, ainsi que les hôpitaux sous-financés, sont des caractéristiques des quartiers minoritaires. </w:t>
      </w:r>
      <w:r w:rsidDel="00000000" w:rsidR="00000000" w:rsidRPr="00000000">
        <w:rPr>
          <w:rFonts w:ascii="Times New Roman" w:cs="Times New Roman" w:eastAsia="Times New Roman" w:hAnsi="Times New Roman"/>
          <w:vertAlign w:val="superscript"/>
        </w:rPr>
        <w:footnoteReference w:customMarkFollows="0" w:id="10"/>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L'incapacité des États-Unis à corriger le racisme systématique rend la réponse unifiée à la COVID-19 plus difficile. Cette inégalité empêchera une réponse efficace au réchauffement climatique, ce qui, à son tour, affectera de manière disproportionnée les minorités - surtout les Afro-Américains. Une étude de l'ONU sur l'inégalité sociale face au changement climatique a conclu que les groupes défavorisés souffrent plus des risques climatiques.</w:t>
      </w:r>
      <w:r w:rsidDel="00000000" w:rsidR="00000000" w:rsidRPr="00000000">
        <w:rPr>
          <w:rFonts w:ascii="Times New Roman" w:cs="Times New Roman" w:eastAsia="Times New Roman" w:hAnsi="Times New Roman"/>
          <w:vertAlign w:val="superscript"/>
        </w:rPr>
        <w:footnoteReference w:customMarkFollows="0" w:id="11"/>
      </w:r>
      <w:r w:rsidDel="00000000" w:rsidR="00000000" w:rsidRPr="00000000">
        <w:rPr>
          <w:rFonts w:ascii="Times New Roman" w:cs="Times New Roman" w:eastAsia="Times New Roman" w:hAnsi="Times New Roman"/>
          <w:rtl w:val="0"/>
        </w:rPr>
        <w:t xml:space="preserve"> Ils sont également plus susceptibles aux dommages causés par les aléas climatiques. Les inégalités systématiques qui touchent les minorités ne peuvent pas être mises de côté lorsqu'on fait face à une crise mondiale, car elles empêchent la société de surmonter un problème dans son ensemble. Tant que les inégalités raciales ne seront pas éliminées, une réponse unifiée et efficace à la COVID-19 et au changement climatique sera non seulement plus difficile, mais aussi moins efficace. La COVID-19 a mis en relief de nombreux problèmes négligés aux États-Unis. L'absence d'accord entre les partis politiques empêche une réponse commune, efficace et scientifique aux problèmes nationaux et mondiaux. L'inégalité raciale entrave le progrès de la société au-delà d'un problème dans son ensemble. L'individualisme américain ne peut pas résoudre les problèmes nationaux ou mondiaux. La méfiance à l'égard de la science, attisée par des hommes politiques controversés qui s'appuient sur des croyances démodées, a provoqué la mort de centaines de milliers de personnes. Ces problèmes sont tous préoccupants si on considère le besoin d'une réponse mondiale, commune et scientifique à l'état actuel et futur du changement climatique. </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me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C">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Petterson, Henrik - Manley, Byron - Hernandez, Sergio. “Tracking Coronavirus’ Global Spread.” </w:t>
      </w:r>
      <w:r w:rsidDel="00000000" w:rsidR="00000000" w:rsidRPr="00000000">
        <w:rPr>
          <w:rFonts w:ascii="Times New Roman" w:cs="Times New Roman" w:eastAsia="Times New Roman" w:hAnsi="Times New Roman"/>
          <w:i w:val="1"/>
          <w:sz w:val="18"/>
          <w:szCs w:val="18"/>
          <w:rtl w:val="0"/>
        </w:rPr>
        <w:t xml:space="preserve">CNN Health</w:t>
      </w:r>
    </w:p>
    <w:p w:rsidR="00000000" w:rsidDel="00000000" w:rsidP="00000000" w:rsidRDefault="00000000" w:rsidRPr="00000000" w14:paraId="0000001D">
      <w:pPr>
        <w:rPr>
          <w:sz w:val="20"/>
          <w:szCs w:val="20"/>
        </w:rPr>
      </w:pPr>
      <w:r w:rsidDel="00000000" w:rsidR="00000000" w:rsidRPr="00000000">
        <w:rPr>
          <w:rFonts w:ascii="Times New Roman" w:cs="Times New Roman" w:eastAsia="Times New Roman" w:hAnsi="Times New Roman"/>
          <w:sz w:val="18"/>
          <w:szCs w:val="18"/>
          <w:rtl w:val="0"/>
        </w:rPr>
        <w:t xml:space="preserve">https://www.cnn.com/interactive/2020/health/coronavirus-maps-and-cases/. </w:t>
      </w:r>
      <w:r w:rsidDel="00000000" w:rsidR="00000000" w:rsidRPr="00000000">
        <w:rPr>
          <w:rtl w:val="0"/>
        </w:rPr>
      </w:r>
    </w:p>
  </w:footnote>
  <w:footnote w:id="1">
    <w:p w:rsidR="00000000" w:rsidDel="00000000" w:rsidP="00000000" w:rsidRDefault="00000000" w:rsidRPr="00000000" w14:paraId="0000001E">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Kilander, Gustaf. “Fauci blast Trump’s baseless tweets, accusing CDC of exaggerating Covid death toll: These are real people.” </w:t>
      </w:r>
      <w:r w:rsidDel="00000000" w:rsidR="00000000" w:rsidRPr="00000000">
        <w:rPr>
          <w:rFonts w:ascii="Times New Roman" w:cs="Times New Roman" w:eastAsia="Times New Roman" w:hAnsi="Times New Roman"/>
          <w:i w:val="1"/>
          <w:sz w:val="18"/>
          <w:szCs w:val="18"/>
          <w:rtl w:val="0"/>
        </w:rPr>
        <w:t xml:space="preserve">Independant</w:t>
      </w:r>
    </w:p>
    <w:p w:rsidR="00000000" w:rsidDel="00000000" w:rsidP="00000000" w:rsidRDefault="00000000" w:rsidRPr="00000000" w14:paraId="0000001F">
      <w:pPr>
        <w:rPr>
          <w:sz w:val="20"/>
          <w:szCs w:val="20"/>
        </w:rPr>
      </w:pPr>
      <w:r w:rsidDel="00000000" w:rsidR="00000000" w:rsidRPr="00000000">
        <w:rPr>
          <w:rFonts w:ascii="Times New Roman" w:cs="Times New Roman" w:eastAsia="Times New Roman" w:hAnsi="Times New Roman"/>
          <w:sz w:val="18"/>
          <w:szCs w:val="18"/>
          <w:rtl w:val="0"/>
        </w:rPr>
        <w:t xml:space="preserve">https://www.independent.co.uk/news/world/americas/us-politics/trump-fauci-covid-deaths-cdc-b1781698.html</w:t>
      </w:r>
      <w:r w:rsidDel="00000000" w:rsidR="00000000" w:rsidRPr="00000000">
        <w:rPr>
          <w:rtl w:val="0"/>
        </w:rPr>
      </w:r>
    </w:p>
  </w:footnote>
  <w:footnote w:id="2">
    <w:p w:rsidR="00000000" w:rsidDel="00000000" w:rsidP="00000000" w:rsidRDefault="00000000" w:rsidRPr="00000000" w14:paraId="00000020">
      <w:pPr>
        <w:spacing w:line="240" w:lineRule="auto"/>
        <w:rPr>
          <w:rFonts w:ascii="Times New Roman" w:cs="Times New Roman" w:eastAsia="Times New Roman" w:hAnsi="Times New Roman"/>
          <w:i w:val="1"/>
          <w:sz w:val="18"/>
          <w:szCs w:val="18"/>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Panetta, Grace, ‘</w:t>
      </w:r>
      <w:r w:rsidDel="00000000" w:rsidR="00000000" w:rsidRPr="00000000">
        <w:rPr>
          <w:rFonts w:ascii="Times New Roman" w:cs="Times New Roman" w:eastAsia="Times New Roman" w:hAnsi="Times New Roman"/>
          <w:sz w:val="18"/>
          <w:szCs w:val="18"/>
          <w:highlight w:val="white"/>
          <w:rtl w:val="0"/>
        </w:rPr>
        <w:t xml:space="preserve">Fauci says he doesn't regret telling Americans not to wear masks at the beginning of the pandemic’ </w:t>
      </w:r>
      <w:r w:rsidDel="00000000" w:rsidR="00000000" w:rsidRPr="00000000">
        <w:rPr>
          <w:rFonts w:ascii="Times New Roman" w:cs="Times New Roman" w:eastAsia="Times New Roman" w:hAnsi="Times New Roman"/>
          <w:i w:val="1"/>
          <w:sz w:val="18"/>
          <w:szCs w:val="18"/>
          <w:highlight w:val="white"/>
          <w:rtl w:val="0"/>
        </w:rPr>
        <w:t xml:space="preserve">Business Insider</w:t>
      </w:r>
    </w:p>
    <w:p w:rsidR="00000000" w:rsidDel="00000000" w:rsidP="00000000" w:rsidRDefault="00000000" w:rsidRPr="00000000" w14:paraId="00000021">
      <w:pPr>
        <w:rPr>
          <w:sz w:val="20"/>
          <w:szCs w:val="20"/>
        </w:rPr>
      </w:pPr>
      <w:r w:rsidDel="00000000" w:rsidR="00000000" w:rsidRPr="00000000">
        <w:rPr>
          <w:rFonts w:ascii="Times New Roman" w:cs="Times New Roman" w:eastAsia="Times New Roman" w:hAnsi="Times New Roman"/>
          <w:sz w:val="18"/>
          <w:szCs w:val="18"/>
          <w:highlight w:val="white"/>
          <w:rtl w:val="0"/>
        </w:rPr>
        <w:t xml:space="preserve">https://www.businessinsider.com/fauci-doesnt-regret-advising-against-masks-early-in-pandemic-2020-7</w:t>
      </w:r>
      <w:r w:rsidDel="00000000" w:rsidR="00000000" w:rsidRPr="00000000">
        <w:rPr>
          <w:rtl w:val="0"/>
        </w:rPr>
      </w:r>
    </w:p>
  </w:footnote>
  <w:footnote w:id="3">
    <w:p w:rsidR="00000000" w:rsidDel="00000000" w:rsidP="00000000" w:rsidRDefault="00000000" w:rsidRPr="00000000" w14:paraId="00000022">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Lopez, German. “How New York Gov. Andrew Cuomo failed, then succeeded, on Covid-19.” </w:t>
      </w:r>
      <w:r w:rsidDel="00000000" w:rsidR="00000000" w:rsidRPr="00000000">
        <w:rPr>
          <w:rFonts w:ascii="Times New Roman" w:cs="Times New Roman" w:eastAsia="Times New Roman" w:hAnsi="Times New Roman"/>
          <w:i w:val="1"/>
          <w:sz w:val="18"/>
          <w:szCs w:val="18"/>
          <w:rtl w:val="0"/>
        </w:rPr>
        <w:t xml:space="preserve">Vox</w:t>
      </w:r>
    </w:p>
    <w:p w:rsidR="00000000" w:rsidDel="00000000" w:rsidP="00000000" w:rsidRDefault="00000000" w:rsidRPr="00000000" w14:paraId="00000023">
      <w:pPr>
        <w:rPr>
          <w:sz w:val="20"/>
          <w:szCs w:val="20"/>
        </w:rPr>
      </w:pPr>
      <w:r w:rsidDel="00000000" w:rsidR="00000000" w:rsidRPr="00000000">
        <w:rPr>
          <w:rFonts w:ascii="Times New Roman" w:cs="Times New Roman" w:eastAsia="Times New Roman" w:hAnsi="Times New Roman"/>
          <w:sz w:val="18"/>
          <w:szCs w:val="18"/>
          <w:rtl w:val="0"/>
        </w:rPr>
        <w:t xml:space="preserve">https://www.vox.com/future-perfect/21401242/andrew-cuomo-coronavirus-covid-pandemic-new-york</w:t>
      </w:r>
      <w:r w:rsidDel="00000000" w:rsidR="00000000" w:rsidRPr="00000000">
        <w:rPr>
          <w:rtl w:val="0"/>
        </w:rPr>
      </w:r>
    </w:p>
  </w:footnote>
  <w:footnote w:id="4">
    <w:p w:rsidR="00000000" w:rsidDel="00000000" w:rsidP="00000000" w:rsidRDefault="00000000" w:rsidRPr="00000000" w14:paraId="00000024">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Unknown Author. “New York City Coronavirus Map and Case Count.”  </w:t>
      </w:r>
      <w:r w:rsidDel="00000000" w:rsidR="00000000" w:rsidRPr="00000000">
        <w:rPr>
          <w:rFonts w:ascii="Times New Roman" w:cs="Times New Roman" w:eastAsia="Times New Roman" w:hAnsi="Times New Roman"/>
          <w:i w:val="1"/>
          <w:sz w:val="18"/>
          <w:szCs w:val="18"/>
          <w:rtl w:val="0"/>
        </w:rPr>
        <w:t xml:space="preserve">New York Times </w:t>
      </w:r>
    </w:p>
    <w:p w:rsidR="00000000" w:rsidDel="00000000" w:rsidP="00000000" w:rsidRDefault="00000000" w:rsidRPr="00000000" w14:paraId="0000002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https://www.nytimes.com/interactive/2020/nyregion/new-york-city-coronavirus-cases.html</w:t>
      </w:r>
    </w:p>
    <w:p w:rsidR="00000000" w:rsidDel="00000000" w:rsidP="00000000" w:rsidRDefault="00000000" w:rsidRPr="00000000" w14:paraId="00000026">
      <w:pPr>
        <w:spacing w:line="240" w:lineRule="auto"/>
        <w:rPr>
          <w:sz w:val="20"/>
          <w:szCs w:val="20"/>
        </w:rPr>
      </w:pPr>
      <w:r w:rsidDel="00000000" w:rsidR="00000000" w:rsidRPr="00000000">
        <w:rPr>
          <w:rtl w:val="0"/>
        </w:rPr>
      </w:r>
    </w:p>
  </w:footnote>
  <w:footnote w:id="5">
    <w:p w:rsidR="00000000" w:rsidDel="00000000" w:rsidP="00000000" w:rsidRDefault="00000000" w:rsidRPr="00000000" w14:paraId="00000027">
      <w:pPr>
        <w:spacing w:line="240" w:lineRule="auto"/>
        <w:rPr>
          <w:rFonts w:ascii="Times" w:cs="Times" w:eastAsia="Times" w:hAnsi="Times"/>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vertAlign w:val="superscript"/>
          <w:rtl w:val="0"/>
        </w:rPr>
        <w:t xml:space="preserve"> </w:t>
      </w:r>
      <w:r w:rsidDel="00000000" w:rsidR="00000000" w:rsidRPr="00000000">
        <w:rPr>
          <w:rFonts w:ascii="Times" w:cs="Times" w:eastAsia="Times" w:hAnsi="Times"/>
          <w:sz w:val="18"/>
          <w:szCs w:val="18"/>
          <w:rtl w:val="0"/>
        </w:rPr>
        <w:t xml:space="preserve">Gross,  Samantha, “Does Gov. Does DeSantis believe in climate change?” Tampa Bay Times</w:t>
      </w:r>
    </w:p>
    <w:p w:rsidR="00000000" w:rsidDel="00000000" w:rsidP="00000000" w:rsidRDefault="00000000" w:rsidRPr="00000000" w14:paraId="00000028">
      <w:pPr>
        <w:rPr>
          <w:sz w:val="20"/>
          <w:szCs w:val="20"/>
        </w:rPr>
      </w:pPr>
      <w:r w:rsidDel="00000000" w:rsidR="00000000" w:rsidRPr="00000000">
        <w:rPr>
          <w:rFonts w:ascii="Times" w:cs="Times" w:eastAsia="Times" w:hAnsi="Times"/>
          <w:sz w:val="18"/>
          <w:szCs w:val="18"/>
          <w:rtl w:val="0"/>
        </w:rPr>
        <w:t xml:space="preserve">https://www.tampabay.com/florida-politics/buzz/2019/01/11/does-gov-desantis-believe-in-climate-change/</w:t>
      </w:r>
      <w:r w:rsidDel="00000000" w:rsidR="00000000" w:rsidRPr="00000000">
        <w:rPr>
          <w:rtl w:val="0"/>
        </w:rPr>
      </w:r>
    </w:p>
  </w:footnote>
  <w:footnote w:id="6">
    <w:p w:rsidR="00000000" w:rsidDel="00000000" w:rsidP="00000000" w:rsidRDefault="00000000" w:rsidRPr="00000000" w14:paraId="00000029">
      <w:pPr>
        <w:spacing w:line="240" w:lineRule="auto"/>
        <w:rPr>
          <w:rFonts w:ascii="Times" w:cs="Times" w:eastAsia="Times" w:hAnsi="Times"/>
          <w:i w:val="1"/>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w:cs="Times" w:eastAsia="Times" w:hAnsi="Times"/>
          <w:sz w:val="18"/>
          <w:szCs w:val="18"/>
          <w:rtl w:val="0"/>
        </w:rPr>
        <w:t xml:space="preserve">Carney, Jordain. - Green, Miranda. “Senate blocks Green New Deal” </w:t>
      </w:r>
      <w:r w:rsidDel="00000000" w:rsidR="00000000" w:rsidRPr="00000000">
        <w:rPr>
          <w:rFonts w:ascii="Times" w:cs="Times" w:eastAsia="Times" w:hAnsi="Times"/>
          <w:i w:val="1"/>
          <w:sz w:val="18"/>
          <w:szCs w:val="18"/>
          <w:rtl w:val="0"/>
        </w:rPr>
        <w:t xml:space="preserve">The Hill</w:t>
      </w:r>
    </w:p>
    <w:p w:rsidR="00000000" w:rsidDel="00000000" w:rsidP="00000000" w:rsidRDefault="00000000" w:rsidRPr="00000000" w14:paraId="0000002A">
      <w:pPr>
        <w:shd w:fill="ffffff" w:val="clear"/>
        <w:spacing w:line="264" w:lineRule="auto"/>
        <w:rPr>
          <w:sz w:val="20"/>
          <w:szCs w:val="20"/>
        </w:rPr>
      </w:pPr>
      <w:r w:rsidDel="00000000" w:rsidR="00000000" w:rsidRPr="00000000">
        <w:rPr>
          <w:rFonts w:ascii="Times" w:cs="Times" w:eastAsia="Times" w:hAnsi="Times"/>
          <w:sz w:val="18"/>
          <w:szCs w:val="18"/>
          <w:rtl w:val="0"/>
        </w:rPr>
        <w:t xml:space="preserve">https://thehill.com/homenews/senate/435899-senate-blocks-green-new-deal</w:t>
      </w:r>
      <w:r w:rsidDel="00000000" w:rsidR="00000000" w:rsidRPr="00000000">
        <w:rPr>
          <w:rtl w:val="0"/>
        </w:rPr>
      </w:r>
    </w:p>
  </w:footnote>
  <w:footnote w:id="7">
    <w:p w:rsidR="00000000" w:rsidDel="00000000" w:rsidP="00000000" w:rsidRDefault="00000000" w:rsidRPr="00000000" w14:paraId="0000002B">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Kilander, Gustaf. “Fauci blast Trump’s baseless tweets, accusing CDC of exaggerating Covid death toll: These are real people.” </w:t>
      </w:r>
      <w:r w:rsidDel="00000000" w:rsidR="00000000" w:rsidRPr="00000000">
        <w:rPr>
          <w:rFonts w:ascii="Times New Roman" w:cs="Times New Roman" w:eastAsia="Times New Roman" w:hAnsi="Times New Roman"/>
          <w:i w:val="1"/>
          <w:sz w:val="18"/>
          <w:szCs w:val="18"/>
          <w:rtl w:val="0"/>
        </w:rPr>
        <w:t xml:space="preserve">Independant</w:t>
      </w:r>
    </w:p>
    <w:p w:rsidR="00000000" w:rsidDel="00000000" w:rsidP="00000000" w:rsidRDefault="00000000" w:rsidRPr="00000000" w14:paraId="0000002C">
      <w:pPr>
        <w:rPr>
          <w:sz w:val="20"/>
          <w:szCs w:val="20"/>
        </w:rPr>
      </w:pPr>
      <w:r w:rsidDel="00000000" w:rsidR="00000000" w:rsidRPr="00000000">
        <w:rPr>
          <w:rFonts w:ascii="Times New Roman" w:cs="Times New Roman" w:eastAsia="Times New Roman" w:hAnsi="Times New Roman"/>
          <w:sz w:val="18"/>
          <w:szCs w:val="18"/>
          <w:rtl w:val="0"/>
        </w:rPr>
        <w:t xml:space="preserve">https://www.independent.co.uk/news/world/americas/us-politics/trump-fauci-covid-deaths-cdc-b1781698.html </w:t>
      </w:r>
      <w:r w:rsidDel="00000000" w:rsidR="00000000" w:rsidRPr="00000000">
        <w:rPr>
          <w:rtl w:val="0"/>
        </w:rPr>
      </w:r>
    </w:p>
  </w:footnote>
  <w:footnote w:id="8">
    <w:p w:rsidR="00000000" w:rsidDel="00000000" w:rsidP="00000000" w:rsidRDefault="00000000" w:rsidRPr="00000000" w14:paraId="0000002D">
      <w:pPr>
        <w:spacing w:line="240" w:lineRule="auto"/>
        <w:rPr>
          <w:b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w:cs="Times" w:eastAsia="Times" w:hAnsi="Times"/>
          <w:sz w:val="18"/>
          <w:szCs w:val="18"/>
          <w:rtl w:val="0"/>
        </w:rPr>
        <w:t xml:space="preserve">Sang-hue, Choe. “South Korean Leader Said Coronavirus Would ‘Disappear.’ It Was a Costly Error.” </w:t>
      </w:r>
      <w:r w:rsidDel="00000000" w:rsidR="00000000" w:rsidRPr="00000000">
        <w:rPr>
          <w:rFonts w:ascii="Times" w:cs="Times" w:eastAsia="Times" w:hAnsi="Times"/>
          <w:i w:val="1"/>
          <w:sz w:val="18"/>
          <w:szCs w:val="18"/>
          <w:rtl w:val="0"/>
        </w:rPr>
        <w:t xml:space="preserve">New York Times </w:t>
      </w:r>
      <w:r w:rsidDel="00000000" w:rsidR="00000000" w:rsidRPr="00000000">
        <w:rPr>
          <w:rFonts w:ascii="Times" w:cs="Times" w:eastAsia="Times" w:hAnsi="Times"/>
          <w:sz w:val="18"/>
          <w:szCs w:val="18"/>
          <w:rtl w:val="0"/>
        </w:rPr>
        <w:t xml:space="preserve">https://www.nytimes.com/2020/02/27/world/asia/coronavirus-south-korea.html</w:t>
      </w:r>
      <w:r w:rsidDel="00000000" w:rsidR="00000000" w:rsidRPr="00000000">
        <w:rPr>
          <w:rtl w:val="0"/>
        </w:rPr>
      </w:r>
    </w:p>
  </w:footnote>
  <w:footnote w:id="9">
    <w:p w:rsidR="00000000" w:rsidDel="00000000" w:rsidP="00000000" w:rsidRDefault="00000000" w:rsidRPr="00000000" w14:paraId="0000002E">
      <w:pPr>
        <w:spacing w:line="240" w:lineRule="auto"/>
        <w:rPr>
          <w:rFonts w:ascii="Times" w:cs="Times" w:eastAsia="Times" w:hAnsi="Times"/>
          <w:i w:val="1"/>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w:cs="Times" w:eastAsia="Times" w:hAnsi="Times"/>
          <w:sz w:val="18"/>
          <w:szCs w:val="18"/>
          <w:rtl w:val="0"/>
        </w:rPr>
        <w:t xml:space="preserve">Algreron, Austin. “African Americans are still concentrated in neighborhoods with high poverty and still lack full access to decent housing.” </w:t>
      </w:r>
      <w:r w:rsidDel="00000000" w:rsidR="00000000" w:rsidRPr="00000000">
        <w:rPr>
          <w:rFonts w:ascii="Times" w:cs="Times" w:eastAsia="Times" w:hAnsi="Times"/>
          <w:i w:val="1"/>
          <w:sz w:val="18"/>
          <w:szCs w:val="18"/>
          <w:rtl w:val="0"/>
        </w:rPr>
        <w:t xml:space="preserve">Economic Policy Institute</w:t>
      </w:r>
    </w:p>
    <w:p w:rsidR="00000000" w:rsidDel="00000000" w:rsidP="00000000" w:rsidRDefault="00000000" w:rsidRPr="00000000" w14:paraId="0000002F">
      <w:pPr>
        <w:shd w:fill="ffffff" w:val="clear"/>
        <w:spacing w:line="264" w:lineRule="auto"/>
        <w:rPr>
          <w:sz w:val="20"/>
          <w:szCs w:val="20"/>
        </w:rPr>
      </w:pPr>
      <w:r w:rsidDel="00000000" w:rsidR="00000000" w:rsidRPr="00000000">
        <w:rPr>
          <w:rFonts w:ascii="Times" w:cs="Times" w:eastAsia="Times" w:hAnsi="Times"/>
          <w:sz w:val="18"/>
          <w:szCs w:val="18"/>
          <w:rtl w:val="0"/>
        </w:rPr>
        <w:t xml:space="preserve">https://www.epi.org/publication/african-americans-concentrated-neighborhoods/</w:t>
      </w:r>
      <w:r w:rsidDel="00000000" w:rsidR="00000000" w:rsidRPr="00000000">
        <w:rPr>
          <w:rtl w:val="0"/>
        </w:rPr>
      </w:r>
    </w:p>
  </w:footnote>
  <w:footnote w:id="10">
    <w:p w:rsidR="00000000" w:rsidDel="00000000" w:rsidP="00000000" w:rsidRDefault="00000000" w:rsidRPr="00000000" w14:paraId="00000030">
      <w:pPr>
        <w:spacing w:line="240" w:lineRule="auto"/>
        <w:rPr>
          <w:rFonts w:ascii="Times" w:cs="Times" w:eastAsia="Times" w:hAnsi="Times"/>
          <w:i w:val="1"/>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vertAlign w:val="superscript"/>
          <w:rtl w:val="0"/>
        </w:rPr>
        <w:t xml:space="preserve"> </w:t>
      </w:r>
      <w:r w:rsidDel="00000000" w:rsidR="00000000" w:rsidRPr="00000000">
        <w:rPr>
          <w:rFonts w:ascii="Times" w:cs="Times" w:eastAsia="Times" w:hAnsi="Times"/>
          <w:sz w:val="18"/>
          <w:szCs w:val="18"/>
          <w:rtl w:val="0"/>
        </w:rPr>
        <w:t xml:space="preserve">Godoy, Maria. “What Do Coronavirus Racial Disparities Look Like State By State?” </w:t>
      </w:r>
      <w:r w:rsidDel="00000000" w:rsidR="00000000" w:rsidRPr="00000000">
        <w:rPr>
          <w:rFonts w:ascii="Times" w:cs="Times" w:eastAsia="Times" w:hAnsi="Times"/>
          <w:i w:val="1"/>
          <w:sz w:val="18"/>
          <w:szCs w:val="18"/>
          <w:rtl w:val="0"/>
        </w:rPr>
        <w:t xml:space="preserve">NPR</w:t>
      </w:r>
    </w:p>
    <w:p w:rsidR="00000000" w:rsidDel="00000000" w:rsidP="00000000" w:rsidRDefault="00000000" w:rsidRPr="00000000" w14:paraId="00000031">
      <w:pPr>
        <w:shd w:fill="ffffff" w:val="clear"/>
        <w:spacing w:line="264" w:lineRule="auto"/>
        <w:rPr>
          <w:sz w:val="20"/>
          <w:szCs w:val="20"/>
        </w:rPr>
      </w:pPr>
      <w:r w:rsidDel="00000000" w:rsidR="00000000" w:rsidRPr="00000000">
        <w:rPr>
          <w:rFonts w:ascii="Times" w:cs="Times" w:eastAsia="Times" w:hAnsi="Times"/>
          <w:sz w:val="18"/>
          <w:szCs w:val="18"/>
          <w:rtl w:val="0"/>
        </w:rPr>
        <w:t xml:space="preserve">https://www.tampabay.com/florida-politics/buzz/2019/01/11/does-gov-desantis-believe-in-climate-change/</w:t>
      </w:r>
      <w:r w:rsidDel="00000000" w:rsidR="00000000" w:rsidRPr="00000000">
        <w:rPr>
          <w:rtl w:val="0"/>
        </w:rPr>
      </w:r>
    </w:p>
  </w:footnote>
  <w:footnote w:id="11">
    <w:p w:rsidR="00000000" w:rsidDel="00000000" w:rsidP="00000000" w:rsidRDefault="00000000" w:rsidRPr="00000000" w14:paraId="00000032">
      <w:pPr>
        <w:spacing w:line="240" w:lineRule="auto"/>
        <w:rPr>
          <w:rFonts w:ascii="Times" w:cs="Times" w:eastAsia="Times" w:hAnsi="Times"/>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w:cs="Times" w:eastAsia="Times" w:hAnsi="Times"/>
          <w:sz w:val="18"/>
          <w:szCs w:val="18"/>
          <w:rtl w:val="0"/>
        </w:rPr>
        <w:t xml:space="preserve">Islam, Nazrul - Winke, John. “Climate Change and Social Inequality” </w:t>
      </w:r>
      <w:r w:rsidDel="00000000" w:rsidR="00000000" w:rsidRPr="00000000">
        <w:rPr>
          <w:rFonts w:ascii="Times" w:cs="Times" w:eastAsia="Times" w:hAnsi="Times"/>
          <w:i w:val="1"/>
          <w:sz w:val="18"/>
          <w:szCs w:val="18"/>
          <w:rtl w:val="0"/>
        </w:rPr>
        <w:t xml:space="preserve">United Nations </w:t>
      </w:r>
      <w:hyperlink r:id="rId1">
        <w:r w:rsidDel="00000000" w:rsidR="00000000" w:rsidRPr="00000000">
          <w:rPr>
            <w:rFonts w:ascii="Times" w:cs="Times" w:eastAsia="Times" w:hAnsi="Times"/>
            <w:sz w:val="18"/>
            <w:szCs w:val="18"/>
            <w:rtl w:val="0"/>
          </w:rPr>
          <w:t xml:space="preserve">https://www.un.org/esa/desa/papers/2017/wp152_2017.pdf</w:t>
        </w:r>
      </w:hyperlink>
      <w:r w:rsidDel="00000000" w:rsidR="00000000" w:rsidRPr="00000000">
        <w:rPr>
          <w:rtl w:val="0"/>
        </w:rPr>
      </w:r>
    </w:p>
    <w:p w:rsidR="00000000" w:rsidDel="00000000" w:rsidP="00000000" w:rsidRDefault="00000000" w:rsidRPr="00000000" w14:paraId="00000033">
      <w:pPr>
        <w:spacing w:line="240" w:lineRule="auto"/>
        <w:rPr>
          <w:sz w:val="20"/>
          <w:szCs w:val="20"/>
          <w:vertAlign w:val="superscript"/>
        </w:rPr>
      </w:pPr>
      <w:r w:rsidDel="00000000" w:rsidR="00000000" w:rsidRPr="00000000">
        <w:rPr>
          <w:rtl w:val="0"/>
        </w:rPr>
      </w:r>
    </w:p>
    <w:p w:rsidR="00000000" w:rsidDel="00000000" w:rsidP="00000000" w:rsidRDefault="00000000" w:rsidRPr="00000000" w14:paraId="00000034">
      <w:pPr>
        <w:spacing w:line="240" w:lineRule="auto"/>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esa/desa/papers/2017/wp152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