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Times New Roman" w:cs="Times New Roman" w:eastAsia="Times New Roman" w:hAnsi="Times New Roman"/>
          <w:color w:val="0b5394"/>
          <w:sz w:val="28"/>
          <w:szCs w:val="28"/>
        </w:rPr>
      </w:pPr>
      <w:r w:rsidDel="00000000" w:rsidR="00000000" w:rsidRPr="00000000">
        <w:rPr>
          <w:rFonts w:ascii="Gungsuh" w:cs="Gungsuh" w:eastAsia="Gungsuh" w:hAnsi="Gungsuh"/>
          <w:color w:val="0b5394"/>
          <w:sz w:val="28"/>
          <w:szCs w:val="28"/>
          <w:rtl w:val="0"/>
        </w:rPr>
        <w:t xml:space="preserve">医疗系统</w:t>
      </w:r>
    </w:p>
    <w:p w:rsidR="00000000" w:rsidDel="00000000" w:rsidP="00000000" w:rsidRDefault="00000000" w:rsidRPr="00000000" w14:paraId="00000002">
      <w:pPr>
        <w:rPr/>
      </w:pPr>
      <w:r w:rsidDel="00000000" w:rsidR="00000000" w:rsidRPr="00000000">
        <w:rPr>
          <w:rFonts w:ascii="Gungsuh" w:cs="Gungsuh" w:eastAsia="Gungsuh" w:hAnsi="Gungsuh"/>
          <w:rtl w:val="0"/>
        </w:rPr>
        <w:t xml:space="preserve">作者：Advait Sunil</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COVID-19疫情已然影响了数十亿人的生活，并永远地改变了这个世界。”这句话很不幸地被如此频繁地使用，成为世界上大多数人脑海中的永久记忆。每一天看上去都比前一天更加不祥，好消息变得很难得到。如此严峻的状况凸显了许多紧迫的社会系统性问题，使得我们可以做些什么来变得更好这一讨论成为迫切需要。而最深入研究的课题和讨论的中心就是医疗。每个国家和政府对SARS-CoV-2的应急反应各不相同，许多国家的医疗体系都遇到了审查和改革的呼吁。Covid-19已成为研究i私营和公共医疗优劣势以及如何公平分配的一个案例。</w:t>
      </w:r>
    </w:p>
    <w:p w:rsidR="00000000" w:rsidDel="00000000" w:rsidP="00000000" w:rsidRDefault="00000000" w:rsidRPr="00000000" w14:paraId="00000005">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世界各地的医疗保险各不相同。由于每个国家都有其独特的体系和自己的准则，一个国家在预防由大流行造成的损失方面是否成功，既取决于医疗体系，也取决于政府如何应对。在大多数西方国家，医疗保健是强制和普遍的，但并不包括美国等例外。比如荷兰这样的国家有全民医疗保险，但它是完全私有化的，而德国的全民医疗保险则大部分是公共的。在大多数国家，公共保险和私人保险之间的差别并不大，只是私人保险公司通常可以为负担得起的人提供稍微更现代化一些的医疗设施和更大的保险范围。公共保险通常由政府或税收资助，而私人保险由盈利和非盈利公司组成。</w:t>
      </w:r>
    </w:p>
    <w:p w:rsidR="00000000" w:rsidDel="00000000" w:rsidP="00000000" w:rsidRDefault="00000000" w:rsidRPr="00000000" w14:paraId="00000007">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通过广泛的早期检测和对接触者的追踪来最大限度地减少病毒的传播，韩国这种应对COVID-19的方式得到了赞扬。政府的早期反应最大限度地减少了病人的涌入，防止了对医疗系统的压力，压平了疫情增长曲线，即通过降低传播率来避免医院的压力</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Gungsuh" w:cs="Gungsuh" w:eastAsia="Gungsuh" w:hAnsi="Gungsuh"/>
          <w:rtl w:val="0"/>
        </w:rPr>
        <w:t xml:space="preserve">。</w:t>
      </w:r>
    </w:p>
    <w:p w:rsidR="00000000" w:rsidDel="00000000" w:rsidP="00000000" w:rsidRDefault="00000000" w:rsidRPr="00000000" w14:paraId="00000009">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美国则相反地可以说是没有组织的应对。由于无法及早阻止病毒的传播，美国现在拥有世界上最多的病例。此外，经济暴跌使许多公民失去了工作。由于大部分保险是由雇主提供的，数以百万计的美国人再也负担不起或无法获得医疗保险。这将使已经庞大的2750万无保险人口继续增长。尽管美国政府免费提供检测，并发放了许多救济支票，但有太多无力负担治疗的美国人，最终导致许多人死亡、成千上万的家庭无力支付高昂的医疗费用。由于措施不充分和公众不遵守防疫规定，许多医院和医疗系统已被危重病人的数量压垮。这种结果更应该归因于政府的不作为，而不是医疗体系本身</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Gungsuh" w:cs="Gungsuh" w:eastAsia="Gungsuh" w:hAnsi="Gungsuh"/>
          <w:rtl w:val="0"/>
        </w:rPr>
        <w:t xml:space="preserve">。</w:t>
      </w:r>
    </w:p>
    <w:p w:rsidR="00000000" w:rsidDel="00000000" w:rsidP="00000000" w:rsidRDefault="00000000" w:rsidRPr="00000000" w14:paraId="0000000B">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总的来说，现代社会的医疗体系因其结构类型各有利弊，对疫情的处理也各不相同。尽管我们可以看当前这个世界存在着严重的政治分歧，但许多国家已搁置分歧，加快前行，并意识到合作的重要性。面对不加区别、不分国界、肆意肆虐的病毒，在阻止传播、开发疫苗和治疗方法上开展多边合作比以往任何时候都更加重要。许多国家的多边伙伴关系使得疫苗等治疗方法和早期预警系统等有益探索得到了更快、更有效的发展。关于COVID-19的应对已然证明，当所有人都齐心协力时，就可能解决全球性的问题。联合国的领导地位已经受到质疑，必须所有人一起携手改变。世界已经证明，类似气候变化、性别平等等问题已能在不久的将来得到解决，前提是大家能够团结一致。</w:t>
      </w:r>
    </w:p>
    <w:p w:rsidR="00000000" w:rsidDel="00000000" w:rsidP="00000000" w:rsidRDefault="00000000" w:rsidRPr="00000000" w14:paraId="0000000D">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COVID-19疫情加剧了人们对现代社会主要医疗体系在获取和质量之间的矛盾。世界日益认识到一个人的收入、地点以及社会地位对健康标准和获取医疗保健的作用。在美国，尤其是像纽约这样的的大城市，疫情的严重程度和影响因社区有很大差异。在4月疫情最严重的时候，科罗娜、艾姆赫斯特和杰克逊高地报告的病例达到了曼哈顿的六倍，尽管曼哈顿的人口是其他几个社区的两倍多。造成这种极端差异的原因可以追溯到多个因素，这些因素使一些人在预防感染和寻求高质量的医疗时处于劣势</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Gungsuh" w:cs="Gungsuh" w:eastAsia="Gungsuh" w:hAnsi="Gungsuh"/>
          <w:rtl w:val="0"/>
        </w:rPr>
        <w:t xml:space="preserve">。通过比较两个感染率不同的社区，研究人员和纽约居民可以发现医疗保健与社会经济地位之间的联系。曼哈顿上东区的勒诺克斯山社区，截至1月11日，平均有3840例病例，每10万居民中有111例死亡</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Gungsuh" w:cs="Gungsuh" w:eastAsia="Gungsuh" w:hAnsi="Gungsuh"/>
          <w:rtl w:val="0"/>
        </w:rPr>
        <w:t xml:space="preserve">。而东艾姆赫斯特有8416例病例，每10万居民中有565例死亡。与人口统计数据相比，勒诺克斯山社区的家庭收入中位数为132,260美元，超过60%居民是白人86.7%的居民高中毕业并上过某种形式的大学</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Gungsuh" w:cs="Gungsuh" w:eastAsia="Gungsuh" w:hAnsi="Gungsuh"/>
          <w:rtl w:val="0"/>
        </w:rPr>
        <w:t xml:space="preserve">。在家庭收入中位数为57,010美元的东艾姆赫斯特，黑人和拉丁裔占总人口的85.2%，只有37.25%的人接受过高中以上的教育</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Gungsuh" w:cs="Gungsuh" w:eastAsia="Gungsuh" w:hAnsi="Gungsuh"/>
          <w:rtl w:val="0"/>
        </w:rPr>
        <w:t xml:space="preserve">。疫情期间，少数族裔和工人阶层在保持安全和健康所需资源的获取方面面临着巨大的困难。各种环境和系统因素导致了病毒在东艾姆赫斯特和其他重灾区的死亡率和传播率的上升。</w:t>
      </w:r>
    </w:p>
    <w:p w:rsidR="00000000" w:rsidDel="00000000" w:rsidP="00000000" w:rsidRDefault="00000000" w:rsidRPr="00000000" w14:paraId="0000000E">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低收入者很难获得足够的住房。因为分摊房租是唯一的选择，在东艾姆赫斯特平均每户有9人，而全市平均每户只有2.7人</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Gungsuh" w:cs="Gungsuh" w:eastAsia="Gungsuh" w:hAnsi="Gungsuh"/>
          <w:rtl w:val="0"/>
        </w:rPr>
        <w:t xml:space="preserve">。容纳这么多人的狭小空间为病毒的传播创造了理想条件，再加上哮喘和其他慢性呼吸道疾病等潜在疾病的高发病率，COVID-19造成严重影响的原因似乎就更加清楚。数据显示，大部分社区只有高中学历，教育的缺乏使得人们更难找到好的工作。许多艾姆赫斯特居民都是个体经营者，比如优步司机或送货员，这意味着他们负担不起医疗服务。对于那些有雇主的人来说，低收入使他们无法负担保险，而且由于COVID-19治疗的价格不同，无力支付医疗帐单导致了东艾姆赫斯特和纽约市其他地区惊人的高死亡率。其他西方国家，如德国、荷兰和英国，都有全民医疗保障。尽管公共医疗系统可能不能像私人公司那样提供那么多的福利，但它们仍可以提供必要的基本的保障。</w:t>
      </w:r>
    </w:p>
    <w:p w:rsidR="00000000" w:rsidDel="00000000" w:rsidP="00000000" w:rsidRDefault="00000000" w:rsidRPr="00000000" w14:paraId="0000001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left="0"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COVID-19无疑在历史上留下了印记，并以一种迫切需要的方式唤醒了人们对许多重大问题的认识。它已经影响了数百万人的生活，并将继续影响到未来。尽管其影响是毁灭性的，并造成了巨大损失，但作为一个社会，我们必须站在隧道的另一端，努力作出真正的改变，使人民更幸福、更健康。医疗系统永远不会完美，最重要的是要持续改善它们，消除健康不平等，。每个人----无论他们的种族、收入、生活状况或背景----，都应该得到高质量的医疗和安全保障。</w:t>
      </w:r>
    </w:p>
    <w:p w:rsidR="00000000" w:rsidDel="00000000" w:rsidP="00000000" w:rsidRDefault="00000000" w:rsidRPr="00000000" w14:paraId="0000001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Maizland, Lindzay, and Claire Felter. "Comparing Six Health-Care Systems in a Pandemic." </w:t>
      </w:r>
      <w:r w:rsidDel="00000000" w:rsidR="00000000" w:rsidRPr="00000000">
        <w:rPr>
          <w:rFonts w:ascii="Times New Roman" w:cs="Times New Roman" w:eastAsia="Times New Roman" w:hAnsi="Times New Roman"/>
          <w:i w:val="1"/>
          <w:sz w:val="20"/>
          <w:szCs w:val="20"/>
          <w:rtl w:val="0"/>
        </w:rPr>
        <w:t xml:space="preserve">Council on Foreign Relations</w:t>
      </w:r>
      <w:r w:rsidDel="00000000" w:rsidR="00000000" w:rsidRPr="00000000">
        <w:rPr>
          <w:rFonts w:ascii="Times New Roman" w:cs="Times New Roman" w:eastAsia="Times New Roman" w:hAnsi="Times New Roman"/>
          <w:sz w:val="20"/>
          <w:szCs w:val="20"/>
          <w:rtl w:val="0"/>
        </w:rPr>
        <w:t xml:space="preserve">, Apr. 2020, www.cfr.org/backgrounder/comparing-six-health-care-systems-pandemic. Accessed 19 Jan. 2021.</w:t>
      </w:r>
      <w:r w:rsidDel="00000000" w:rsidR="00000000" w:rsidRPr="00000000">
        <w:rPr>
          <w:rtl w:val="0"/>
        </w:rPr>
      </w:r>
    </w:p>
  </w:footnote>
  <w:footnote w:id="1">
    <w:p w:rsidR="00000000" w:rsidDel="00000000" w:rsidP="00000000" w:rsidRDefault="00000000" w:rsidRPr="00000000" w14:paraId="0000001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Nova, Annie. "Millions of Americans have lost health insurance in this pandemic-driven recession. Here are their options." </w:t>
      </w:r>
      <w:r w:rsidDel="00000000" w:rsidR="00000000" w:rsidRPr="00000000">
        <w:rPr>
          <w:rFonts w:ascii="Times New Roman" w:cs="Times New Roman" w:eastAsia="Times New Roman" w:hAnsi="Times New Roman"/>
          <w:i w:val="1"/>
          <w:sz w:val="20"/>
          <w:szCs w:val="20"/>
          <w:rtl w:val="0"/>
        </w:rPr>
        <w:t xml:space="preserve">CNBC</w:t>
      </w:r>
      <w:r w:rsidDel="00000000" w:rsidR="00000000" w:rsidRPr="00000000">
        <w:rPr>
          <w:rFonts w:ascii="Times New Roman" w:cs="Times New Roman" w:eastAsia="Times New Roman" w:hAnsi="Times New Roman"/>
          <w:sz w:val="20"/>
          <w:szCs w:val="20"/>
          <w:rtl w:val="0"/>
        </w:rPr>
        <w:t xml:space="preserve">, www.cnbc.com/2020/08/28/millions-of-americans-lost-health-insurance-amid-pandemic-here-are-options.html. </w:t>
      </w:r>
      <w:r w:rsidDel="00000000" w:rsidR="00000000" w:rsidRPr="00000000">
        <w:rPr>
          <w:rtl w:val="0"/>
        </w:rPr>
      </w:r>
    </w:p>
  </w:footnote>
  <w:footnote w:id="2">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Correal, Annie, and Andrew Jacobs. "'A Tragedy Is Unfolding': Inside New York's Virus Epicenter." </w:t>
      </w:r>
      <w:r w:rsidDel="00000000" w:rsidR="00000000" w:rsidRPr="00000000">
        <w:rPr>
          <w:rFonts w:ascii="Times New Roman" w:cs="Times New Roman" w:eastAsia="Times New Roman" w:hAnsi="Times New Roman"/>
          <w:i w:val="1"/>
          <w:sz w:val="20"/>
          <w:szCs w:val="20"/>
          <w:rtl w:val="0"/>
        </w:rPr>
        <w:t xml:space="preserve">The New York Times</w:t>
      </w:r>
      <w:r w:rsidDel="00000000" w:rsidR="00000000" w:rsidRPr="00000000">
        <w:rPr>
          <w:rFonts w:ascii="Times New Roman" w:cs="Times New Roman" w:eastAsia="Times New Roman" w:hAnsi="Times New Roman"/>
          <w:sz w:val="20"/>
          <w:szCs w:val="20"/>
          <w:rtl w:val="0"/>
        </w:rPr>
        <w:t xml:space="preserve">, 9 Apr. 2020, </w:t>
      </w:r>
      <w:r w:rsidDel="00000000" w:rsidR="00000000" w:rsidRPr="00000000">
        <w:rPr>
          <w:rFonts w:ascii="Times New Roman" w:cs="Times New Roman" w:eastAsia="Times New Roman" w:hAnsi="Times New Roman"/>
          <w:sz w:val="20"/>
          <w:szCs w:val="20"/>
          <w:rtl w:val="0"/>
        </w:rPr>
        <w:t xml:space="preserve">www.nytimes.com/2020/04/09/nyregion/coronavirus-queens-corona-jackson-heights-elmhurst.htm</w:t>
      </w:r>
      <w:r w:rsidDel="00000000" w:rsidR="00000000" w:rsidRPr="00000000">
        <w:rPr>
          <w:rFonts w:ascii="Times New Roman" w:cs="Times New Roman" w:eastAsia="Times New Roman" w:hAnsi="Times New Roman"/>
          <w:sz w:val="20"/>
          <w:szCs w:val="20"/>
          <w:rtl w:val="0"/>
        </w:rPr>
        <w:t xml:space="preserve">l</w:t>
      </w:r>
      <w:r w:rsidDel="00000000" w:rsidR="00000000" w:rsidRPr="00000000">
        <w:rPr>
          <w:rtl w:val="0"/>
        </w:rPr>
      </w:r>
    </w:p>
  </w:footnote>
  <w:footnote w:id="3">
    <w:p w:rsidR="00000000" w:rsidDel="00000000" w:rsidP="00000000" w:rsidRDefault="00000000" w:rsidRPr="00000000" w14:paraId="0000001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"Covid-19 Total Data." </w:t>
      </w:r>
      <w:r w:rsidDel="00000000" w:rsidR="00000000" w:rsidRPr="00000000">
        <w:rPr>
          <w:rFonts w:ascii="Times New Roman" w:cs="Times New Roman" w:eastAsia="Times New Roman" w:hAnsi="Times New Roman"/>
          <w:i w:val="1"/>
          <w:sz w:val="20"/>
          <w:szCs w:val="20"/>
          <w:rtl w:val="0"/>
        </w:rPr>
        <w:t xml:space="preserve">NYC Health</w:t>
      </w:r>
      <w:r w:rsidDel="00000000" w:rsidR="00000000" w:rsidRPr="00000000">
        <w:rPr>
          <w:rFonts w:ascii="Times New Roman" w:cs="Times New Roman" w:eastAsia="Times New Roman" w:hAnsi="Times New Roman"/>
          <w:sz w:val="20"/>
          <w:szCs w:val="20"/>
          <w:rtl w:val="0"/>
        </w:rPr>
        <w:t xml:space="preserve">, www1.nyc.gov/site/doh/covid/covid-19-data-totals.page</w:t>
      </w:r>
      <w:r w:rsidDel="00000000" w:rsidR="00000000" w:rsidRPr="00000000">
        <w:rPr>
          <w:rtl w:val="0"/>
        </w:rPr>
      </w:r>
    </w:p>
  </w:footnote>
  <w:footnote w:id="4">
    <w:p w:rsidR="00000000" w:rsidDel="00000000" w:rsidP="00000000" w:rsidRDefault="00000000" w:rsidRPr="00000000" w14:paraId="0000001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"Lenox Hill Demographics." </w:t>
      </w:r>
      <w:r w:rsidDel="00000000" w:rsidR="00000000" w:rsidRPr="00000000">
        <w:rPr>
          <w:rFonts w:ascii="Times New Roman" w:cs="Times New Roman" w:eastAsia="Times New Roman" w:hAnsi="Times New Roman"/>
          <w:i w:val="1"/>
          <w:sz w:val="20"/>
          <w:szCs w:val="20"/>
          <w:rtl w:val="0"/>
        </w:rPr>
        <w:t xml:space="preserve">Point2Homes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www.point2homes.com/US/Neighborhood/NY/Manhattan/Lenox-Hill-Demographics.html</w:t>
      </w:r>
      <w:r w:rsidDel="00000000" w:rsidR="00000000" w:rsidRPr="00000000">
        <w:rPr>
          <w:rtl w:val="0"/>
        </w:rPr>
      </w:r>
    </w:p>
  </w:footnote>
  <w:footnote w:id="5">
    <w:p w:rsidR="00000000" w:rsidDel="00000000" w:rsidP="00000000" w:rsidRDefault="00000000" w:rsidRPr="00000000" w14:paraId="0000001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"East Elmhurst Demographics." </w:t>
      </w:r>
      <w:r w:rsidDel="00000000" w:rsidR="00000000" w:rsidRPr="00000000">
        <w:rPr>
          <w:rFonts w:ascii="Times New Roman" w:cs="Times New Roman" w:eastAsia="Times New Roman" w:hAnsi="Times New Roman"/>
          <w:i w:val="1"/>
          <w:sz w:val="20"/>
          <w:szCs w:val="20"/>
          <w:rtl w:val="0"/>
        </w:rPr>
        <w:t xml:space="preserve">Point2Homes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www.point2homes.com/US/Neighborhood/NY/Queens/East-Elmhurst-Demographics.html</w:t>
      </w:r>
      <w:r w:rsidDel="00000000" w:rsidR="00000000" w:rsidRPr="00000000">
        <w:rPr>
          <w:rtl w:val="0"/>
        </w:rPr>
      </w:r>
    </w:p>
  </w:footnote>
  <w:footnote w:id="6">
    <w:p w:rsidR="00000000" w:rsidDel="00000000" w:rsidP="00000000" w:rsidRDefault="00000000" w:rsidRPr="00000000" w14:paraId="0000001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"East Elmhurst neighborhood in East Elmhurst, New York (NY), 11368, 11369 detailed profile http://www.city-data.com/neighborhood/East-Elmhurst-East-Elmhurst-NY.html." </w:t>
      </w:r>
      <w:r w:rsidDel="00000000" w:rsidR="00000000" w:rsidRPr="00000000">
        <w:rPr>
          <w:rFonts w:ascii="Times New Roman" w:cs="Times New Roman" w:eastAsia="Times New Roman" w:hAnsi="Times New Roman"/>
          <w:i w:val="1"/>
          <w:sz w:val="20"/>
          <w:szCs w:val="20"/>
          <w:rtl w:val="0"/>
        </w:rPr>
        <w:t xml:space="preserve">CIty-Data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www.city-data.com/neighborhood/East-Elmhurst-East-Elmhurst-NY.html</w:t>
      </w:r>
      <w:r w:rsidDel="00000000" w:rsidR="00000000" w:rsidRPr="00000000">
        <w:rPr>
          <w:rtl w:val="0"/>
        </w:rPr>
      </w:r>
    </w:p>
    <w:p w:rsidR="00000000" w:rsidDel="00000000" w:rsidP="00000000" w:rsidRDefault="00000000" w:rsidRPr="00000000" w14:paraId="0000001F">
      <w:pPr>
        <w:spacing w:line="240" w:lineRule="auto"/>
        <w:rPr>
          <w:sz w:val="18"/>
          <w:szCs w:val="18"/>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