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>
          <w:rFonts w:ascii="Times New Roman" w:cs="Times New Roman" w:eastAsia="Times New Roman" w:hAnsi="Times New Roman"/>
          <w:b w:val="1"/>
          <w:color w:val="0b5394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b5394"/>
          <w:sz w:val="40"/>
          <w:szCs w:val="40"/>
          <w:rtl w:val="1"/>
        </w:rPr>
        <w:t xml:space="preserve">التعليم</w:t>
      </w:r>
    </w:p>
    <w:p w:rsidR="00000000" w:rsidDel="00000000" w:rsidP="00000000" w:rsidRDefault="00000000" w:rsidRPr="00000000" w14:paraId="00000002">
      <w:pPr>
        <w:bidi w:val="1"/>
        <w:spacing w:after="0" w:before="0" w:line="3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كتب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بواسطة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Sydney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Berna</w:t>
      </w:r>
    </w:p>
    <w:p w:rsidR="00000000" w:rsidDel="00000000" w:rsidP="00000000" w:rsidRDefault="00000000" w:rsidRPr="00000000" w14:paraId="00000003">
      <w:pPr>
        <w:bidi w:val="1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أدى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تأثير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COVID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-19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تغيير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كبير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جدا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الطريقة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تعليم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الطلاب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أنحاء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العالم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التعليم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الإلكتروني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تزايد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العشرية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الماضية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بسبب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التقدم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التكنولوجي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ويتوقع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تزداد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صناعات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التعليم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تصل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78.5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مليار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دولار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أنحاء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العالم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بحلول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2025.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تشير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الإحصائيات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المتعلقة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بحجم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سوق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التعلم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الإلكتروني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2020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التعليم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المتنقل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يزال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أسرع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الأسواق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نموا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القطاع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حافظ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متوسط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​​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نمو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ثابت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لأكثر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23٪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السنوات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الماضية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الرغم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التزايد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أجبرت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كارثة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COVID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-19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التعلم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عبر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الإنترنت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النمو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بشكل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أسرع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الخيار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التعليمي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الوحيد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معظم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أنحاء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العالم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بسبب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عدم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القدرة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الالتقاء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شخصي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والمخاطر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يشكلها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وجها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لوجه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</w:t>
      </w:r>
    </w:p>
    <w:p w:rsidR="00000000" w:rsidDel="00000000" w:rsidP="00000000" w:rsidRDefault="00000000" w:rsidRPr="00000000" w14:paraId="00000005">
      <w:pPr>
        <w:bidi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إيجابيات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للتعليم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الإلكتروني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الحصول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التعليم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معظم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أفضل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عدم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القدرة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التعلم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التعليم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بعد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مري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ومرن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ويتيح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للطلاب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فرصة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إعادة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الدروس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والعودة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إليها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متى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شاؤا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لتحسين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فهمهم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التعليم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يخلصنا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الحاجة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للتنقل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فهو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يجعل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الفصل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الدراسي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على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شاشتك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مباشرة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استخدام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وسائل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المواصلات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بشكل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أقل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يحافظ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البيئة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يعني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أيضا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المزيد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الراحة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المنزل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حاجة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للتنقل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للذهاب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المدرسة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والعودة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منها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ميزة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مقنعة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للتعليم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عبر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الإنترنت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التعليم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الإلكتروني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يعزز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الانضباط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الذاتي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والتحفيز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لدى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الطالب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وينمي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مهاراته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التقنية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يتحول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إتقانها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فرص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عمل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المستقبل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وعلى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الرغم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الإيجابيات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العديدة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للتعليم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الإلكتروني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يعادلها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السلبيات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فتوفير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التعليم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الإلكتروني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للأطفال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الدول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المتقدمة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يعد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رفاهية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قارناهم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بالعديد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الأطفال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الآخرين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حول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العالم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يمكنهم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الوصول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التكنولوجيا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يتوفرون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البنيات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التعليمية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الأساسية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أولئك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يستطيعون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الوصول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التكنولوجيا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لديهم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المال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إهمالهم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وبالتالي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يواجهون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ضعفا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كبيرا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ً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جدا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تعليمهم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وفق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لليونسكو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"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أدت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جائحة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COVID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-19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إغلاق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المدارس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191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دولة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أثر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1.5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مليار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طالب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الأقل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63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مليون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معلم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ابتدائي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وثانوي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". 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تضيف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اليونسكو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التفاوتات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التعليم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واضحة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بشكل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خاص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البلدان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ضعيفة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الدخل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يقرب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90٪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الطلاب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أفريقيا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الجنوبية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لديهم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أجهزة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كمبيوتر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منزلية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بينما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82٪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قادرين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الاتصال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بالإنترنت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الطلاب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لديهم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إمكانية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الوصول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للتكنولوجيا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والمعدات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وخطوط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إنترنت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سريعة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يواجهون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تحديات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أيضا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ً. 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أدى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إغلاق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المدارس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خلق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العديد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العقبات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والصعوبات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الجديدة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أمام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الآباء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والأمهات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العاملين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ووفقا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لنوع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العديد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العائلات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وضع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أسوأ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التعليم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عبر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الإنترنت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مناسب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مستوى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الملاءمة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يعتمد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العديد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المتغيرات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عيوب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للتعلم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الإلكتروني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عززتها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صناعة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التعليم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الإلكتروني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ومنها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صعوبة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التركيز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الشاشات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لفترات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طويلة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الزمن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والمشكلات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التكنولوجية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المتوقع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حدوثها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والشعور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بالعزلة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وصعوبة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تدريب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المدرسين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وإدارة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وقت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الطلاب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أمام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الشاشة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العديد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الأشياء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تستطيع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الشاشات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توصيلها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الإيماءات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وتعابير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الوجه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وحتى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مزاح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المعلمين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فهذه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الأشياء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بساطتها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أنها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مفيدة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فهم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المحتوى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ويمكن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تعزز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تعليم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الطلاب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يعتقد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الكثيرون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الأسهل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التعلم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داخل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الفصل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الدراسي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يتيح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للطلاب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الاستعداد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للمشاركة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الحوار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والإجابة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الأسئلة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الأسهل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أيض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الاستمرار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التركيز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الفصل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الدراسي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فانتباه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المتعلم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قابلية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للتشتت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حالة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التعلم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عبر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الإنترنت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الحقيقة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وحدها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حجة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أن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التعلم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عبر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الإنترنت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مناسب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ولكنه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مثالي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للكثيرين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سيما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أولئك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يتشتت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انتباههم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بسهولة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لديهم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إلتزامات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المنزل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لتحقيق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النجاح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أثناء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التعلم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عبر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الإنترنت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الطلاب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متحفزين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منضبطين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وموجهين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ذاتي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وقادرين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على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إدارة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الوقت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وتأتي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رأس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قائمة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مصادر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إلهاء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الطلاب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الأجهزة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الإلكترونية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الأيفون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والتي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تحتوي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وسائل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التواصل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الاجتماعي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والرسائل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النصية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والقنوات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التلفزية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علاوة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جو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البيت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أفراد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الأسرة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يشتت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انتباه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الطلاب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بشكل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خاص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الطالب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بيته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يمكنه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الجلوس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أمام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الشاشة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مكان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غرفة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النوم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وإن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بدا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مريحا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أنه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يعيق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التعلم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ويقلل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الإنتاجية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وأخيرا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لعوامل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التشتيت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ونقص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التفاعل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تجعل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الطلاب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أقل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مشاركة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وأن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تؤدي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ضعف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أدائهم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مما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يضر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بتجربتهم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التعليمية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ويعيق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التعلم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الأساسي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قدر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كبير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عدم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المساواة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التعليم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عبر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الإنترنت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ويرجع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أساس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التفاوتات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الهائلة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مستويات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الدخل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تحظي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المدارس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الخاصة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بشكل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عام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بتمويل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جيد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ويكون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طلابها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الغالب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عائلات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ذات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دخل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عال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يتيح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لهؤلاء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الطلاب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القدرة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تحمل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تكاليف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أجهزة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الكمبيوتر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والهواتف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والتكنولوجيا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والاعتماد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اتصالات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الإنترنت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الأسرع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حين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يواجه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العديد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طلاب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المدارس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العامة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عقبات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تقنية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الاتصالات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البطيئة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نقص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المعدات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المناسبة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</w:t>
      </w:r>
    </w:p>
    <w:p w:rsidR="00000000" w:rsidDel="00000000" w:rsidP="00000000" w:rsidRDefault="00000000" w:rsidRPr="00000000" w14:paraId="0000000C">
      <w:pPr>
        <w:bidi w:val="1"/>
        <w:ind w:left="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بالإضافة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التفاوتات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الدخل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أيض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تفاوتات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عنصرية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جذرية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وغير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عادلة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نظام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التعليم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الولايات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المتحدة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وجه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الخصوص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يؤدي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زيادة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اتساع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الفجوة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يملكون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يملكون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وفق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لتحليل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McKinsey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يتلق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40٪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الطلاب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الأمريكيين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أصل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أفريقي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30٪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الطلاب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أصل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إسباني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مدارس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-12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تعليمات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عبر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الإنترنت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أثناء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إغلاق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المدارس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بسبب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COVID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مقارنة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بـ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10٪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الطلاب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البيض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."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للمؤسسات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والمنظمات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الربحية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المساعدة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علاج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الموقف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استهداف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مناطق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خاصة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المشكلة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كبيرة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جد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ومنهجية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الحكومات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تمتلك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الوسائل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لمعالجة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الظلم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تحتاج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الحكومات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المستوى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الفيدرالي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المستوى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المحلي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توجيه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التمويل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المتزايد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نحو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المناطق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التعليمية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الأكثر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حرمان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مساواة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ساحة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التعليم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أبد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التركيز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كلا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القطاعين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العام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والخاص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توفير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التكنولوجيا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والمعلمين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للمناطق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ذات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العوائق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سياسة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عامة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جيدة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ضروري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أيض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للتعلم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الكافي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</w:t>
      </w:r>
    </w:p>
    <w:p w:rsidR="00000000" w:rsidDel="00000000" w:rsidP="00000000" w:rsidRDefault="00000000" w:rsidRPr="00000000" w14:paraId="0000000D">
      <w:pPr>
        <w:bidi w:val="1"/>
        <w:ind w:left="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ind w:left="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عقبة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رئيسية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التحول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زيادة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كمية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التعليم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عبر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الإنترنت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تأثيرها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المباشر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العائلات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وخاصة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لديها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آباء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عاملون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أدى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إغلاق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المدارس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خلق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العديد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المسؤوليات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الجديدة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للوالدين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العاملين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وخاصة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أولئك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لديهم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أطفال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صغار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دون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الثانية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عشرة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وفق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لاستطلاع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جديد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موقع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عبر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الإنترنت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شمل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1000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الآباء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والأمهات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لديهم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أطفال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تقل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أعمارهم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15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يقرب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ثلاثة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أرباع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73٪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الآباء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إنهم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يخططون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لإجراء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تغييرات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كبيرة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حياتهم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المهنية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لاستيعاب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نقص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رعاية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الأطفال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يفكر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حوالي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15٪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هؤلاء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ترك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تمام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4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يحتاج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الأطفال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العمر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عموم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دعم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إضافي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ويحتاجون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مزيد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الاهتمام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يؤدي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مقاطعة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الآباء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عملهم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الأطفال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الصغار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يتعرضون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بسهولة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للتشتت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ويحتاجون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رعاية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شخصية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المنزل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بالإضافة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الغداء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والاستراحات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أنهم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يحتاجون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المساعدة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والدعم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لتحسين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قدرتهم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فهم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دروس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الفصل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الدراسي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يحتاج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العمال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الأساسيون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العاملين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مجال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الرعاية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الصحية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والنقل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والتوصيل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عمال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الأغذية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والزراعة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مواصلة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عمليات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البنية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التحتية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الحيوية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خيار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المجالات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اضطر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الكثيرون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ترك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أطفالهم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دون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إشراف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أجبروا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دفع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تكاليف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رعاية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أطفال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إضافية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يستطيعون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تحملها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بالإضافة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طلب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الوالدين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يعودون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مرهقين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يساعدوا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أطفالهم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مواكبة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السرعة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التعلم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يخلق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تغيير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ديناميات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الأسرة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ويمكن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يصبح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عامل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توتر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تصعب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1"/>
        </w:rPr>
        <w:t xml:space="preserve">إدارته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0F">
      <w:pPr>
        <w:bidi w:val="1"/>
        <w:ind w:left="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ind w:left="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أحدث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فيروس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COVID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-19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تقلب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وتغيرات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حياة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شخص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تقريب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العالم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تسبب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الفيروس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تعطيل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أنظمة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المدارس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والمعلمين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والطلاب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بشدة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أدى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تأثير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الوباء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نظام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التعليم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تغيير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طرق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كيفية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نقل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المعلمين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لمعلوماتهم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والطريقة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يتعلم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الطلاب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المعرفة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ويستوعبونها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والتعديلات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يضطر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العديد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الآباء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العاملين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إجرائها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التعليم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عبر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الإنترنت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مناسب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للكثيرين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للجميع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العديد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العوامل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تؤثر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الطلاب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يمتلكون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الموارد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والمزايا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يتمتع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الطلاب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الآخرون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الأكثر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امتياز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للتقدم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الأمام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المهم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تتكالف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كيانات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الحكومات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المحلية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والوطنية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والمنظمات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الربحية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والمؤسسات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والشركات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القطاع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الخاص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لبذل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وسعها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لضمان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حصول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الطلاب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الأدوات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والموارد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اللازمة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للتعليم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الكافي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والمتساوي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للكل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</w:t>
      </w:r>
    </w:p>
    <w:sectPr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spacing w:line="240" w:lineRule="auto"/>
      <w:rPr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spacing w:line="240" w:lineRule="auto"/>
      <w:rPr>
        <w:sz w:val="18"/>
        <w:szCs w:val="18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spacing w:line="240" w:lineRule="auto"/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spacing w:line="240" w:lineRule="auto"/>
      <w:rPr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spacing w:line="240" w:lineRule="auto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 </w:t>
    </w:r>
  </w:p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9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"Global E-Learning Industry."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Globe News Wire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ReportLinker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, www.globenewswire.com/news-release/2020/11/19/2129923/0/en/Global-E-Learning-Industry.html. Accessed 13 Jan. 2021.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1A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"Startling disparities in digital learning emerge as COVID-19 spreads: UN education agency."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UN News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, 21 Apr. 2020.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Global perspective Human stories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, news.un.org/en/story/2020/04/1062232. Accessed 13 Jan. 2021.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1B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Gautam, Priyanka. "Advantages and Disadvantages of Online Learning."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eLearning Industry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, 10 Oct. 2020.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eLearning Industry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, elearningindustry.com/advantages-and-disadvantages-online-learning. Accessed 13 Jan. 2021.</w:t>
      </w: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01C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Dorn, Emma, et al. "COVID-19 and student learning in the United States: The hurt could last a lifetime."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McKinsey &amp; Company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, 1 June 2020, www.mckinsey.com/industries/public-and-social-sector/our-insights/covid-19-and-student-learning-in-the-united-states-the-hurt-could-last-a-lifetime#. Accessed 13 Jan.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sz w:val="20"/>
          <w:szCs w:val="20"/>
        </w:rPr>
      </w:pPr>
      <w:hyperlink r:id="rId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8"/>
            <w:szCs w:val="18"/>
            <w:u w:val="single"/>
            <w:rtl w:val="0"/>
          </w:rPr>
          <w:t xml:space="preserve">www.mckinsey.com/industries/public-and-social-sector/our-insights/covid-19-and-student-learning-in-the-united-states-the-hurt-</w:t>
        </w:r>
      </w:hyperlink>
      <w:r w:rsidDel="00000000" w:rsidR="00000000" w:rsidRPr="00000000">
        <w:rPr>
          <w:rtl w:val="0"/>
        </w:rPr>
      </w:r>
    </w:p>
  </w:footnote>
  <w:footnote w:id="4">
    <w:p w:rsidR="00000000" w:rsidDel="00000000" w:rsidP="00000000" w:rsidRDefault="00000000" w:rsidRPr="00000000" w14:paraId="0000001E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Paisner, Emily. Weblog post.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Care@Work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, 6 Aug. 2020, workplace.care.com/workingparentssurvey. Accessed 13 Jan. 2021.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://www.mckinsey.com/industries/public-and-social-sector/our-insights/covid-19-and-student-learning-in-the-united-states-the-hurt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