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C2670" w14:paraId="024200B9" w14:textId="77777777" w:rsidTr="009C2670">
        <w:tc>
          <w:tcPr>
            <w:tcW w:w="10456" w:type="dxa"/>
          </w:tcPr>
          <w:p w14:paraId="32705AB5" w14:textId="77777777" w:rsidR="009C2670" w:rsidRPr="009C2670" w:rsidRDefault="009C2670" w:rsidP="009C2670">
            <w:pPr>
              <w:jc w:val="center"/>
              <w:rPr>
                <w:rFonts w:ascii="Gulim" w:eastAsia="Gulim" w:hAnsi="Gulim"/>
                <w:b/>
                <w:bCs/>
                <w:i/>
                <w:iCs/>
                <w:sz w:val="72"/>
                <w:szCs w:val="72"/>
              </w:rPr>
            </w:pPr>
            <w:r w:rsidRPr="009C2670">
              <w:rPr>
                <w:rFonts w:ascii="Gulim" w:eastAsia="Gulim" w:hAnsi="Gulim"/>
                <w:b/>
                <w:bCs/>
                <w:i/>
                <w:iCs/>
                <w:sz w:val="72"/>
                <w:szCs w:val="72"/>
              </w:rPr>
              <w:t>QSI Atyrau Vision</w:t>
            </w:r>
          </w:p>
          <w:p w14:paraId="15C9EBA0" w14:textId="77777777" w:rsidR="009C2670" w:rsidRPr="009C2670" w:rsidRDefault="009C2670" w:rsidP="009C2670">
            <w:pPr>
              <w:jc w:val="center"/>
              <w:rPr>
                <w:rFonts w:ascii="Gulim" w:eastAsia="Gulim" w:hAnsi="Gulim"/>
                <w:b/>
                <w:bCs/>
                <w:sz w:val="28"/>
                <w:szCs w:val="28"/>
              </w:rPr>
            </w:pPr>
          </w:p>
          <w:p w14:paraId="32EAD3C2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</w:p>
          <w:p w14:paraId="4AB3A1CD" w14:textId="7C6467B0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 xml:space="preserve">The vision of the </w:t>
            </w:r>
          </w:p>
          <w:p w14:paraId="53F29395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 xml:space="preserve">International School of Atyrau </w:t>
            </w:r>
          </w:p>
          <w:p w14:paraId="5B8FCC2E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 xml:space="preserve">is to prepare globally </w:t>
            </w:r>
          </w:p>
          <w:p w14:paraId="22BFD0FB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 xml:space="preserve">responsible citizens </w:t>
            </w:r>
          </w:p>
          <w:p w14:paraId="0C06E795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 xml:space="preserve">by providing a </w:t>
            </w:r>
          </w:p>
          <w:p w14:paraId="0FB81523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 xml:space="preserve">compassionate and </w:t>
            </w:r>
          </w:p>
          <w:p w14:paraId="02D9A422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 xml:space="preserve">engaging learning community </w:t>
            </w:r>
          </w:p>
          <w:p w14:paraId="75AAF14E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/>
                <w:bCs/>
                <w:sz w:val="50"/>
                <w:szCs w:val="50"/>
              </w:rPr>
            </w:pPr>
            <w:r w:rsidRPr="009C2670">
              <w:rPr>
                <w:rFonts w:ascii="Gulim" w:eastAsia="Gulim" w:hAnsi="Gulim"/>
                <w:b/>
                <w:bCs/>
                <w:sz w:val="50"/>
                <w:szCs w:val="50"/>
              </w:rPr>
              <w:t>that celebrates differences.</w:t>
            </w:r>
          </w:p>
          <w:p w14:paraId="011EC2C0" w14:textId="77777777" w:rsidR="009C2670" w:rsidRDefault="009C2670" w:rsidP="009C2670">
            <w:pPr>
              <w:spacing w:line="360" w:lineRule="auto"/>
              <w:jc w:val="center"/>
              <w:rPr>
                <w:rFonts w:ascii="Gulim" w:eastAsia="Gulim" w:hAnsi="Gulim"/>
                <w:bCs/>
                <w:sz w:val="50"/>
                <w:szCs w:val="50"/>
              </w:rPr>
            </w:pPr>
          </w:p>
          <w:p w14:paraId="2C3EDA1B" w14:textId="1421E5F7" w:rsidR="009C2670" w:rsidRPr="009C2670" w:rsidRDefault="009C2670" w:rsidP="009C2670">
            <w:pPr>
              <w:spacing w:line="360" w:lineRule="auto"/>
              <w:rPr>
                <w:rFonts w:ascii="Gulim" w:eastAsia="Gulim" w:hAnsi="Gulim"/>
                <w:sz w:val="50"/>
                <w:szCs w:val="50"/>
              </w:rPr>
            </w:pPr>
          </w:p>
        </w:tc>
      </w:tr>
    </w:tbl>
    <w:p w14:paraId="603148FF" w14:textId="77777777" w:rsidR="005807C7" w:rsidRDefault="005807C7" w:rsidP="005807C7">
      <w:pPr>
        <w:ind w:left="360"/>
        <w:jc w:val="both"/>
        <w:rPr>
          <w:rFonts w:ascii="Gulim" w:eastAsia="Gulim" w:hAnsi="Gulim"/>
          <w:sz w:val="28"/>
          <w:szCs w:val="28"/>
        </w:rPr>
      </w:pPr>
    </w:p>
    <w:p w14:paraId="34D3B03D" w14:textId="77777777" w:rsidR="005807C7" w:rsidRDefault="005807C7" w:rsidP="005807C7">
      <w:pPr>
        <w:ind w:left="360"/>
        <w:jc w:val="both"/>
        <w:rPr>
          <w:rFonts w:ascii="Gulim" w:eastAsia="Gulim" w:hAnsi="Gulim"/>
          <w:sz w:val="28"/>
          <w:szCs w:val="28"/>
        </w:rPr>
      </w:pPr>
    </w:p>
    <w:p w14:paraId="4A15EE7A" w14:textId="10A52C45" w:rsidR="008B1480" w:rsidRPr="009C2670" w:rsidRDefault="00C90F54" w:rsidP="009C2670">
      <w:pPr>
        <w:jc w:val="both"/>
        <w:rPr>
          <w:sz w:val="28"/>
          <w:szCs w:val="28"/>
        </w:rPr>
      </w:pPr>
      <w:r w:rsidRPr="00883167">
        <w:rPr>
          <w:sz w:val="28"/>
          <w:szCs w:val="28"/>
        </w:rPr>
        <w:t xml:space="preserve"> </w:t>
      </w:r>
    </w:p>
    <w:sectPr w:rsidR="008B1480" w:rsidRPr="009C2670" w:rsidSect="007458B0">
      <w:headerReference w:type="default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4C2DC" w14:textId="77777777" w:rsidR="00926AB0" w:rsidRDefault="00926AB0" w:rsidP="00E05EA3">
      <w:r>
        <w:separator/>
      </w:r>
    </w:p>
  </w:endnote>
  <w:endnote w:type="continuationSeparator" w:id="0">
    <w:p w14:paraId="697BFBCD" w14:textId="77777777" w:rsidR="00926AB0" w:rsidRDefault="00926AB0" w:rsidP="00E0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F20E8" w14:textId="50274B9F" w:rsidR="00E05EA3" w:rsidRDefault="00E05EA3">
    <w:pPr>
      <w:pStyle w:val="Footer"/>
    </w:pPr>
    <w:bookmarkStart w:id="2" w:name="_Hlk46645247"/>
    <w:bookmarkStart w:id="3" w:name="_Hlk46645248"/>
    <w:r>
      <w:rPr>
        <w:noProof/>
      </w:rPr>
      <w:drawing>
        <wp:anchor distT="0" distB="0" distL="114300" distR="114300" simplePos="0" relativeHeight="251657728" behindDoc="0" locked="0" layoutInCell="1" allowOverlap="1" wp14:anchorId="6C690947" wp14:editId="399C7F50">
          <wp:simplePos x="0" y="0"/>
          <wp:positionH relativeFrom="page">
            <wp:align>left</wp:align>
          </wp:positionH>
          <wp:positionV relativeFrom="page">
            <wp:posOffset>9719200</wp:posOffset>
          </wp:positionV>
          <wp:extent cx="7562850" cy="1092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977F" w14:textId="77777777" w:rsidR="00926AB0" w:rsidRDefault="00926AB0" w:rsidP="00E05EA3">
      <w:r>
        <w:separator/>
      </w:r>
    </w:p>
  </w:footnote>
  <w:footnote w:type="continuationSeparator" w:id="0">
    <w:p w14:paraId="23250DA8" w14:textId="77777777" w:rsidR="00926AB0" w:rsidRDefault="00926AB0" w:rsidP="00E0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3"/>
      <w:gridCol w:w="5233"/>
    </w:tblGrid>
    <w:tr w:rsidR="00EA1D7E" w14:paraId="65161D7B" w14:textId="77777777" w:rsidTr="00E073D7">
      <w:tc>
        <w:tcPr>
          <w:tcW w:w="2500" w:type="pct"/>
        </w:tcPr>
        <w:p w14:paraId="51CFE6A6" w14:textId="77F35F09" w:rsidR="00EA1D7E" w:rsidRDefault="00EA1D7E" w:rsidP="00EA1D7E">
          <w:pPr>
            <w:pStyle w:val="Header"/>
          </w:pPr>
          <w:bookmarkStart w:id="0" w:name="_Hlk46645240"/>
          <w:bookmarkStart w:id="1" w:name="_Hlk46645241"/>
          <w:r w:rsidRPr="00B87507">
            <w:rPr>
              <w:rFonts w:asciiTheme="majorHAnsi" w:hAnsiTheme="majorHAnsi" w:cstheme="majorHAnsi"/>
              <w:noProof/>
              <w:color w:val="FF0000"/>
            </w:rPr>
            <w:drawing>
              <wp:inline distT="0" distB="0" distL="0" distR="0" wp14:anchorId="21A1CDB7" wp14:editId="4DE0EE44">
                <wp:extent cx="2622550" cy="523939"/>
                <wp:effectExtent l="0" t="0" r="635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SI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1639" cy="533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Merge w:val="restart"/>
        </w:tcPr>
        <w:p w14:paraId="2644FDCA" w14:textId="574A8999" w:rsidR="00EA1D7E" w:rsidRPr="009027DF" w:rsidRDefault="00EA1D7E" w:rsidP="00EA1D7E">
          <w:pPr>
            <w:jc w:val="right"/>
            <w:rPr>
              <w:rFonts w:ascii="Myriad Pro Cond" w:hAnsi="Myriad Pro Cond" w:cs="Myriad Pro Cond"/>
              <w:color w:val="28385A"/>
            </w:rPr>
          </w:pPr>
          <w:r w:rsidRPr="009027DF">
            <w:rPr>
              <w:rFonts w:ascii="Myriad Pro Cond" w:hAnsi="Myriad Pro Cond" w:cs="Myriad Pro Cond"/>
              <w:color w:val="28385A"/>
            </w:rPr>
            <w:t xml:space="preserve">Quality Schools International </w:t>
          </w:r>
          <w:r w:rsidR="00D26F3B">
            <w:rPr>
              <w:rFonts w:ascii="Myriad Pro Cond" w:hAnsi="Myriad Pro Cond" w:cs="Myriad Pro Cond"/>
              <w:color w:val="28385A"/>
            </w:rPr>
            <w:t>of Atyrau</w:t>
          </w:r>
        </w:p>
        <w:p w14:paraId="15815060" w14:textId="0303E56D" w:rsidR="000309D5" w:rsidRDefault="00BF145E" w:rsidP="00EA1D7E">
          <w:pPr>
            <w:jc w:val="right"/>
            <w:rPr>
              <w:rFonts w:ascii="Myriad Pro Cond" w:hAnsi="Myriad Pro Cond" w:cs="Myriad Pro Cond"/>
              <w:color w:val="28385A"/>
            </w:rPr>
          </w:pPr>
          <w:r w:rsidRPr="00BF145E">
            <w:rPr>
              <w:rFonts w:ascii="Myriad Pro Cond" w:hAnsi="Myriad Pro Cond" w:cs="Myriad Pro Cond"/>
              <w:color w:val="28385A"/>
            </w:rPr>
            <w:t xml:space="preserve">473 </w:t>
          </w:r>
          <w:proofErr w:type="spellStart"/>
          <w:r w:rsidRPr="00BF145E">
            <w:rPr>
              <w:rFonts w:ascii="Myriad Pro Cond" w:hAnsi="Myriad Pro Cond" w:cs="Myriad Pro Cond"/>
              <w:color w:val="28385A"/>
            </w:rPr>
            <w:t>bld</w:t>
          </w:r>
          <w:proofErr w:type="spellEnd"/>
          <w:r w:rsidRPr="00BF145E">
            <w:rPr>
              <w:rFonts w:ascii="Myriad Pro Cond" w:hAnsi="Myriad Pro Cond" w:cs="Myriad Pro Cond"/>
              <w:color w:val="28385A"/>
            </w:rPr>
            <w:t xml:space="preserve">, </w:t>
          </w:r>
          <w:proofErr w:type="spellStart"/>
          <w:r w:rsidRPr="00BF145E">
            <w:rPr>
              <w:rFonts w:ascii="Myriad Pro Cond" w:hAnsi="Myriad Pro Cond" w:cs="Myriad Pro Cond"/>
              <w:color w:val="28385A"/>
            </w:rPr>
            <w:t>Beibarys</w:t>
          </w:r>
          <w:proofErr w:type="spellEnd"/>
          <w:r w:rsidRPr="00BF145E">
            <w:rPr>
              <w:rFonts w:ascii="Myriad Pro Cond" w:hAnsi="Myriad Pro Cond" w:cs="Myriad Pro Cond"/>
              <w:color w:val="28385A"/>
            </w:rPr>
            <w:t xml:space="preserve"> </w:t>
          </w:r>
          <w:r w:rsidR="000309D5">
            <w:rPr>
              <w:rFonts w:ascii="Myriad Pro Cond" w:hAnsi="Myriad Pro Cond" w:cs="Myriad Pro Cond"/>
              <w:color w:val="28385A"/>
            </w:rPr>
            <w:t>prospect</w:t>
          </w:r>
        </w:p>
        <w:p w14:paraId="1C815913" w14:textId="5722BB2C" w:rsidR="00EA1D7E" w:rsidRPr="009027DF" w:rsidRDefault="000309D5" w:rsidP="00EA1D7E">
          <w:pPr>
            <w:jc w:val="right"/>
            <w:rPr>
              <w:rFonts w:ascii="Myriad Pro Cond" w:hAnsi="Myriad Pro Cond" w:cs="Myriad Pro Cond"/>
              <w:color w:val="28385A"/>
            </w:rPr>
          </w:pPr>
          <w:r w:rsidRPr="000309D5">
            <w:rPr>
              <w:rFonts w:ascii="Myriad Pro Cond" w:hAnsi="Myriad Pro Cond" w:cs="Myriad Pro Cond"/>
              <w:color w:val="28385A"/>
            </w:rPr>
            <w:t>Atyrau 060011 Kazakhstan</w:t>
          </w:r>
        </w:p>
        <w:p w14:paraId="2FD04C91" w14:textId="0D083365" w:rsidR="00EA1D7E" w:rsidRDefault="000309D5" w:rsidP="00EA1D7E">
          <w:pPr>
            <w:jc w:val="right"/>
          </w:pPr>
          <w:r>
            <w:rPr>
              <w:rFonts w:ascii="Myriad Pro Cond" w:hAnsi="Myriad Pro Cond" w:cs="Myriad Pro Cond"/>
              <w:color w:val="28385A"/>
            </w:rPr>
            <w:t xml:space="preserve">Tel: </w:t>
          </w:r>
          <w:r w:rsidR="00E16DA4" w:rsidRPr="00E16DA4">
            <w:rPr>
              <w:rFonts w:ascii="Myriad Pro Cond" w:hAnsi="Myriad Pro Cond" w:cs="Myriad Pro Cond"/>
              <w:color w:val="28385A"/>
            </w:rPr>
            <w:t>+7 7122 51 83 97 / 98</w:t>
          </w:r>
        </w:p>
      </w:tc>
    </w:tr>
    <w:tr w:rsidR="00EA1D7E" w14:paraId="45065E13" w14:textId="77777777" w:rsidTr="00E073D7">
      <w:tc>
        <w:tcPr>
          <w:tcW w:w="2500" w:type="pct"/>
        </w:tcPr>
        <w:p w14:paraId="03951BDB" w14:textId="6A2B7124" w:rsidR="00EA1D7E" w:rsidRPr="00B87507" w:rsidRDefault="00926AB0" w:rsidP="00A465F2">
          <w:pPr>
            <w:pStyle w:val="Header"/>
            <w:ind w:left="28"/>
            <w:rPr>
              <w:rFonts w:asciiTheme="majorHAnsi" w:hAnsiTheme="majorHAnsi" w:cstheme="majorHAnsi"/>
              <w:noProof/>
              <w:color w:val="FF0000"/>
            </w:rPr>
          </w:pPr>
          <w:hyperlink r:id="rId2" w:history="1">
            <w:r w:rsidR="00D26F3B" w:rsidRPr="004E1F93">
              <w:rPr>
                <w:rStyle w:val="Hyperlink"/>
                <w:rFonts w:ascii="Myriad Pro Cond" w:hAnsi="Myriad Pro Cond" w:cs="Myriad Pro Cond"/>
              </w:rPr>
              <w:t>https://atyrau.qsi.org</w:t>
            </w:r>
          </w:hyperlink>
          <w:r w:rsidR="00EA1D7E">
            <w:rPr>
              <w:rFonts w:ascii="Myriad Pro Cond" w:hAnsi="Myriad Pro Cond" w:cs="Myriad Pro Cond"/>
              <w:color w:val="28385A"/>
            </w:rPr>
            <w:t xml:space="preserve">  </w:t>
          </w:r>
          <w:r w:rsidR="00EA1D7E" w:rsidRPr="00A465F2">
            <w:rPr>
              <w:rFonts w:ascii="Myriad Pro Cond" w:hAnsi="Myriad Pro Cond" w:cs="Myriad Pro Cond"/>
              <w:color w:val="767171" w:themeColor="background2" w:themeShade="80"/>
            </w:rPr>
            <w:t>|</w:t>
          </w:r>
          <w:r w:rsidR="00EA1D7E">
            <w:rPr>
              <w:rFonts w:ascii="Myriad Pro Cond" w:hAnsi="Myriad Pro Cond" w:cs="Myriad Pro Cond"/>
              <w:color w:val="28385A"/>
            </w:rPr>
            <w:t xml:space="preserve">  </w:t>
          </w:r>
          <w:r w:rsidR="00D26F3B">
            <w:rPr>
              <w:rFonts w:ascii="Myriad Pro Cond" w:hAnsi="Myriad Pro Cond" w:cs="Myriad Pro Cond"/>
              <w:color w:val="28385A"/>
            </w:rPr>
            <w:t>atyrau</w:t>
          </w:r>
          <w:r w:rsidR="00EA1D7E">
            <w:rPr>
              <w:rFonts w:ascii="Myriad Pro Cond" w:hAnsi="Myriad Pro Cond" w:cs="Myriad Pro Cond"/>
              <w:color w:val="28385A"/>
            </w:rPr>
            <w:t>@qsi.org</w:t>
          </w:r>
        </w:p>
      </w:tc>
      <w:tc>
        <w:tcPr>
          <w:tcW w:w="2500" w:type="pct"/>
          <w:vMerge/>
        </w:tcPr>
        <w:p w14:paraId="0A5A4B45" w14:textId="77777777" w:rsidR="00EA1D7E" w:rsidRPr="009027DF" w:rsidRDefault="00EA1D7E" w:rsidP="00EA1D7E">
          <w:pPr>
            <w:jc w:val="right"/>
            <w:rPr>
              <w:rFonts w:ascii="Myriad Pro Cond" w:hAnsi="Myriad Pro Cond" w:cs="Myriad Pro Cond"/>
              <w:color w:val="28385A"/>
            </w:rPr>
          </w:pPr>
        </w:p>
      </w:tc>
    </w:tr>
  </w:tbl>
  <w:p w14:paraId="7BE5B0A4" w14:textId="2F697627" w:rsidR="005A16E7" w:rsidRDefault="005A16E7" w:rsidP="00E073D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E23BF5" wp14:editId="7BE67AA6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62850" cy="1111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ica.jpg"/>
                  <pic:cNvPicPr/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2850" cy="11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p w14:paraId="40ECB4D9" w14:textId="150D0445" w:rsidR="00E05EA3" w:rsidRPr="00E05EA3" w:rsidRDefault="00E05EA3" w:rsidP="00E07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54936"/>
    <w:multiLevelType w:val="hybridMultilevel"/>
    <w:tmpl w:val="9C50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56F1"/>
    <w:multiLevelType w:val="hybridMultilevel"/>
    <w:tmpl w:val="605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67078"/>
    <w:multiLevelType w:val="hybridMultilevel"/>
    <w:tmpl w:val="0CDA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809D9"/>
    <w:multiLevelType w:val="hybridMultilevel"/>
    <w:tmpl w:val="FC26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839C8"/>
    <w:multiLevelType w:val="hybridMultilevel"/>
    <w:tmpl w:val="901C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76C9"/>
    <w:multiLevelType w:val="hybridMultilevel"/>
    <w:tmpl w:val="8AEE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5A"/>
    <w:rsid w:val="000276A0"/>
    <w:rsid w:val="000309D5"/>
    <w:rsid w:val="00050045"/>
    <w:rsid w:val="00062A5A"/>
    <w:rsid w:val="000E07B1"/>
    <w:rsid w:val="000F76C2"/>
    <w:rsid w:val="00106F0F"/>
    <w:rsid w:val="00121857"/>
    <w:rsid w:val="00171C4B"/>
    <w:rsid w:val="00196897"/>
    <w:rsid w:val="001B3C4C"/>
    <w:rsid w:val="001B5341"/>
    <w:rsid w:val="001E5129"/>
    <w:rsid w:val="0021454B"/>
    <w:rsid w:val="0025074D"/>
    <w:rsid w:val="002A4FE4"/>
    <w:rsid w:val="002C00C6"/>
    <w:rsid w:val="002E03FC"/>
    <w:rsid w:val="00306717"/>
    <w:rsid w:val="0036187D"/>
    <w:rsid w:val="00387DAB"/>
    <w:rsid w:val="00393F3A"/>
    <w:rsid w:val="003B006A"/>
    <w:rsid w:val="00443351"/>
    <w:rsid w:val="00444861"/>
    <w:rsid w:val="004975E8"/>
    <w:rsid w:val="004E2FE4"/>
    <w:rsid w:val="00505750"/>
    <w:rsid w:val="00516777"/>
    <w:rsid w:val="00551740"/>
    <w:rsid w:val="00567681"/>
    <w:rsid w:val="00575B5C"/>
    <w:rsid w:val="005807C7"/>
    <w:rsid w:val="005A16E7"/>
    <w:rsid w:val="005B3F70"/>
    <w:rsid w:val="005B5D6C"/>
    <w:rsid w:val="005E3EA2"/>
    <w:rsid w:val="005E7077"/>
    <w:rsid w:val="005F7990"/>
    <w:rsid w:val="00642716"/>
    <w:rsid w:val="0065248B"/>
    <w:rsid w:val="00697A5B"/>
    <w:rsid w:val="006B2F91"/>
    <w:rsid w:val="0072468E"/>
    <w:rsid w:val="00740D20"/>
    <w:rsid w:val="007458B0"/>
    <w:rsid w:val="00751122"/>
    <w:rsid w:val="0076794D"/>
    <w:rsid w:val="00767D04"/>
    <w:rsid w:val="007877E6"/>
    <w:rsid w:val="007C3604"/>
    <w:rsid w:val="007F2375"/>
    <w:rsid w:val="00832F20"/>
    <w:rsid w:val="0087176A"/>
    <w:rsid w:val="00891B63"/>
    <w:rsid w:val="008A06A4"/>
    <w:rsid w:val="008B1480"/>
    <w:rsid w:val="00926AB0"/>
    <w:rsid w:val="00993780"/>
    <w:rsid w:val="009A62B7"/>
    <w:rsid w:val="009C2670"/>
    <w:rsid w:val="009E486F"/>
    <w:rsid w:val="00A034D4"/>
    <w:rsid w:val="00A04CE4"/>
    <w:rsid w:val="00A1225B"/>
    <w:rsid w:val="00A465F2"/>
    <w:rsid w:val="00A61133"/>
    <w:rsid w:val="00A6726F"/>
    <w:rsid w:val="00AC18B0"/>
    <w:rsid w:val="00AD3F08"/>
    <w:rsid w:val="00AE1193"/>
    <w:rsid w:val="00AE5C13"/>
    <w:rsid w:val="00AF1894"/>
    <w:rsid w:val="00B052CA"/>
    <w:rsid w:val="00B166BC"/>
    <w:rsid w:val="00B36A9B"/>
    <w:rsid w:val="00B87507"/>
    <w:rsid w:val="00BB121D"/>
    <w:rsid w:val="00BD6BBA"/>
    <w:rsid w:val="00BE3AA2"/>
    <w:rsid w:val="00BF145E"/>
    <w:rsid w:val="00C1191E"/>
    <w:rsid w:val="00C2338D"/>
    <w:rsid w:val="00C70EC0"/>
    <w:rsid w:val="00C710EF"/>
    <w:rsid w:val="00C90F54"/>
    <w:rsid w:val="00C939A1"/>
    <w:rsid w:val="00D231EE"/>
    <w:rsid w:val="00D26F3B"/>
    <w:rsid w:val="00D42352"/>
    <w:rsid w:val="00D53750"/>
    <w:rsid w:val="00D54BD1"/>
    <w:rsid w:val="00D6744B"/>
    <w:rsid w:val="00D81549"/>
    <w:rsid w:val="00DC6D05"/>
    <w:rsid w:val="00DE329B"/>
    <w:rsid w:val="00E05EA3"/>
    <w:rsid w:val="00E073D7"/>
    <w:rsid w:val="00E16DA4"/>
    <w:rsid w:val="00EA1D7E"/>
    <w:rsid w:val="00EC35A8"/>
    <w:rsid w:val="00EE63F8"/>
    <w:rsid w:val="00F109B7"/>
    <w:rsid w:val="00F77825"/>
    <w:rsid w:val="00F87A0B"/>
    <w:rsid w:val="00FA04C4"/>
    <w:rsid w:val="00FB7D53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ED465"/>
  <w15:chartTrackingRefBased/>
  <w15:docId w15:val="{E6D785D0-A80F-42E0-AFC0-3B58124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E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7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7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7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E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E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5EA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5248B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524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A4F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57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75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575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3F70"/>
    <w:pPr>
      <w:spacing w:before="100" w:beforeAutospacing="1" w:after="100" w:afterAutospacing="1"/>
    </w:pPr>
  </w:style>
  <w:style w:type="paragraph" w:customStyle="1" w:styleId="BasicParagraph">
    <w:name w:val="[Basic Paragraph]"/>
    <w:basedOn w:val="Normal"/>
    <w:uiPriority w:val="99"/>
    <w:rsid w:val="007458B0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</w:rPr>
  </w:style>
  <w:style w:type="character" w:styleId="Hyperlink">
    <w:name w:val="Hyperlink"/>
    <w:basedOn w:val="DefaultParagraphFont"/>
    <w:uiPriority w:val="99"/>
    <w:unhideWhenUsed/>
    <w:rsid w:val="00EA1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D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B7D53"/>
    <w:rPr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FB7D53"/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atyrau.qsi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F048C13BAAF4D80C4F755A842E41D" ma:contentTypeVersion="13" ma:contentTypeDescription="Create a new document." ma:contentTypeScope="" ma:versionID="c15bb88109cc43c2079a1aeaa18760ca">
  <xsd:schema xmlns:xsd="http://www.w3.org/2001/XMLSchema" xmlns:xs="http://www.w3.org/2001/XMLSchema" xmlns:p="http://schemas.microsoft.com/office/2006/metadata/properties" xmlns:ns3="6478af6b-9e96-404b-aa76-b614ea5aeb35" xmlns:ns4="9a2d2ea2-a5b5-4c4e-873a-2ba9798cb321" targetNamespace="http://schemas.microsoft.com/office/2006/metadata/properties" ma:root="true" ma:fieldsID="46a32a2896552bb9dbde33dd84d42329" ns3:_="" ns4:_="">
    <xsd:import namespace="6478af6b-9e96-404b-aa76-b614ea5aeb35"/>
    <xsd:import namespace="9a2d2ea2-a5b5-4c4e-873a-2ba9798cb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8af6b-9e96-404b-aa76-b614ea5a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2ea2-a5b5-4c4e-873a-2ba9798cb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1F885-1BE9-4A71-9A12-417BBCA1C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6DDE3-F487-4EC3-8DCB-7016451C6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3D9DA-1A39-406A-87A6-CD31ECA5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8af6b-9e96-404b-aa76-b614ea5aeb35"/>
    <ds:schemaRef ds:uri="9a2d2ea2-a5b5-4c4e-873a-2ba9798cb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Olson</dc:creator>
  <cp:keywords/>
  <dc:description/>
  <cp:lastModifiedBy>Ainagul Sarshalova</cp:lastModifiedBy>
  <cp:revision>16</cp:revision>
  <cp:lastPrinted>2021-02-11T06:42:00Z</cp:lastPrinted>
  <dcterms:created xsi:type="dcterms:W3CDTF">2020-08-06T08:25:00Z</dcterms:created>
  <dcterms:modified xsi:type="dcterms:W3CDTF">2021-03-05T04:39:00Z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0x01010072BF048C13BAAF4D80C4F755A842E41D</vt:lpwstr>
  </property>
</Properties>
</file>