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2B3" w:rsidRDefault="00EF52B3">
      <w:pPr>
        <w:pStyle w:val="Title"/>
        <w:rPr>
          <w:sz w:val="28"/>
        </w:rPr>
      </w:pPr>
      <w:bookmarkStart w:id="0" w:name="_GoBack"/>
      <w:bookmarkEnd w:id="0"/>
      <w:r>
        <w:rPr>
          <w:sz w:val="28"/>
        </w:rPr>
        <w:t>NOTICE OF PUBLIC MEETING TO DISCUSS</w:t>
      </w:r>
    </w:p>
    <w:p w:rsidR="00EF52B3" w:rsidRDefault="00EF52B3">
      <w:pPr>
        <w:pStyle w:val="Heading1"/>
        <w:rPr>
          <w:b/>
          <w:sz w:val="28"/>
        </w:rPr>
      </w:pPr>
      <w:r>
        <w:rPr>
          <w:b/>
          <w:sz w:val="28"/>
        </w:rPr>
        <w:t>BUDGET AND PROPOSED TAX RATE</w:t>
      </w:r>
    </w:p>
    <w:p w:rsidR="00EF52B3" w:rsidRDefault="00EF52B3"/>
    <w:p w:rsidR="00EF52B3" w:rsidRDefault="00EF52B3">
      <w:pPr>
        <w:jc w:val="both"/>
        <w:rPr>
          <w:sz w:val="22"/>
        </w:rPr>
      </w:pPr>
      <w:r>
        <w:rPr>
          <w:sz w:val="22"/>
        </w:rPr>
        <w:t>The Mesquite Independent School District will hold a public</w:t>
      </w:r>
      <w:r w:rsidR="005B184A">
        <w:rPr>
          <w:sz w:val="22"/>
        </w:rPr>
        <w:t xml:space="preserve"> meeting at 6:</w:t>
      </w:r>
      <w:r w:rsidR="0015699E">
        <w:rPr>
          <w:sz w:val="22"/>
        </w:rPr>
        <w:t>30</w:t>
      </w:r>
      <w:r w:rsidR="005B184A">
        <w:rPr>
          <w:sz w:val="22"/>
        </w:rPr>
        <w:t xml:space="preserve"> p.m., August </w:t>
      </w:r>
      <w:r w:rsidR="00916A7C">
        <w:rPr>
          <w:sz w:val="22"/>
        </w:rPr>
        <w:t>1</w:t>
      </w:r>
      <w:r w:rsidR="00394765">
        <w:rPr>
          <w:sz w:val="22"/>
        </w:rPr>
        <w:t>2</w:t>
      </w:r>
      <w:r>
        <w:rPr>
          <w:sz w:val="22"/>
        </w:rPr>
        <w:t xml:space="preserve">,    </w:t>
      </w:r>
      <w:r>
        <w:rPr>
          <w:sz w:val="22"/>
          <w:u w:val="single"/>
        </w:rPr>
        <w:t xml:space="preserve"> </w:t>
      </w:r>
      <w:r w:rsidR="005B184A">
        <w:rPr>
          <w:sz w:val="22"/>
        </w:rPr>
        <w:t>20</w:t>
      </w:r>
      <w:r w:rsidR="003B37D8">
        <w:rPr>
          <w:sz w:val="22"/>
        </w:rPr>
        <w:t>1</w:t>
      </w:r>
      <w:r w:rsidR="00394765">
        <w:rPr>
          <w:sz w:val="22"/>
        </w:rPr>
        <w:t>9</w:t>
      </w:r>
      <w:r>
        <w:rPr>
          <w:sz w:val="22"/>
        </w:rPr>
        <w:t xml:space="preserve">, in Professional Development Center, 2600 Motley, Mesquite, TX.  </w:t>
      </w:r>
      <w:r>
        <w:rPr>
          <w:b/>
          <w:sz w:val="22"/>
        </w:rPr>
        <w:t>The purpose of this meeting is to discuss the school district’s budget that will determine the tax rate that will be adopted.  Public participation in the discussion is invited</w:t>
      </w:r>
      <w:r>
        <w:rPr>
          <w:sz w:val="22"/>
        </w:rPr>
        <w:t>.</w:t>
      </w:r>
    </w:p>
    <w:p w:rsidR="00EF52B3" w:rsidRDefault="00EF52B3">
      <w:pPr>
        <w:jc w:val="both"/>
        <w:rPr>
          <w:sz w:val="22"/>
        </w:rPr>
      </w:pPr>
    </w:p>
    <w:p w:rsidR="00EF52B3" w:rsidRDefault="00EF52B3">
      <w:pPr>
        <w:pStyle w:val="BodyText"/>
        <w:jc w:val="both"/>
        <w:rPr>
          <w:sz w:val="20"/>
        </w:rPr>
      </w:pPr>
      <w:r>
        <w:rPr>
          <w:sz w:val="20"/>
        </w:rPr>
        <w:t>The tax rate that is ultimately adopted at this meeting or at a separate meeting at a later date may not exceed the proposed rate shown below unless the district publishes a revised notice containing the same information and comparisons set out below and holds another public meeting to discuss the revised notice.</w:t>
      </w:r>
    </w:p>
    <w:p w:rsidR="00EF52B3" w:rsidRDefault="00EF52B3">
      <w:pPr>
        <w:pStyle w:val="BodyText"/>
        <w:jc w:val="both"/>
      </w:pPr>
    </w:p>
    <w:p w:rsidR="00EF52B3" w:rsidRDefault="00EF52B3">
      <w:pPr>
        <w:pStyle w:val="BodyText"/>
        <w:pBdr>
          <w:top w:val="single" w:sz="4" w:space="1" w:color="auto"/>
          <w:left w:val="single" w:sz="4" w:space="4" w:color="auto"/>
          <w:bottom w:val="single" w:sz="4" w:space="1" w:color="auto"/>
          <w:right w:val="single" w:sz="4" w:space="4" w:color="auto"/>
        </w:pBdr>
        <w:jc w:val="both"/>
        <w:rPr>
          <w:sz w:val="20"/>
        </w:rPr>
      </w:pPr>
      <w:r>
        <w:tab/>
      </w:r>
    </w:p>
    <w:p w:rsidR="00EF52B3" w:rsidRDefault="00EF52B3">
      <w:pPr>
        <w:pStyle w:val="BodyText"/>
        <w:pBdr>
          <w:top w:val="single" w:sz="4" w:space="1" w:color="auto"/>
          <w:left w:val="single" w:sz="4" w:space="4" w:color="auto"/>
          <w:bottom w:val="single" w:sz="4" w:space="1" w:color="auto"/>
          <w:right w:val="single" w:sz="4" w:space="4" w:color="auto"/>
        </w:pBdr>
        <w:jc w:val="both"/>
        <w:rPr>
          <w:sz w:val="20"/>
        </w:rPr>
      </w:pPr>
      <w:r>
        <w:rPr>
          <w:sz w:val="20"/>
        </w:rPr>
        <w:tab/>
      </w:r>
      <w:r>
        <w:rPr>
          <w:b/>
          <w:sz w:val="20"/>
        </w:rPr>
        <w:t>Maintenance Tax</w:t>
      </w:r>
      <w:r>
        <w:rPr>
          <w:sz w:val="20"/>
        </w:rPr>
        <w:tab/>
        <w:t xml:space="preserve">          </w:t>
      </w:r>
      <w:r>
        <w:rPr>
          <w:sz w:val="20"/>
          <w:u w:val="single"/>
        </w:rPr>
        <w:t>$</w:t>
      </w:r>
      <w:r w:rsidR="00394765">
        <w:rPr>
          <w:sz w:val="20"/>
          <w:u w:val="single"/>
        </w:rPr>
        <w:t xml:space="preserve"> </w:t>
      </w:r>
      <w:r>
        <w:rPr>
          <w:sz w:val="20"/>
          <w:u w:val="single"/>
        </w:rPr>
        <w:t xml:space="preserve"> </w:t>
      </w:r>
      <w:r w:rsidR="0049091D">
        <w:rPr>
          <w:sz w:val="20"/>
          <w:u w:val="single"/>
        </w:rPr>
        <w:t>.</w:t>
      </w:r>
      <w:r w:rsidR="00394765">
        <w:rPr>
          <w:sz w:val="20"/>
          <w:u w:val="single"/>
        </w:rPr>
        <w:t>97</w:t>
      </w:r>
      <w:r w:rsidR="00A257E1">
        <w:rPr>
          <w:sz w:val="20"/>
          <w:u w:val="single"/>
        </w:rPr>
        <w:t xml:space="preserve">  /</w:t>
      </w:r>
      <w:r>
        <w:rPr>
          <w:sz w:val="20"/>
        </w:rPr>
        <w:t>$100 (Proposed rate for maintenance and operations)</w:t>
      </w:r>
    </w:p>
    <w:p w:rsidR="00EF52B3" w:rsidRDefault="00EF52B3">
      <w:pPr>
        <w:pStyle w:val="BodyText"/>
        <w:pBdr>
          <w:top w:val="single" w:sz="4" w:space="1" w:color="auto"/>
          <w:left w:val="single" w:sz="4" w:space="4" w:color="auto"/>
          <w:bottom w:val="single" w:sz="4" w:space="1" w:color="auto"/>
          <w:right w:val="single" w:sz="4" w:space="4" w:color="auto"/>
        </w:pBdr>
        <w:jc w:val="both"/>
        <w:rPr>
          <w:sz w:val="20"/>
        </w:rPr>
      </w:pPr>
    </w:p>
    <w:p w:rsidR="00EF52B3" w:rsidRDefault="00EF52B3">
      <w:pPr>
        <w:pStyle w:val="BodyText"/>
        <w:pBdr>
          <w:top w:val="single" w:sz="4" w:space="1" w:color="auto"/>
          <w:left w:val="single" w:sz="4" w:space="4" w:color="auto"/>
          <w:bottom w:val="single" w:sz="4" w:space="1" w:color="auto"/>
          <w:right w:val="single" w:sz="4" w:space="4" w:color="auto"/>
        </w:pBdr>
        <w:jc w:val="both"/>
        <w:rPr>
          <w:b/>
          <w:sz w:val="20"/>
        </w:rPr>
      </w:pPr>
      <w:r>
        <w:rPr>
          <w:sz w:val="20"/>
        </w:rPr>
        <w:tab/>
      </w:r>
      <w:r>
        <w:rPr>
          <w:b/>
          <w:sz w:val="20"/>
        </w:rPr>
        <w:t>School Debt Service Tax</w:t>
      </w:r>
    </w:p>
    <w:p w:rsidR="00EF52B3" w:rsidRDefault="00EF52B3">
      <w:pPr>
        <w:pStyle w:val="BodyText"/>
        <w:pBdr>
          <w:top w:val="single" w:sz="4" w:space="1" w:color="auto"/>
          <w:left w:val="single" w:sz="4" w:space="4" w:color="auto"/>
          <w:bottom w:val="single" w:sz="4" w:space="1" w:color="auto"/>
          <w:right w:val="single" w:sz="4" w:space="4" w:color="auto"/>
        </w:pBdr>
        <w:jc w:val="both"/>
        <w:rPr>
          <w:sz w:val="20"/>
        </w:rPr>
      </w:pPr>
      <w:r>
        <w:rPr>
          <w:b/>
          <w:sz w:val="20"/>
        </w:rPr>
        <w:tab/>
        <w:t>Approved by Local Voters</w:t>
      </w:r>
      <w:r>
        <w:rPr>
          <w:sz w:val="20"/>
        </w:rPr>
        <w:t xml:space="preserve">        </w:t>
      </w:r>
      <w:r>
        <w:rPr>
          <w:sz w:val="20"/>
          <w:u w:val="single"/>
        </w:rPr>
        <w:t xml:space="preserve">$  </w:t>
      </w:r>
      <w:r w:rsidR="00A257E1">
        <w:rPr>
          <w:sz w:val="20"/>
          <w:u w:val="single"/>
        </w:rPr>
        <w:t xml:space="preserve"> </w:t>
      </w:r>
      <w:r w:rsidR="00281F0E">
        <w:rPr>
          <w:sz w:val="20"/>
          <w:u w:val="single"/>
        </w:rPr>
        <w:t>.</w:t>
      </w:r>
      <w:r w:rsidR="0015699E">
        <w:rPr>
          <w:sz w:val="20"/>
          <w:u w:val="single"/>
        </w:rPr>
        <w:t>4</w:t>
      </w:r>
      <w:r w:rsidR="002241C5">
        <w:rPr>
          <w:sz w:val="20"/>
          <w:u w:val="single"/>
        </w:rPr>
        <w:t>8</w:t>
      </w:r>
      <w:r w:rsidR="00A257E1">
        <w:rPr>
          <w:sz w:val="20"/>
          <w:u w:val="single"/>
        </w:rPr>
        <w:t xml:space="preserve">  </w:t>
      </w:r>
      <w:r>
        <w:rPr>
          <w:sz w:val="20"/>
        </w:rPr>
        <w:t>/$100(proposed rate to pay bonded indebtedness)</w:t>
      </w:r>
    </w:p>
    <w:p w:rsidR="00EF52B3" w:rsidRDefault="00EF52B3">
      <w:pPr>
        <w:pStyle w:val="BodyText"/>
        <w:pBdr>
          <w:top w:val="single" w:sz="4" w:space="1" w:color="auto"/>
          <w:left w:val="single" w:sz="4" w:space="4" w:color="auto"/>
          <w:bottom w:val="single" w:sz="4" w:space="1" w:color="auto"/>
          <w:right w:val="single" w:sz="4" w:space="4" w:color="auto"/>
        </w:pBdr>
        <w:jc w:val="both"/>
        <w:rPr>
          <w:sz w:val="20"/>
        </w:rPr>
      </w:pPr>
    </w:p>
    <w:p w:rsidR="00EF52B3" w:rsidRDefault="00EF52B3">
      <w:pPr>
        <w:pStyle w:val="BodyText"/>
        <w:jc w:val="both"/>
      </w:pPr>
    </w:p>
    <w:p w:rsidR="00EF52B3" w:rsidRDefault="00EF52B3" w:rsidP="008850D2">
      <w:pPr>
        <w:pStyle w:val="BodyText"/>
        <w:jc w:val="center"/>
        <w:rPr>
          <w:b/>
        </w:rPr>
      </w:pPr>
    </w:p>
    <w:p w:rsidR="00EF52B3" w:rsidRDefault="00EF52B3" w:rsidP="008850D2">
      <w:pPr>
        <w:pStyle w:val="BodyText"/>
        <w:jc w:val="center"/>
        <w:rPr>
          <w:b/>
          <w:sz w:val="20"/>
          <w:u w:val="single"/>
        </w:rPr>
      </w:pPr>
      <w:r w:rsidRPr="00850492">
        <w:rPr>
          <w:b/>
          <w:sz w:val="20"/>
          <w:u w:val="single"/>
        </w:rPr>
        <w:t>Comparison of Proposed Budget with Last Year’s Budget</w:t>
      </w:r>
    </w:p>
    <w:p w:rsidR="00EF52B3" w:rsidRDefault="00EF52B3" w:rsidP="008850D2">
      <w:pPr>
        <w:pStyle w:val="BodyText"/>
        <w:jc w:val="center"/>
        <w:rPr>
          <w:b/>
          <w:sz w:val="20"/>
        </w:rPr>
      </w:pPr>
    </w:p>
    <w:p w:rsidR="00EF52B3" w:rsidRDefault="00EF52B3" w:rsidP="008850D2">
      <w:pPr>
        <w:pStyle w:val="BodyText"/>
        <w:rPr>
          <w:sz w:val="20"/>
        </w:rPr>
      </w:pPr>
      <w:r>
        <w:rPr>
          <w:sz w:val="20"/>
        </w:rPr>
        <w:t>The applicable percentage increase or decrease (or difference) in the amount budgeted in the preceding fiscal year and the amount budgeted for the fiscal year that begins during the current tax year is indicated for each of the following expenditure categories:</w:t>
      </w:r>
    </w:p>
    <w:p w:rsidR="00EF52B3" w:rsidRDefault="00EF52B3" w:rsidP="008850D2">
      <w:pPr>
        <w:pStyle w:val="BodyText"/>
        <w:rPr>
          <w:sz w:val="20"/>
        </w:rPr>
      </w:pPr>
    </w:p>
    <w:p w:rsidR="00EF52B3" w:rsidRDefault="00EF52B3" w:rsidP="008850D2">
      <w:pPr>
        <w:pStyle w:val="BodyText"/>
        <w:rPr>
          <w:sz w:val="20"/>
        </w:rPr>
      </w:pPr>
      <w:r>
        <w:rPr>
          <w:sz w:val="20"/>
        </w:rPr>
        <w:tab/>
        <w:t>Maintenance and operations</w:t>
      </w:r>
      <w:r>
        <w:rPr>
          <w:sz w:val="20"/>
        </w:rPr>
        <w:tab/>
      </w:r>
      <w:r w:rsidR="00A257E1">
        <w:rPr>
          <w:sz w:val="20"/>
          <w:u w:val="single"/>
        </w:rPr>
        <w:t xml:space="preserve">    </w:t>
      </w:r>
      <w:r w:rsidR="00E22896">
        <w:rPr>
          <w:sz w:val="20"/>
          <w:u w:val="single"/>
        </w:rPr>
        <w:t xml:space="preserve">  </w:t>
      </w:r>
      <w:r w:rsidR="002241C5">
        <w:rPr>
          <w:sz w:val="20"/>
          <w:u w:val="single"/>
        </w:rPr>
        <w:t xml:space="preserve"> </w:t>
      </w:r>
      <w:r w:rsidR="00394765">
        <w:rPr>
          <w:sz w:val="20"/>
          <w:u w:val="single"/>
        </w:rPr>
        <w:t>2.8</w:t>
      </w:r>
      <w:r w:rsidR="002241C5">
        <w:rPr>
          <w:sz w:val="20"/>
          <w:u w:val="single"/>
        </w:rPr>
        <w:t xml:space="preserve">    </w:t>
      </w:r>
      <w:r w:rsidR="00E22896">
        <w:rPr>
          <w:sz w:val="20"/>
          <w:u w:val="single"/>
        </w:rPr>
        <w:t xml:space="preserve">     </w:t>
      </w:r>
      <w:r>
        <w:rPr>
          <w:sz w:val="20"/>
          <w:u w:val="single"/>
        </w:rPr>
        <w:t xml:space="preserve"> </w:t>
      </w:r>
      <w:r>
        <w:rPr>
          <w:sz w:val="20"/>
        </w:rPr>
        <w:t xml:space="preserve">% increase of </w:t>
      </w:r>
      <w:r w:rsidR="00E22896">
        <w:rPr>
          <w:sz w:val="20"/>
        </w:rPr>
        <w:t xml:space="preserve">  </w:t>
      </w:r>
      <w:r w:rsidR="00E277E9">
        <w:rPr>
          <w:sz w:val="20"/>
          <w:u w:val="single"/>
        </w:rPr>
        <w:t xml:space="preserve">      </w:t>
      </w:r>
      <w:r w:rsidR="00394765">
        <w:rPr>
          <w:sz w:val="20"/>
          <w:u w:val="single"/>
        </w:rPr>
        <w:t xml:space="preserve">   </w:t>
      </w:r>
      <w:r w:rsidR="00E277E9">
        <w:rPr>
          <w:sz w:val="20"/>
          <w:u w:val="single"/>
        </w:rPr>
        <w:t xml:space="preserve">  </w:t>
      </w:r>
      <w:r w:rsidR="00E22896">
        <w:rPr>
          <w:sz w:val="20"/>
          <w:u w:val="single"/>
        </w:rPr>
        <w:t xml:space="preserve">   </w:t>
      </w:r>
      <w:r>
        <w:rPr>
          <w:sz w:val="20"/>
        </w:rPr>
        <w:t>% (decrease)</w:t>
      </w:r>
    </w:p>
    <w:p w:rsidR="00EF52B3" w:rsidRDefault="00EF52B3" w:rsidP="008850D2">
      <w:pPr>
        <w:pStyle w:val="BodyText"/>
        <w:rPr>
          <w:sz w:val="20"/>
        </w:rPr>
      </w:pPr>
    </w:p>
    <w:p w:rsidR="00EF52B3" w:rsidRDefault="00EF52B3" w:rsidP="008850D2">
      <w:pPr>
        <w:pStyle w:val="BodyText"/>
        <w:rPr>
          <w:sz w:val="20"/>
        </w:rPr>
      </w:pPr>
      <w:r>
        <w:rPr>
          <w:sz w:val="20"/>
        </w:rPr>
        <w:tab/>
        <w:t>Debt service</w:t>
      </w:r>
      <w:r>
        <w:rPr>
          <w:sz w:val="20"/>
        </w:rPr>
        <w:tab/>
      </w:r>
      <w:r>
        <w:rPr>
          <w:sz w:val="20"/>
        </w:rPr>
        <w:tab/>
      </w:r>
      <w:r>
        <w:rPr>
          <w:sz w:val="20"/>
        </w:rPr>
        <w:tab/>
      </w:r>
      <w:r w:rsidR="00A257E1">
        <w:rPr>
          <w:sz w:val="20"/>
          <w:u w:val="single"/>
        </w:rPr>
        <w:t xml:space="preserve">     </w:t>
      </w:r>
      <w:r w:rsidR="00394765">
        <w:rPr>
          <w:sz w:val="20"/>
          <w:u w:val="single"/>
        </w:rPr>
        <w:t xml:space="preserve"> </w:t>
      </w:r>
      <w:r w:rsidR="00A257E1">
        <w:rPr>
          <w:sz w:val="20"/>
          <w:u w:val="single"/>
        </w:rPr>
        <w:t xml:space="preserve"> </w:t>
      </w:r>
      <w:r w:rsidR="00394765">
        <w:rPr>
          <w:sz w:val="20"/>
          <w:u w:val="single"/>
        </w:rPr>
        <w:t>4.8</w:t>
      </w:r>
      <w:r w:rsidR="00BE5C1D">
        <w:rPr>
          <w:sz w:val="20"/>
          <w:u w:val="single"/>
        </w:rPr>
        <w:t xml:space="preserve">  </w:t>
      </w:r>
      <w:r>
        <w:rPr>
          <w:sz w:val="20"/>
          <w:u w:val="single"/>
        </w:rPr>
        <w:t xml:space="preserve">      </w:t>
      </w:r>
      <w:r>
        <w:rPr>
          <w:sz w:val="20"/>
        </w:rPr>
        <w:t xml:space="preserve">% increase of    </w:t>
      </w:r>
      <w:r w:rsidR="005B184A">
        <w:rPr>
          <w:sz w:val="20"/>
          <w:u w:val="single"/>
        </w:rPr>
        <w:t xml:space="preserve">    </w:t>
      </w:r>
      <w:r w:rsidR="00E22896">
        <w:rPr>
          <w:sz w:val="20"/>
          <w:u w:val="single"/>
        </w:rPr>
        <w:t xml:space="preserve">  </w:t>
      </w:r>
      <w:r w:rsidR="0015699E">
        <w:rPr>
          <w:sz w:val="20"/>
          <w:u w:val="single"/>
        </w:rPr>
        <w:t xml:space="preserve">     </w:t>
      </w:r>
      <w:r w:rsidR="008850D2">
        <w:rPr>
          <w:sz w:val="20"/>
          <w:u w:val="single"/>
        </w:rPr>
        <w:t xml:space="preserve">    </w:t>
      </w:r>
      <w:r w:rsidRPr="008850D2">
        <w:rPr>
          <w:sz w:val="20"/>
        </w:rPr>
        <w:t>%(</w:t>
      </w:r>
      <w:r>
        <w:rPr>
          <w:sz w:val="20"/>
        </w:rPr>
        <w:t>decrease)</w:t>
      </w:r>
    </w:p>
    <w:p w:rsidR="00EF52B3" w:rsidRDefault="00EF52B3" w:rsidP="008850D2">
      <w:pPr>
        <w:pStyle w:val="BodyText"/>
        <w:rPr>
          <w:sz w:val="20"/>
        </w:rPr>
      </w:pPr>
    </w:p>
    <w:p w:rsidR="00EF52B3" w:rsidRDefault="00EF52B3" w:rsidP="008850D2">
      <w:pPr>
        <w:pStyle w:val="BodyText"/>
        <w:rPr>
          <w:sz w:val="20"/>
        </w:rPr>
      </w:pPr>
      <w:r>
        <w:rPr>
          <w:sz w:val="20"/>
        </w:rPr>
        <w:tab/>
        <w:t>Total expenditures</w:t>
      </w:r>
      <w:r>
        <w:rPr>
          <w:sz w:val="20"/>
        </w:rPr>
        <w:tab/>
      </w:r>
      <w:r>
        <w:rPr>
          <w:sz w:val="20"/>
        </w:rPr>
        <w:tab/>
      </w:r>
      <w:r w:rsidR="00A257E1">
        <w:rPr>
          <w:sz w:val="20"/>
          <w:u w:val="single"/>
        </w:rPr>
        <w:t xml:space="preserve">    </w:t>
      </w:r>
      <w:r w:rsidR="005B184A">
        <w:rPr>
          <w:sz w:val="20"/>
          <w:u w:val="single"/>
        </w:rPr>
        <w:t xml:space="preserve">  </w:t>
      </w:r>
      <w:r w:rsidR="00E22896">
        <w:rPr>
          <w:sz w:val="20"/>
          <w:u w:val="single"/>
        </w:rPr>
        <w:t xml:space="preserve"> </w:t>
      </w:r>
      <w:r w:rsidR="00394765">
        <w:rPr>
          <w:sz w:val="20"/>
          <w:u w:val="single"/>
        </w:rPr>
        <w:t>3.1</w:t>
      </w:r>
      <w:r w:rsidR="002241C5">
        <w:rPr>
          <w:sz w:val="20"/>
          <w:u w:val="single"/>
        </w:rPr>
        <w:t xml:space="preserve">  </w:t>
      </w:r>
      <w:r w:rsidR="00E22896">
        <w:rPr>
          <w:sz w:val="20"/>
          <w:u w:val="single"/>
        </w:rPr>
        <w:t xml:space="preserve">    </w:t>
      </w:r>
      <w:r>
        <w:rPr>
          <w:sz w:val="20"/>
          <w:u w:val="single"/>
        </w:rPr>
        <w:t xml:space="preserve">   </w:t>
      </w:r>
      <w:r>
        <w:rPr>
          <w:sz w:val="20"/>
        </w:rPr>
        <w:t xml:space="preserve">% increase of   </w:t>
      </w:r>
      <w:r w:rsidR="00E22896">
        <w:rPr>
          <w:sz w:val="20"/>
          <w:u w:val="single"/>
        </w:rPr>
        <w:t xml:space="preserve"> </w:t>
      </w:r>
      <w:r w:rsidR="0015699E">
        <w:rPr>
          <w:sz w:val="20"/>
          <w:u w:val="single"/>
        </w:rPr>
        <w:t xml:space="preserve">  </w:t>
      </w:r>
      <w:r w:rsidR="00E22896">
        <w:rPr>
          <w:sz w:val="20"/>
          <w:u w:val="single"/>
        </w:rPr>
        <w:t xml:space="preserve">     </w:t>
      </w:r>
      <w:r w:rsidR="00394765">
        <w:rPr>
          <w:sz w:val="20"/>
          <w:u w:val="single"/>
        </w:rPr>
        <w:t xml:space="preserve">     </w:t>
      </w:r>
      <w:r w:rsidR="00E22896">
        <w:rPr>
          <w:sz w:val="20"/>
          <w:u w:val="single"/>
        </w:rPr>
        <w:t xml:space="preserve">  </w:t>
      </w:r>
      <w:r>
        <w:rPr>
          <w:sz w:val="20"/>
        </w:rPr>
        <w:t>%(decrease)</w:t>
      </w:r>
    </w:p>
    <w:p w:rsidR="00EF52B3" w:rsidRDefault="00EF52B3" w:rsidP="008850D2">
      <w:pPr>
        <w:pStyle w:val="BodyText"/>
        <w:rPr>
          <w:sz w:val="20"/>
        </w:rPr>
      </w:pPr>
    </w:p>
    <w:p w:rsidR="00EF52B3" w:rsidRDefault="00EF52B3">
      <w:pPr>
        <w:pStyle w:val="BodyText"/>
      </w:pPr>
    </w:p>
    <w:p w:rsidR="00EF52B3" w:rsidRDefault="00EF52B3">
      <w:pPr>
        <w:pStyle w:val="BodyText"/>
        <w:pBdr>
          <w:top w:val="single" w:sz="4" w:space="1" w:color="auto"/>
          <w:left w:val="single" w:sz="4" w:space="4" w:color="auto"/>
          <w:bottom w:val="single" w:sz="4" w:space="1" w:color="auto"/>
          <w:right w:val="single" w:sz="4" w:space="4" w:color="auto"/>
        </w:pBdr>
      </w:pPr>
    </w:p>
    <w:p w:rsidR="00EF52B3" w:rsidRDefault="00EF52B3">
      <w:pPr>
        <w:pStyle w:val="BodyText"/>
        <w:pBdr>
          <w:top w:val="single" w:sz="4" w:space="1" w:color="auto"/>
          <w:left w:val="single" w:sz="4" w:space="4" w:color="auto"/>
          <w:bottom w:val="single" w:sz="4" w:space="1" w:color="auto"/>
          <w:right w:val="single" w:sz="4" w:space="4" w:color="auto"/>
        </w:pBdr>
        <w:jc w:val="center"/>
        <w:rPr>
          <w:b/>
          <w:sz w:val="20"/>
          <w:u w:val="single"/>
        </w:rPr>
      </w:pPr>
      <w:r>
        <w:rPr>
          <w:b/>
          <w:sz w:val="20"/>
          <w:u w:val="single"/>
        </w:rPr>
        <w:t>Total Appraised Value and Total Taxable Value</w:t>
      </w:r>
    </w:p>
    <w:p w:rsidR="00EF52B3" w:rsidRDefault="00EF52B3">
      <w:pPr>
        <w:pStyle w:val="BodyText"/>
        <w:pBdr>
          <w:top w:val="single" w:sz="4" w:space="1" w:color="auto"/>
          <w:left w:val="single" w:sz="4" w:space="4" w:color="auto"/>
          <w:bottom w:val="single" w:sz="4" w:space="1" w:color="auto"/>
          <w:right w:val="single" w:sz="4" w:space="4" w:color="auto"/>
        </w:pBdr>
        <w:jc w:val="center"/>
        <w:rPr>
          <w:b/>
          <w:sz w:val="20"/>
        </w:rPr>
      </w:pPr>
      <w:r>
        <w:rPr>
          <w:b/>
          <w:sz w:val="20"/>
        </w:rPr>
        <w:t>(as calculated under Section 26.04, Tax Code)</w:t>
      </w:r>
    </w:p>
    <w:p w:rsidR="00EF52B3" w:rsidRDefault="00EF52B3">
      <w:pPr>
        <w:pStyle w:val="BodyText"/>
        <w:pBdr>
          <w:top w:val="single" w:sz="4" w:space="1" w:color="auto"/>
          <w:left w:val="single" w:sz="4" w:space="4" w:color="auto"/>
          <w:bottom w:val="single" w:sz="4" w:space="1" w:color="auto"/>
          <w:right w:val="single" w:sz="4" w:space="4" w:color="auto"/>
        </w:pBdr>
        <w:jc w:val="center"/>
        <w:rPr>
          <w:b/>
          <w:sz w:val="20"/>
        </w:rPr>
      </w:pPr>
    </w:p>
    <w:p w:rsidR="00EF52B3" w:rsidRDefault="00EF52B3">
      <w:pPr>
        <w:pStyle w:val="BodyText"/>
        <w:pBdr>
          <w:top w:val="single" w:sz="4" w:space="1" w:color="auto"/>
          <w:left w:val="single" w:sz="4" w:space="4" w:color="auto"/>
          <w:bottom w:val="single" w:sz="4" w:space="1" w:color="auto"/>
          <w:right w:val="single" w:sz="4" w:space="4" w:color="auto"/>
        </w:pBdr>
        <w:rPr>
          <w:b/>
          <w:sz w:val="20"/>
        </w:rPr>
      </w:pPr>
      <w:r>
        <w:rPr>
          <w:sz w:val="20"/>
        </w:rPr>
        <w:tab/>
      </w:r>
      <w:r>
        <w:rPr>
          <w:sz w:val="20"/>
        </w:rPr>
        <w:tab/>
      </w:r>
      <w:r>
        <w:rPr>
          <w:sz w:val="20"/>
        </w:rPr>
        <w:tab/>
      </w:r>
      <w:r>
        <w:rPr>
          <w:sz w:val="20"/>
        </w:rPr>
        <w:tab/>
      </w:r>
      <w:r>
        <w:rPr>
          <w:sz w:val="20"/>
        </w:rPr>
        <w:tab/>
      </w:r>
      <w:r>
        <w:rPr>
          <w:sz w:val="20"/>
        </w:rPr>
        <w:tab/>
      </w:r>
      <w:r>
        <w:rPr>
          <w:b/>
          <w:sz w:val="20"/>
        </w:rPr>
        <w:t>Preceding Tax Year</w:t>
      </w:r>
      <w:r>
        <w:rPr>
          <w:b/>
          <w:sz w:val="20"/>
        </w:rPr>
        <w:tab/>
        <w:t>Current Tax Year</w:t>
      </w:r>
    </w:p>
    <w:p w:rsidR="00EF52B3" w:rsidRDefault="00EF52B3">
      <w:pPr>
        <w:pStyle w:val="BodyText"/>
        <w:pBdr>
          <w:top w:val="single" w:sz="4" w:space="1" w:color="auto"/>
          <w:left w:val="single" w:sz="4" w:space="4" w:color="auto"/>
          <w:bottom w:val="single" w:sz="4" w:space="1" w:color="auto"/>
          <w:right w:val="single" w:sz="4" w:space="4" w:color="auto"/>
        </w:pBdr>
        <w:rPr>
          <w:sz w:val="20"/>
        </w:rPr>
      </w:pPr>
      <w:r>
        <w:rPr>
          <w:sz w:val="20"/>
        </w:rPr>
        <w:t>Total appraised value* of all property</w:t>
      </w:r>
      <w:r>
        <w:rPr>
          <w:sz w:val="20"/>
        </w:rPr>
        <w:tab/>
      </w:r>
      <w:r>
        <w:rPr>
          <w:sz w:val="20"/>
        </w:rPr>
        <w:tab/>
      </w:r>
      <w:r w:rsidRPr="008850D2">
        <w:rPr>
          <w:sz w:val="20"/>
        </w:rPr>
        <w:t xml:space="preserve">$ </w:t>
      </w:r>
      <w:r w:rsidR="0090744B">
        <w:rPr>
          <w:sz w:val="20"/>
        </w:rPr>
        <w:t>10,960,687,050</w:t>
      </w:r>
      <w:r w:rsidR="008850D2">
        <w:rPr>
          <w:sz w:val="20"/>
        </w:rPr>
        <w:t xml:space="preserve">  </w:t>
      </w:r>
      <w:r>
        <w:rPr>
          <w:sz w:val="20"/>
        </w:rPr>
        <w:tab/>
      </w:r>
      <w:r w:rsidRPr="008850D2">
        <w:rPr>
          <w:sz w:val="20"/>
        </w:rPr>
        <w:t>$</w:t>
      </w:r>
      <w:r w:rsidR="00A257E1" w:rsidRPr="008850D2">
        <w:rPr>
          <w:sz w:val="20"/>
        </w:rPr>
        <w:t xml:space="preserve">    </w:t>
      </w:r>
      <w:r w:rsidR="002241C5">
        <w:rPr>
          <w:sz w:val="20"/>
        </w:rPr>
        <w:t>1</w:t>
      </w:r>
      <w:r w:rsidR="0090744B">
        <w:rPr>
          <w:sz w:val="20"/>
        </w:rPr>
        <w:t>1</w:t>
      </w:r>
      <w:r w:rsidR="00916A7C">
        <w:rPr>
          <w:sz w:val="20"/>
        </w:rPr>
        <w:t>,</w:t>
      </w:r>
      <w:r w:rsidR="0090744B">
        <w:rPr>
          <w:sz w:val="20"/>
        </w:rPr>
        <w:t>814</w:t>
      </w:r>
      <w:r w:rsidR="00916A7C">
        <w:rPr>
          <w:sz w:val="20"/>
        </w:rPr>
        <w:t>,</w:t>
      </w:r>
      <w:r w:rsidR="0090744B">
        <w:rPr>
          <w:sz w:val="20"/>
        </w:rPr>
        <w:t>998</w:t>
      </w:r>
      <w:r w:rsidR="00916A7C">
        <w:rPr>
          <w:sz w:val="20"/>
        </w:rPr>
        <w:t>,</w:t>
      </w:r>
      <w:r w:rsidR="0090744B">
        <w:rPr>
          <w:sz w:val="20"/>
        </w:rPr>
        <w:t>170</w:t>
      </w:r>
      <w:r w:rsidR="00A257E1" w:rsidRPr="008850D2">
        <w:rPr>
          <w:sz w:val="20"/>
        </w:rPr>
        <w:t xml:space="preserve">      </w:t>
      </w:r>
      <w:r w:rsidRPr="008850D2">
        <w:rPr>
          <w:sz w:val="20"/>
        </w:rPr>
        <w:t xml:space="preserve">   </w:t>
      </w:r>
    </w:p>
    <w:p w:rsidR="00EF52B3" w:rsidRDefault="00EF52B3">
      <w:pPr>
        <w:pStyle w:val="BodyText"/>
        <w:pBdr>
          <w:top w:val="single" w:sz="4" w:space="1" w:color="auto"/>
          <w:left w:val="single" w:sz="4" w:space="4" w:color="auto"/>
          <w:bottom w:val="single" w:sz="4" w:space="1" w:color="auto"/>
          <w:right w:val="single" w:sz="4" w:space="4" w:color="auto"/>
        </w:pBdr>
        <w:rPr>
          <w:sz w:val="20"/>
        </w:rPr>
      </w:pPr>
    </w:p>
    <w:p w:rsidR="00EF52B3" w:rsidRPr="008850D2" w:rsidRDefault="00EF52B3">
      <w:pPr>
        <w:pStyle w:val="BodyText"/>
        <w:pBdr>
          <w:top w:val="single" w:sz="4" w:space="1" w:color="auto"/>
          <w:left w:val="single" w:sz="4" w:space="4" w:color="auto"/>
          <w:bottom w:val="single" w:sz="4" w:space="1" w:color="auto"/>
          <w:right w:val="single" w:sz="4" w:space="4" w:color="auto"/>
        </w:pBdr>
        <w:rPr>
          <w:sz w:val="20"/>
        </w:rPr>
      </w:pPr>
      <w:r>
        <w:rPr>
          <w:sz w:val="20"/>
        </w:rPr>
        <w:t>Total appraised value* of new property**</w:t>
      </w:r>
      <w:r>
        <w:rPr>
          <w:sz w:val="20"/>
        </w:rPr>
        <w:tab/>
      </w:r>
      <w:r>
        <w:rPr>
          <w:sz w:val="20"/>
        </w:rPr>
        <w:tab/>
      </w:r>
      <w:r w:rsidRPr="008850D2">
        <w:rPr>
          <w:sz w:val="20"/>
        </w:rPr>
        <w:t xml:space="preserve">$    </w:t>
      </w:r>
      <w:r w:rsidR="008850D2">
        <w:rPr>
          <w:sz w:val="20"/>
        </w:rPr>
        <w:t xml:space="preserve">  </w:t>
      </w:r>
      <w:r w:rsidR="0090744B">
        <w:rPr>
          <w:sz w:val="20"/>
        </w:rPr>
        <w:t xml:space="preserve">  94,176,575</w:t>
      </w:r>
      <w:r w:rsidR="0090744B">
        <w:rPr>
          <w:sz w:val="20"/>
        </w:rPr>
        <w:tab/>
      </w:r>
      <w:r w:rsidR="008850D2">
        <w:rPr>
          <w:sz w:val="20"/>
        </w:rPr>
        <w:t xml:space="preserve"> </w:t>
      </w:r>
      <w:r>
        <w:rPr>
          <w:sz w:val="20"/>
        </w:rPr>
        <w:tab/>
      </w:r>
      <w:r w:rsidRPr="008850D2">
        <w:rPr>
          <w:sz w:val="20"/>
        </w:rPr>
        <w:t xml:space="preserve">$ </w:t>
      </w:r>
      <w:r w:rsidR="00A257E1" w:rsidRPr="008850D2">
        <w:rPr>
          <w:sz w:val="20"/>
        </w:rPr>
        <w:t xml:space="preserve">  </w:t>
      </w:r>
      <w:r w:rsidRPr="008850D2">
        <w:rPr>
          <w:sz w:val="20"/>
        </w:rPr>
        <w:t xml:space="preserve">     </w:t>
      </w:r>
      <w:r w:rsidR="0090744B">
        <w:rPr>
          <w:sz w:val="20"/>
        </w:rPr>
        <w:t xml:space="preserve"> 142,419,254</w:t>
      </w:r>
    </w:p>
    <w:p w:rsidR="00EF52B3" w:rsidRDefault="00EF52B3">
      <w:pPr>
        <w:pStyle w:val="BodyText"/>
        <w:pBdr>
          <w:top w:val="single" w:sz="4" w:space="1" w:color="auto"/>
          <w:left w:val="single" w:sz="4" w:space="4" w:color="auto"/>
          <w:bottom w:val="single" w:sz="4" w:space="1" w:color="auto"/>
          <w:right w:val="single" w:sz="4" w:space="4" w:color="auto"/>
        </w:pBdr>
        <w:rPr>
          <w:sz w:val="20"/>
        </w:rPr>
      </w:pPr>
    </w:p>
    <w:p w:rsidR="00EF52B3" w:rsidRDefault="00EF52B3">
      <w:pPr>
        <w:pStyle w:val="BodyText"/>
        <w:pBdr>
          <w:top w:val="single" w:sz="4" w:space="1" w:color="auto"/>
          <w:left w:val="single" w:sz="4" w:space="4" w:color="auto"/>
          <w:bottom w:val="single" w:sz="4" w:space="1" w:color="auto"/>
          <w:right w:val="single" w:sz="4" w:space="4" w:color="auto"/>
        </w:pBdr>
        <w:rPr>
          <w:sz w:val="20"/>
        </w:rPr>
      </w:pPr>
      <w:r>
        <w:rPr>
          <w:sz w:val="20"/>
        </w:rPr>
        <w:t>Total taxable value*** of all property</w:t>
      </w:r>
      <w:r>
        <w:rPr>
          <w:sz w:val="20"/>
        </w:rPr>
        <w:tab/>
      </w:r>
      <w:r>
        <w:rPr>
          <w:sz w:val="20"/>
        </w:rPr>
        <w:tab/>
      </w:r>
      <w:r w:rsidRPr="008850D2">
        <w:rPr>
          <w:sz w:val="20"/>
        </w:rPr>
        <w:t xml:space="preserve">$  </w:t>
      </w:r>
      <w:r w:rsidR="00A257E1" w:rsidRPr="008850D2">
        <w:rPr>
          <w:sz w:val="20"/>
        </w:rPr>
        <w:t xml:space="preserve"> </w:t>
      </w:r>
      <w:r w:rsidR="0090744B">
        <w:rPr>
          <w:sz w:val="20"/>
        </w:rPr>
        <w:t>8,558,184,886</w:t>
      </w:r>
      <w:r w:rsidR="008850D2">
        <w:rPr>
          <w:sz w:val="20"/>
        </w:rPr>
        <w:t xml:space="preserve"> </w:t>
      </w:r>
      <w:r>
        <w:rPr>
          <w:sz w:val="20"/>
        </w:rPr>
        <w:tab/>
      </w:r>
      <w:r w:rsidRPr="008850D2">
        <w:rPr>
          <w:sz w:val="20"/>
        </w:rPr>
        <w:t xml:space="preserve">$   </w:t>
      </w:r>
      <w:r w:rsidR="00A257E1" w:rsidRPr="008850D2">
        <w:rPr>
          <w:sz w:val="20"/>
        </w:rPr>
        <w:t xml:space="preserve"> </w:t>
      </w:r>
      <w:r w:rsidR="008850D2" w:rsidRPr="008850D2">
        <w:rPr>
          <w:sz w:val="20"/>
        </w:rPr>
        <w:t xml:space="preserve"> </w:t>
      </w:r>
      <w:r w:rsidR="003B6185">
        <w:rPr>
          <w:sz w:val="20"/>
        </w:rPr>
        <w:t xml:space="preserve"> </w:t>
      </w:r>
      <w:r w:rsidR="0090744B">
        <w:rPr>
          <w:sz w:val="20"/>
        </w:rPr>
        <w:t>9</w:t>
      </w:r>
      <w:r w:rsidR="00916A7C">
        <w:rPr>
          <w:sz w:val="20"/>
        </w:rPr>
        <w:t>,</w:t>
      </w:r>
      <w:r w:rsidR="0090744B">
        <w:rPr>
          <w:sz w:val="20"/>
        </w:rPr>
        <w:t>271</w:t>
      </w:r>
      <w:r w:rsidR="00916A7C">
        <w:rPr>
          <w:sz w:val="20"/>
        </w:rPr>
        <w:t>,</w:t>
      </w:r>
      <w:r w:rsidR="0090744B">
        <w:rPr>
          <w:sz w:val="20"/>
        </w:rPr>
        <w:t>820</w:t>
      </w:r>
      <w:r w:rsidR="00916A7C">
        <w:rPr>
          <w:sz w:val="20"/>
        </w:rPr>
        <w:t>,</w:t>
      </w:r>
      <w:r w:rsidR="0090744B">
        <w:rPr>
          <w:sz w:val="20"/>
        </w:rPr>
        <w:t>630</w:t>
      </w:r>
    </w:p>
    <w:p w:rsidR="00EF52B3" w:rsidRDefault="00EF52B3">
      <w:pPr>
        <w:pStyle w:val="BodyText"/>
        <w:pBdr>
          <w:top w:val="single" w:sz="4" w:space="1" w:color="auto"/>
          <w:left w:val="single" w:sz="4" w:space="4" w:color="auto"/>
          <w:bottom w:val="single" w:sz="4" w:space="1" w:color="auto"/>
          <w:right w:val="single" w:sz="4" w:space="4" w:color="auto"/>
        </w:pBdr>
        <w:rPr>
          <w:sz w:val="20"/>
        </w:rPr>
      </w:pPr>
    </w:p>
    <w:p w:rsidR="00EF52B3" w:rsidRDefault="00EF52B3">
      <w:pPr>
        <w:pStyle w:val="BodyText"/>
        <w:pBdr>
          <w:top w:val="single" w:sz="4" w:space="1" w:color="auto"/>
          <w:left w:val="single" w:sz="4" w:space="4" w:color="auto"/>
          <w:bottom w:val="single" w:sz="4" w:space="1" w:color="auto"/>
          <w:right w:val="single" w:sz="4" w:space="4" w:color="auto"/>
        </w:pBdr>
        <w:rPr>
          <w:sz w:val="20"/>
        </w:rPr>
      </w:pPr>
      <w:r>
        <w:rPr>
          <w:sz w:val="20"/>
        </w:rPr>
        <w:t>Total taxable value*** of new property**</w:t>
      </w:r>
      <w:r>
        <w:rPr>
          <w:sz w:val="20"/>
        </w:rPr>
        <w:tab/>
      </w:r>
      <w:r>
        <w:rPr>
          <w:sz w:val="20"/>
        </w:rPr>
        <w:tab/>
      </w:r>
      <w:r w:rsidRPr="008850D2">
        <w:rPr>
          <w:sz w:val="20"/>
        </w:rPr>
        <w:t xml:space="preserve">$     </w:t>
      </w:r>
      <w:r w:rsidR="00A257E1" w:rsidRPr="008850D2">
        <w:rPr>
          <w:sz w:val="20"/>
        </w:rPr>
        <w:t xml:space="preserve"> </w:t>
      </w:r>
      <w:r w:rsidR="000F44A3">
        <w:rPr>
          <w:sz w:val="20"/>
        </w:rPr>
        <w:t xml:space="preserve"> </w:t>
      </w:r>
      <w:r w:rsidR="002132B4">
        <w:rPr>
          <w:sz w:val="20"/>
        </w:rPr>
        <w:t xml:space="preserve"> 92</w:t>
      </w:r>
      <w:r w:rsidR="00916A7C">
        <w:rPr>
          <w:sz w:val="20"/>
        </w:rPr>
        <w:t>,</w:t>
      </w:r>
      <w:r w:rsidR="002132B4">
        <w:rPr>
          <w:sz w:val="20"/>
        </w:rPr>
        <w:t>680</w:t>
      </w:r>
      <w:r w:rsidR="00916A7C">
        <w:rPr>
          <w:sz w:val="20"/>
        </w:rPr>
        <w:t>,</w:t>
      </w:r>
      <w:r w:rsidR="002132B4">
        <w:rPr>
          <w:sz w:val="20"/>
        </w:rPr>
        <w:t>101</w:t>
      </w:r>
      <w:r w:rsidR="002132B4">
        <w:rPr>
          <w:sz w:val="20"/>
        </w:rPr>
        <w:tab/>
      </w:r>
      <w:r>
        <w:rPr>
          <w:sz w:val="20"/>
        </w:rPr>
        <w:tab/>
      </w:r>
      <w:r w:rsidRPr="008850D2">
        <w:rPr>
          <w:sz w:val="20"/>
        </w:rPr>
        <w:t xml:space="preserve">$      </w:t>
      </w:r>
      <w:r w:rsidR="008850D2">
        <w:rPr>
          <w:sz w:val="20"/>
        </w:rPr>
        <w:t xml:space="preserve"> </w:t>
      </w:r>
      <w:r w:rsidR="008850D2" w:rsidRPr="008850D2">
        <w:rPr>
          <w:sz w:val="20"/>
        </w:rPr>
        <w:t xml:space="preserve"> </w:t>
      </w:r>
      <w:r w:rsidR="003B6185">
        <w:rPr>
          <w:sz w:val="20"/>
        </w:rPr>
        <w:t xml:space="preserve"> </w:t>
      </w:r>
      <w:r w:rsidR="002132B4">
        <w:rPr>
          <w:sz w:val="20"/>
        </w:rPr>
        <w:t>137</w:t>
      </w:r>
      <w:r w:rsidR="00916A7C">
        <w:rPr>
          <w:sz w:val="20"/>
        </w:rPr>
        <w:t>,</w:t>
      </w:r>
      <w:r w:rsidR="002132B4">
        <w:rPr>
          <w:sz w:val="20"/>
        </w:rPr>
        <w:t>570</w:t>
      </w:r>
      <w:r w:rsidR="00916A7C">
        <w:rPr>
          <w:sz w:val="20"/>
        </w:rPr>
        <w:t>,</w:t>
      </w:r>
      <w:r w:rsidR="002132B4">
        <w:rPr>
          <w:sz w:val="20"/>
        </w:rPr>
        <w:t>763</w:t>
      </w:r>
    </w:p>
    <w:p w:rsidR="00EF52B3" w:rsidRDefault="00EF52B3">
      <w:pPr>
        <w:pStyle w:val="BodyText"/>
        <w:pBdr>
          <w:top w:val="single" w:sz="4" w:space="1" w:color="auto"/>
          <w:left w:val="single" w:sz="4" w:space="4" w:color="auto"/>
          <w:bottom w:val="single" w:sz="4" w:space="1" w:color="auto"/>
          <w:right w:val="single" w:sz="4" w:space="4" w:color="auto"/>
        </w:pBdr>
      </w:pPr>
    </w:p>
    <w:p w:rsidR="00EF52B3" w:rsidRDefault="00EF52B3">
      <w:pPr>
        <w:pStyle w:val="BodyText"/>
        <w:pBdr>
          <w:top w:val="single" w:sz="4" w:space="1" w:color="auto"/>
          <w:left w:val="single" w:sz="4" w:space="4" w:color="auto"/>
          <w:bottom w:val="single" w:sz="4" w:space="1" w:color="auto"/>
          <w:right w:val="single" w:sz="4" w:space="4" w:color="auto"/>
        </w:pBdr>
        <w:rPr>
          <w:sz w:val="16"/>
        </w:rPr>
      </w:pPr>
      <w:r>
        <w:rPr>
          <w:sz w:val="16"/>
        </w:rPr>
        <w:t>*        “Appraised value” is the amount shown on the appraisal roll and defined by Section 1.04(8), Tax Code.</w:t>
      </w:r>
    </w:p>
    <w:p w:rsidR="00EF52B3" w:rsidRDefault="00EF52B3">
      <w:pPr>
        <w:pStyle w:val="BodyText"/>
        <w:pBdr>
          <w:top w:val="single" w:sz="4" w:space="1" w:color="auto"/>
          <w:left w:val="single" w:sz="4" w:space="4" w:color="auto"/>
          <w:bottom w:val="single" w:sz="4" w:space="1" w:color="auto"/>
          <w:right w:val="single" w:sz="4" w:space="4" w:color="auto"/>
        </w:pBdr>
        <w:rPr>
          <w:sz w:val="16"/>
        </w:rPr>
      </w:pPr>
      <w:r>
        <w:rPr>
          <w:sz w:val="16"/>
        </w:rPr>
        <w:t>**      “New property” is defined by Section 26.012(17), Tax Code.</w:t>
      </w:r>
    </w:p>
    <w:p w:rsidR="00EF52B3" w:rsidRDefault="00EF52B3">
      <w:pPr>
        <w:pStyle w:val="BodyText"/>
        <w:pBdr>
          <w:top w:val="single" w:sz="4" w:space="1" w:color="auto"/>
          <w:left w:val="single" w:sz="4" w:space="4" w:color="auto"/>
          <w:bottom w:val="single" w:sz="4" w:space="1" w:color="auto"/>
          <w:right w:val="single" w:sz="4" w:space="4" w:color="auto"/>
        </w:pBdr>
        <w:rPr>
          <w:sz w:val="16"/>
        </w:rPr>
      </w:pPr>
      <w:r>
        <w:rPr>
          <w:b/>
        </w:rPr>
        <w:t xml:space="preserve">***   </w:t>
      </w:r>
      <w:r>
        <w:rPr>
          <w:sz w:val="16"/>
        </w:rPr>
        <w:t>“Taxable value” is defined by Section 1.04(10), Tax Code</w:t>
      </w:r>
    </w:p>
    <w:p w:rsidR="00EF52B3" w:rsidRDefault="00EF52B3">
      <w:pPr>
        <w:pStyle w:val="BodyText"/>
        <w:pBdr>
          <w:top w:val="single" w:sz="4" w:space="1" w:color="auto"/>
          <w:left w:val="single" w:sz="4" w:space="4" w:color="auto"/>
          <w:bottom w:val="single" w:sz="4" w:space="1" w:color="auto"/>
          <w:right w:val="single" w:sz="4" w:space="4" w:color="auto"/>
        </w:pBdr>
        <w:rPr>
          <w:sz w:val="16"/>
        </w:rPr>
      </w:pPr>
    </w:p>
    <w:p w:rsidR="00EF52B3" w:rsidRDefault="00EF52B3">
      <w:pPr>
        <w:pStyle w:val="BodyText"/>
        <w:rPr>
          <w:sz w:val="16"/>
        </w:rPr>
      </w:pPr>
    </w:p>
    <w:p w:rsidR="00EF52B3" w:rsidRDefault="00EF52B3">
      <w:pPr>
        <w:pStyle w:val="BodyText"/>
        <w:pBdr>
          <w:top w:val="single" w:sz="4" w:space="1" w:color="auto"/>
          <w:left w:val="single" w:sz="4" w:space="4" w:color="auto"/>
          <w:bottom w:val="single" w:sz="4" w:space="1" w:color="auto"/>
          <w:right w:val="single" w:sz="4" w:space="4" w:color="auto"/>
        </w:pBdr>
        <w:rPr>
          <w:sz w:val="16"/>
        </w:rPr>
      </w:pPr>
    </w:p>
    <w:p w:rsidR="00EF52B3" w:rsidRDefault="00EF52B3">
      <w:pPr>
        <w:pStyle w:val="BodyText"/>
        <w:pBdr>
          <w:top w:val="single" w:sz="4" w:space="1" w:color="auto"/>
          <w:left w:val="single" w:sz="4" w:space="4" w:color="auto"/>
          <w:bottom w:val="single" w:sz="4" w:space="1" w:color="auto"/>
          <w:right w:val="single" w:sz="4" w:space="4" w:color="auto"/>
        </w:pBdr>
        <w:jc w:val="center"/>
        <w:rPr>
          <w:b/>
          <w:u w:val="single"/>
        </w:rPr>
      </w:pPr>
      <w:r w:rsidRPr="00850492">
        <w:rPr>
          <w:b/>
          <w:u w:val="single"/>
        </w:rPr>
        <w:t>Bonded Indebtedness</w:t>
      </w:r>
    </w:p>
    <w:p w:rsidR="00EF52B3" w:rsidRDefault="00EF52B3">
      <w:pPr>
        <w:pStyle w:val="BodyText"/>
        <w:pBdr>
          <w:top w:val="single" w:sz="4" w:space="1" w:color="auto"/>
          <w:left w:val="single" w:sz="4" w:space="4" w:color="auto"/>
          <w:bottom w:val="single" w:sz="4" w:space="1" w:color="auto"/>
          <w:right w:val="single" w:sz="4" w:space="4" w:color="auto"/>
        </w:pBdr>
        <w:jc w:val="center"/>
        <w:rPr>
          <w:b/>
          <w:u w:val="single"/>
        </w:rPr>
      </w:pPr>
    </w:p>
    <w:p w:rsidR="00EF52B3" w:rsidRDefault="00EF52B3">
      <w:pPr>
        <w:pStyle w:val="BodyText"/>
        <w:pBdr>
          <w:top w:val="single" w:sz="4" w:space="1" w:color="auto"/>
          <w:left w:val="single" w:sz="4" w:space="4" w:color="auto"/>
          <w:bottom w:val="single" w:sz="4" w:space="1" w:color="auto"/>
          <w:right w:val="single" w:sz="4" w:space="4" w:color="auto"/>
        </w:pBdr>
      </w:pPr>
      <w:r>
        <w:tab/>
        <w:t>Total amount of outstanding and unpaid bonded indebtedness*</w:t>
      </w:r>
      <w:r>
        <w:tab/>
      </w:r>
      <w:r w:rsidRPr="00972ED7">
        <w:t>$</w:t>
      </w:r>
      <w:r>
        <w:rPr>
          <w:u w:val="single"/>
        </w:rPr>
        <w:t xml:space="preserve">  </w:t>
      </w:r>
      <w:r w:rsidR="00A257E1">
        <w:rPr>
          <w:u w:val="single"/>
        </w:rPr>
        <w:t xml:space="preserve">  </w:t>
      </w:r>
      <w:r w:rsidR="00046A02">
        <w:rPr>
          <w:u w:val="single"/>
        </w:rPr>
        <w:t>637,013,142</w:t>
      </w:r>
    </w:p>
    <w:p w:rsidR="00EF52B3" w:rsidRDefault="00EF52B3">
      <w:pPr>
        <w:pStyle w:val="BodyText"/>
        <w:pBdr>
          <w:top w:val="single" w:sz="4" w:space="1" w:color="auto"/>
          <w:left w:val="single" w:sz="4" w:space="4" w:color="auto"/>
          <w:bottom w:val="single" w:sz="4" w:space="1" w:color="auto"/>
          <w:right w:val="single" w:sz="4" w:space="4" w:color="auto"/>
        </w:pBdr>
      </w:pPr>
      <w:r>
        <w:rPr>
          <w:sz w:val="16"/>
        </w:rPr>
        <w:t>*     Outstanding principal</w:t>
      </w:r>
      <w:r>
        <w:t>.</w:t>
      </w:r>
    </w:p>
    <w:p w:rsidR="00EF52B3" w:rsidRDefault="00EF52B3">
      <w:pPr>
        <w:pStyle w:val="Heading2"/>
        <w:pBdr>
          <w:top w:val="single" w:sz="4" w:space="1" w:color="auto"/>
          <w:left w:val="single" w:sz="4" w:space="5" w:color="auto"/>
          <w:bottom w:val="single" w:sz="4" w:space="1" w:color="auto"/>
          <w:right w:val="single" w:sz="4" w:space="4" w:color="auto"/>
        </w:pBdr>
        <w:rPr>
          <w:sz w:val="20"/>
          <w:u w:val="none"/>
        </w:rPr>
      </w:pPr>
      <w:r>
        <w:rPr>
          <w:sz w:val="20"/>
          <w:u w:val="none"/>
        </w:rPr>
        <w:lastRenderedPageBreak/>
        <w:tab/>
      </w:r>
      <w:r>
        <w:rPr>
          <w:sz w:val="20"/>
          <w:u w:val="none"/>
        </w:rPr>
        <w:tab/>
      </w:r>
    </w:p>
    <w:p w:rsidR="00EF52B3" w:rsidRDefault="00EF52B3">
      <w:pPr>
        <w:pStyle w:val="Heading2"/>
        <w:pBdr>
          <w:top w:val="single" w:sz="4" w:space="1" w:color="auto"/>
          <w:left w:val="single" w:sz="4" w:space="5" w:color="auto"/>
          <w:bottom w:val="single" w:sz="4" w:space="1" w:color="auto"/>
          <w:right w:val="single" w:sz="4" w:space="4" w:color="auto"/>
        </w:pBdr>
        <w:rPr>
          <w:sz w:val="22"/>
        </w:rPr>
      </w:pPr>
      <w:r w:rsidRPr="00850492">
        <w:rPr>
          <w:sz w:val="22"/>
        </w:rPr>
        <w:t>Comparison of Proposed Rates with Last Year’s Rates</w:t>
      </w:r>
    </w:p>
    <w:p w:rsidR="00EF52B3" w:rsidRDefault="00EF52B3">
      <w:pPr>
        <w:pBdr>
          <w:top w:val="single" w:sz="4" w:space="1" w:color="auto"/>
          <w:left w:val="single" w:sz="4" w:space="5" w:color="auto"/>
          <w:bottom w:val="single" w:sz="4" w:space="1" w:color="auto"/>
          <w:right w:val="single" w:sz="4" w:space="4" w:color="auto"/>
        </w:pBdr>
      </w:pPr>
      <w:r>
        <w:tab/>
      </w:r>
      <w:r>
        <w:tab/>
      </w:r>
      <w:r>
        <w:tab/>
      </w:r>
      <w:r>
        <w:tab/>
      </w:r>
    </w:p>
    <w:p w:rsidR="00EF52B3" w:rsidRDefault="00EF52B3">
      <w:pPr>
        <w:pBdr>
          <w:top w:val="single" w:sz="4" w:space="1" w:color="auto"/>
          <w:left w:val="single" w:sz="4" w:space="5" w:color="auto"/>
          <w:bottom w:val="single" w:sz="4" w:space="1" w:color="auto"/>
          <w:right w:val="single" w:sz="4" w:space="4" w:color="auto"/>
        </w:pBdr>
        <w:rPr>
          <w:b/>
          <w:sz w:val="16"/>
        </w:rPr>
      </w:pPr>
      <w:r>
        <w:tab/>
      </w:r>
      <w:r>
        <w:tab/>
      </w:r>
      <w:r>
        <w:tab/>
      </w:r>
      <w:r>
        <w:tab/>
      </w:r>
      <w:r>
        <w:rPr>
          <w:b/>
          <w:sz w:val="16"/>
        </w:rPr>
        <w:t>Maintenance      Interest &amp;</w:t>
      </w:r>
      <w:r>
        <w:rPr>
          <w:b/>
          <w:sz w:val="16"/>
        </w:rPr>
        <w:tab/>
      </w:r>
      <w:r>
        <w:rPr>
          <w:b/>
          <w:sz w:val="16"/>
        </w:rPr>
        <w:tab/>
        <w:t xml:space="preserve">     Local Revenue</w:t>
      </w:r>
      <w:r>
        <w:rPr>
          <w:b/>
          <w:sz w:val="16"/>
        </w:rPr>
        <w:tab/>
        <w:t>State Revenue</w:t>
      </w:r>
    </w:p>
    <w:p w:rsidR="00EF52B3" w:rsidRDefault="00EF52B3">
      <w:pPr>
        <w:pBdr>
          <w:top w:val="single" w:sz="4" w:space="1" w:color="auto"/>
          <w:left w:val="single" w:sz="4" w:space="5" w:color="auto"/>
          <w:bottom w:val="single" w:sz="4" w:space="1" w:color="auto"/>
          <w:right w:val="single" w:sz="4" w:space="4" w:color="auto"/>
        </w:pBdr>
      </w:pPr>
      <w:r>
        <w:rPr>
          <w:b/>
          <w:sz w:val="16"/>
        </w:rPr>
        <w:tab/>
      </w:r>
      <w:r>
        <w:rPr>
          <w:b/>
          <w:sz w:val="16"/>
        </w:rPr>
        <w:tab/>
      </w:r>
      <w:r>
        <w:rPr>
          <w:b/>
          <w:sz w:val="16"/>
        </w:rPr>
        <w:tab/>
      </w:r>
      <w:r>
        <w:rPr>
          <w:b/>
          <w:sz w:val="16"/>
        </w:rPr>
        <w:tab/>
        <w:t>&amp; Operations     Sinking Fund*       Total</w:t>
      </w:r>
      <w:r>
        <w:rPr>
          <w:b/>
          <w:sz w:val="16"/>
        </w:rPr>
        <w:tab/>
        <w:t xml:space="preserve">     Per Student</w:t>
      </w:r>
      <w:r>
        <w:rPr>
          <w:b/>
          <w:sz w:val="16"/>
        </w:rPr>
        <w:tab/>
        <w:t>Per Student</w:t>
      </w:r>
    </w:p>
    <w:p w:rsidR="00EF52B3" w:rsidRDefault="00EF52B3">
      <w:pPr>
        <w:pBdr>
          <w:top w:val="single" w:sz="4" w:space="1" w:color="auto"/>
          <w:left w:val="single" w:sz="4" w:space="5" w:color="auto"/>
          <w:bottom w:val="single" w:sz="4" w:space="1" w:color="auto"/>
          <w:right w:val="single" w:sz="4" w:space="4" w:color="auto"/>
        </w:pBdr>
      </w:pPr>
    </w:p>
    <w:p w:rsidR="00EF52B3" w:rsidRDefault="00EF52B3">
      <w:pPr>
        <w:pBdr>
          <w:top w:val="single" w:sz="4" w:space="1" w:color="auto"/>
          <w:left w:val="single" w:sz="4" w:space="5" w:color="auto"/>
          <w:bottom w:val="single" w:sz="4" w:space="1" w:color="auto"/>
          <w:right w:val="single" w:sz="4" w:space="4" w:color="auto"/>
        </w:pBdr>
      </w:pPr>
      <w:r>
        <w:tab/>
      </w:r>
      <w:r>
        <w:tab/>
      </w:r>
      <w:r>
        <w:tab/>
      </w:r>
      <w:r>
        <w:tab/>
      </w:r>
      <w:r>
        <w:tab/>
      </w:r>
      <w:r>
        <w:tab/>
      </w:r>
      <w:r>
        <w:tab/>
      </w:r>
      <w:r>
        <w:tab/>
      </w:r>
    </w:p>
    <w:p w:rsidR="00EF52B3" w:rsidRDefault="00EF52B3">
      <w:pPr>
        <w:pBdr>
          <w:top w:val="single" w:sz="4" w:space="1" w:color="auto"/>
          <w:left w:val="single" w:sz="4" w:space="5" w:color="auto"/>
          <w:bottom w:val="single" w:sz="4" w:space="1" w:color="auto"/>
          <w:right w:val="single" w:sz="4" w:space="4" w:color="auto"/>
        </w:pBdr>
        <w:rPr>
          <w:b/>
        </w:rPr>
      </w:pPr>
      <w:r>
        <w:rPr>
          <w:b/>
        </w:rPr>
        <w:t>Last Year’s Rate</w:t>
      </w:r>
      <w:r>
        <w:rPr>
          <w:b/>
        </w:rPr>
        <w:tab/>
      </w:r>
      <w:r>
        <w:rPr>
          <w:b/>
        </w:rPr>
        <w:tab/>
        <w:t>$ 1.</w:t>
      </w:r>
      <w:r w:rsidR="00A257E1">
        <w:rPr>
          <w:b/>
        </w:rPr>
        <w:t>0</w:t>
      </w:r>
      <w:r w:rsidR="00850492">
        <w:rPr>
          <w:b/>
        </w:rPr>
        <w:t>4000</w:t>
      </w:r>
      <w:r>
        <w:rPr>
          <w:b/>
        </w:rPr>
        <w:t xml:space="preserve">       $ .</w:t>
      </w:r>
      <w:r w:rsidR="00470942">
        <w:rPr>
          <w:b/>
        </w:rPr>
        <w:t>4</w:t>
      </w:r>
      <w:r w:rsidR="00394765">
        <w:rPr>
          <w:b/>
        </w:rPr>
        <w:t>8</w:t>
      </w:r>
      <w:r w:rsidR="00DC38C5">
        <w:rPr>
          <w:b/>
        </w:rPr>
        <w:t>00</w:t>
      </w:r>
      <w:r w:rsidR="00A257E1">
        <w:rPr>
          <w:b/>
        </w:rPr>
        <w:t>0</w:t>
      </w:r>
      <w:r>
        <w:rPr>
          <w:b/>
        </w:rPr>
        <w:t xml:space="preserve"> *    </w:t>
      </w:r>
      <w:r>
        <w:t xml:space="preserve">   </w:t>
      </w:r>
      <w:r w:rsidR="00E277E9">
        <w:t xml:space="preserve"> </w:t>
      </w:r>
      <w:r>
        <w:rPr>
          <w:b/>
        </w:rPr>
        <w:t>$ 1.</w:t>
      </w:r>
      <w:r w:rsidR="00394765">
        <w:rPr>
          <w:b/>
        </w:rPr>
        <w:t>52</w:t>
      </w:r>
      <w:r w:rsidR="00850492">
        <w:rPr>
          <w:b/>
        </w:rPr>
        <w:t>00</w:t>
      </w:r>
      <w:r w:rsidR="00972ED7">
        <w:rPr>
          <w:b/>
        </w:rPr>
        <w:t>0</w:t>
      </w:r>
      <w:r>
        <w:t xml:space="preserve"> </w:t>
      </w:r>
      <w:r w:rsidR="00C973E9">
        <w:t xml:space="preserve"> </w:t>
      </w:r>
      <w:r>
        <w:t xml:space="preserve"> </w:t>
      </w:r>
      <w:r w:rsidR="00DC38C5">
        <w:t xml:space="preserve">  </w:t>
      </w:r>
      <w:r>
        <w:t xml:space="preserve"> </w:t>
      </w:r>
      <w:r>
        <w:rPr>
          <w:b/>
        </w:rPr>
        <w:t>$</w:t>
      </w:r>
      <w:r w:rsidR="00DC38C5">
        <w:rPr>
          <w:b/>
        </w:rPr>
        <w:t xml:space="preserve"> </w:t>
      </w:r>
      <w:r w:rsidR="00394765">
        <w:rPr>
          <w:b/>
        </w:rPr>
        <w:t>3</w:t>
      </w:r>
      <w:r w:rsidR="00C973E9">
        <w:rPr>
          <w:b/>
        </w:rPr>
        <w:t>,</w:t>
      </w:r>
      <w:r w:rsidR="00394765">
        <w:rPr>
          <w:b/>
        </w:rPr>
        <w:t>129</w:t>
      </w:r>
      <w:r w:rsidR="00A257E1">
        <w:rPr>
          <w:b/>
        </w:rPr>
        <w:t xml:space="preserve">     </w:t>
      </w:r>
      <w:r w:rsidR="00DC38C5">
        <w:rPr>
          <w:b/>
        </w:rPr>
        <w:t xml:space="preserve">  $ </w:t>
      </w:r>
      <w:r w:rsidR="00146FE6">
        <w:rPr>
          <w:b/>
        </w:rPr>
        <w:t>6,</w:t>
      </w:r>
      <w:r w:rsidR="0015699E">
        <w:rPr>
          <w:b/>
        </w:rPr>
        <w:t>9</w:t>
      </w:r>
      <w:r w:rsidR="00394765">
        <w:rPr>
          <w:b/>
        </w:rPr>
        <w:t>63</w:t>
      </w:r>
    </w:p>
    <w:p w:rsidR="00EF52B3" w:rsidRDefault="00EF52B3">
      <w:pPr>
        <w:pBdr>
          <w:top w:val="single" w:sz="4" w:space="1" w:color="auto"/>
          <w:left w:val="single" w:sz="4" w:space="5" w:color="auto"/>
          <w:bottom w:val="single" w:sz="4" w:space="1" w:color="auto"/>
          <w:right w:val="single" w:sz="4" w:space="4" w:color="auto"/>
        </w:pBdr>
        <w:rPr>
          <w:b/>
        </w:rPr>
      </w:pPr>
    </w:p>
    <w:p w:rsidR="00EF52B3" w:rsidRDefault="00EF52B3">
      <w:pPr>
        <w:pBdr>
          <w:top w:val="single" w:sz="4" w:space="1" w:color="auto"/>
          <w:left w:val="single" w:sz="4" w:space="5" w:color="auto"/>
          <w:bottom w:val="single" w:sz="4" w:space="1" w:color="auto"/>
          <w:right w:val="single" w:sz="4" w:space="4" w:color="auto"/>
        </w:pBdr>
        <w:rPr>
          <w:b/>
        </w:rPr>
      </w:pPr>
      <w:r>
        <w:rPr>
          <w:b/>
        </w:rPr>
        <w:t>Rate to Maintain Same</w:t>
      </w:r>
    </w:p>
    <w:p w:rsidR="00EF52B3" w:rsidRDefault="00EF52B3">
      <w:pPr>
        <w:pBdr>
          <w:top w:val="single" w:sz="4" w:space="1" w:color="auto"/>
          <w:left w:val="single" w:sz="4" w:space="5" w:color="auto"/>
          <w:bottom w:val="single" w:sz="4" w:space="1" w:color="auto"/>
          <w:right w:val="single" w:sz="4" w:space="4" w:color="auto"/>
        </w:pBdr>
        <w:rPr>
          <w:b/>
        </w:rPr>
      </w:pPr>
      <w:r>
        <w:rPr>
          <w:b/>
        </w:rPr>
        <w:t xml:space="preserve">Level of Maintenance &amp; </w:t>
      </w:r>
    </w:p>
    <w:p w:rsidR="00EF52B3" w:rsidRDefault="00EF52B3">
      <w:pPr>
        <w:pStyle w:val="Heading5"/>
        <w:pBdr>
          <w:left w:val="single" w:sz="4" w:space="5" w:color="auto"/>
        </w:pBdr>
      </w:pPr>
      <w:r>
        <w:t>Operations Revenue &amp;</w:t>
      </w:r>
    </w:p>
    <w:p w:rsidR="00EF52B3" w:rsidRDefault="00EF52B3">
      <w:pPr>
        <w:pBdr>
          <w:top w:val="single" w:sz="4" w:space="1" w:color="auto"/>
          <w:left w:val="single" w:sz="4" w:space="5" w:color="auto"/>
          <w:bottom w:val="single" w:sz="4" w:space="1" w:color="auto"/>
          <w:right w:val="single" w:sz="4" w:space="4" w:color="auto"/>
        </w:pBdr>
      </w:pPr>
      <w:r>
        <w:rPr>
          <w:b/>
        </w:rPr>
        <w:t>Pay Debt Service</w:t>
      </w:r>
      <w:r>
        <w:rPr>
          <w:b/>
        </w:rPr>
        <w:tab/>
      </w:r>
      <w:r>
        <w:rPr>
          <w:b/>
        </w:rPr>
        <w:tab/>
        <w:t xml:space="preserve">$ </w:t>
      </w:r>
      <w:r w:rsidR="00A257E1">
        <w:rPr>
          <w:b/>
        </w:rPr>
        <w:t xml:space="preserve"> </w:t>
      </w:r>
      <w:r w:rsidR="00641E2F">
        <w:rPr>
          <w:b/>
        </w:rPr>
        <w:t>1.</w:t>
      </w:r>
      <w:r w:rsidR="00394765">
        <w:rPr>
          <w:b/>
        </w:rPr>
        <w:t>01668</w:t>
      </w:r>
      <w:r w:rsidR="00A257E1">
        <w:rPr>
          <w:b/>
        </w:rPr>
        <w:t xml:space="preserve">   </w:t>
      </w:r>
      <w:r w:rsidR="00DC38C5">
        <w:rPr>
          <w:b/>
        </w:rPr>
        <w:t xml:space="preserve">    </w:t>
      </w:r>
      <w:r w:rsidR="00A257E1">
        <w:rPr>
          <w:b/>
        </w:rPr>
        <w:t xml:space="preserve">$ </w:t>
      </w:r>
      <w:r w:rsidR="00972ED7">
        <w:rPr>
          <w:b/>
        </w:rPr>
        <w:t>.</w:t>
      </w:r>
      <w:r w:rsidR="00766ED6">
        <w:rPr>
          <w:b/>
        </w:rPr>
        <w:t>4</w:t>
      </w:r>
      <w:r w:rsidR="00394765">
        <w:rPr>
          <w:b/>
        </w:rPr>
        <w:t>8778</w:t>
      </w:r>
      <w:r w:rsidR="00C973E9">
        <w:rPr>
          <w:b/>
        </w:rPr>
        <w:t xml:space="preserve"> </w:t>
      </w:r>
      <w:r>
        <w:t xml:space="preserve">*       </w:t>
      </w:r>
      <w:r>
        <w:rPr>
          <w:b/>
        </w:rPr>
        <w:t xml:space="preserve">$ </w:t>
      </w:r>
      <w:r w:rsidR="00972ED7">
        <w:rPr>
          <w:b/>
        </w:rPr>
        <w:t>1.</w:t>
      </w:r>
      <w:r w:rsidR="00766ED6">
        <w:rPr>
          <w:b/>
        </w:rPr>
        <w:t>5</w:t>
      </w:r>
      <w:r w:rsidR="00394765">
        <w:rPr>
          <w:b/>
        </w:rPr>
        <w:t>0446</w:t>
      </w:r>
      <w:r w:rsidR="00224C5F">
        <w:rPr>
          <w:b/>
        </w:rPr>
        <w:t xml:space="preserve"> </w:t>
      </w:r>
      <w:r w:rsidR="00DC38C5">
        <w:rPr>
          <w:b/>
        </w:rPr>
        <w:t xml:space="preserve">   </w:t>
      </w:r>
      <w:r w:rsidR="00E277E9">
        <w:rPr>
          <w:b/>
        </w:rPr>
        <w:t xml:space="preserve"> </w:t>
      </w:r>
      <w:r w:rsidR="00DC38C5">
        <w:rPr>
          <w:b/>
        </w:rPr>
        <w:t>$</w:t>
      </w:r>
      <w:r w:rsidR="00C973E9">
        <w:rPr>
          <w:b/>
        </w:rPr>
        <w:t xml:space="preserve"> </w:t>
      </w:r>
      <w:r w:rsidR="00394765">
        <w:rPr>
          <w:b/>
        </w:rPr>
        <w:t>3</w:t>
      </w:r>
      <w:r w:rsidR="00972ED7">
        <w:rPr>
          <w:b/>
        </w:rPr>
        <w:t>,</w:t>
      </w:r>
      <w:r w:rsidR="00394765">
        <w:rPr>
          <w:b/>
        </w:rPr>
        <w:t>279</w:t>
      </w:r>
      <w:r w:rsidR="00224C5F">
        <w:rPr>
          <w:b/>
        </w:rPr>
        <w:t xml:space="preserve">     </w:t>
      </w:r>
      <w:r w:rsidR="00A257E1">
        <w:rPr>
          <w:b/>
        </w:rPr>
        <w:t xml:space="preserve"> </w:t>
      </w:r>
      <w:r w:rsidR="00DC38C5">
        <w:rPr>
          <w:b/>
        </w:rPr>
        <w:t xml:space="preserve">  $</w:t>
      </w:r>
      <w:r w:rsidR="00A257E1">
        <w:rPr>
          <w:b/>
        </w:rPr>
        <w:t xml:space="preserve"> </w:t>
      </w:r>
      <w:r w:rsidR="00766ED6">
        <w:rPr>
          <w:b/>
        </w:rPr>
        <w:t>6,</w:t>
      </w:r>
      <w:r w:rsidR="00394765">
        <w:rPr>
          <w:b/>
        </w:rPr>
        <w:t>901</w:t>
      </w:r>
      <w:r>
        <w:tab/>
      </w:r>
    </w:p>
    <w:p w:rsidR="00EF52B3" w:rsidRDefault="00EF52B3">
      <w:pPr>
        <w:pBdr>
          <w:top w:val="single" w:sz="4" w:space="1" w:color="auto"/>
          <w:left w:val="single" w:sz="4" w:space="5" w:color="auto"/>
          <w:bottom w:val="single" w:sz="4" w:space="1" w:color="auto"/>
          <w:right w:val="single" w:sz="4" w:space="4" w:color="auto"/>
        </w:pBdr>
        <w:rPr>
          <w:b/>
        </w:rPr>
      </w:pPr>
    </w:p>
    <w:p w:rsidR="00EF52B3" w:rsidRPr="00DC38C5" w:rsidRDefault="00EF52B3">
      <w:pPr>
        <w:pBdr>
          <w:top w:val="single" w:sz="4" w:space="1" w:color="auto"/>
          <w:left w:val="single" w:sz="4" w:space="5" w:color="auto"/>
          <w:bottom w:val="single" w:sz="4" w:space="1" w:color="auto"/>
          <w:right w:val="single" w:sz="4" w:space="4" w:color="auto"/>
        </w:pBdr>
        <w:rPr>
          <w:b/>
        </w:rPr>
      </w:pPr>
      <w:r>
        <w:rPr>
          <w:b/>
        </w:rPr>
        <w:t>Proposed Rate</w:t>
      </w:r>
      <w:r>
        <w:rPr>
          <w:b/>
        </w:rPr>
        <w:tab/>
      </w:r>
      <w:r>
        <w:rPr>
          <w:b/>
        </w:rPr>
        <w:tab/>
        <w:t xml:space="preserve">               $ </w:t>
      </w:r>
      <w:r w:rsidR="00394765">
        <w:rPr>
          <w:b/>
        </w:rPr>
        <w:t>0</w:t>
      </w:r>
      <w:r w:rsidR="00972ED7">
        <w:rPr>
          <w:b/>
        </w:rPr>
        <w:t>.</w:t>
      </w:r>
      <w:r w:rsidR="00394765">
        <w:rPr>
          <w:b/>
        </w:rPr>
        <w:t>97</w:t>
      </w:r>
      <w:r w:rsidR="00972ED7">
        <w:rPr>
          <w:b/>
        </w:rPr>
        <w:t>000</w:t>
      </w:r>
      <w:r w:rsidR="00A257E1">
        <w:rPr>
          <w:b/>
        </w:rPr>
        <w:t xml:space="preserve"> </w:t>
      </w:r>
      <w:r>
        <w:rPr>
          <w:b/>
        </w:rPr>
        <w:t xml:space="preserve">    </w:t>
      </w:r>
      <w:r w:rsidR="00DC38C5">
        <w:rPr>
          <w:b/>
        </w:rPr>
        <w:t xml:space="preserve">   $</w:t>
      </w:r>
      <w:r w:rsidR="00A257E1">
        <w:rPr>
          <w:b/>
        </w:rPr>
        <w:t xml:space="preserve"> </w:t>
      </w:r>
      <w:r w:rsidR="00972ED7">
        <w:rPr>
          <w:b/>
        </w:rPr>
        <w:t>.</w:t>
      </w:r>
      <w:r w:rsidR="0015699E">
        <w:rPr>
          <w:b/>
        </w:rPr>
        <w:t>4</w:t>
      </w:r>
      <w:r w:rsidR="00766ED6">
        <w:rPr>
          <w:b/>
        </w:rPr>
        <w:t>8</w:t>
      </w:r>
      <w:r w:rsidR="00DC38C5">
        <w:rPr>
          <w:b/>
        </w:rPr>
        <w:t>00</w:t>
      </w:r>
      <w:r w:rsidR="00972ED7">
        <w:rPr>
          <w:b/>
        </w:rPr>
        <w:t xml:space="preserve">0 </w:t>
      </w:r>
      <w:r>
        <w:rPr>
          <w:b/>
        </w:rPr>
        <w:t xml:space="preserve">*       $ </w:t>
      </w:r>
      <w:r w:rsidR="00972ED7">
        <w:rPr>
          <w:b/>
        </w:rPr>
        <w:t>1.</w:t>
      </w:r>
      <w:r w:rsidR="00394765">
        <w:rPr>
          <w:b/>
        </w:rPr>
        <w:t>45</w:t>
      </w:r>
      <w:r w:rsidR="00972ED7">
        <w:rPr>
          <w:b/>
        </w:rPr>
        <w:t>000</w:t>
      </w:r>
      <w:r w:rsidR="00A257E1">
        <w:rPr>
          <w:b/>
        </w:rPr>
        <w:t xml:space="preserve">   </w:t>
      </w:r>
      <w:r w:rsidR="00DC38C5">
        <w:rPr>
          <w:b/>
        </w:rPr>
        <w:t xml:space="preserve">  $ </w:t>
      </w:r>
      <w:r w:rsidR="00766ED6">
        <w:rPr>
          <w:b/>
        </w:rPr>
        <w:t>3</w:t>
      </w:r>
      <w:r w:rsidR="00972ED7">
        <w:rPr>
          <w:b/>
        </w:rPr>
        <w:t>,</w:t>
      </w:r>
      <w:r w:rsidR="00394765">
        <w:rPr>
          <w:b/>
        </w:rPr>
        <w:t>307</w:t>
      </w:r>
      <w:r w:rsidR="00A257E1">
        <w:rPr>
          <w:b/>
        </w:rPr>
        <w:t xml:space="preserve"> </w:t>
      </w:r>
      <w:r w:rsidR="00224C5F">
        <w:rPr>
          <w:b/>
        </w:rPr>
        <w:t xml:space="preserve"> </w:t>
      </w:r>
      <w:r w:rsidR="00A257E1">
        <w:rPr>
          <w:b/>
        </w:rPr>
        <w:t xml:space="preserve"> </w:t>
      </w:r>
      <w:r w:rsidR="00972ED7">
        <w:rPr>
          <w:b/>
        </w:rPr>
        <w:t xml:space="preserve"> </w:t>
      </w:r>
      <w:r w:rsidR="00DC38C5">
        <w:rPr>
          <w:b/>
        </w:rPr>
        <w:t xml:space="preserve">   $</w:t>
      </w:r>
      <w:r w:rsidR="00A257E1">
        <w:rPr>
          <w:b/>
        </w:rPr>
        <w:t xml:space="preserve"> </w:t>
      </w:r>
      <w:r w:rsidR="00394765">
        <w:rPr>
          <w:b/>
        </w:rPr>
        <w:t>7</w:t>
      </w:r>
      <w:r w:rsidR="00470942">
        <w:rPr>
          <w:b/>
        </w:rPr>
        <w:t>,</w:t>
      </w:r>
      <w:r w:rsidR="00394765">
        <w:rPr>
          <w:b/>
        </w:rPr>
        <w:t>584</w:t>
      </w:r>
      <w:r>
        <w:rPr>
          <w:b/>
        </w:rPr>
        <w:tab/>
      </w:r>
      <w:r>
        <w:rPr>
          <w:b/>
        </w:rPr>
        <w:tab/>
      </w:r>
    </w:p>
    <w:p w:rsidR="00EF52B3" w:rsidRDefault="00EF52B3">
      <w:pPr>
        <w:pBdr>
          <w:top w:val="single" w:sz="4" w:space="1" w:color="auto"/>
          <w:left w:val="single" w:sz="4" w:space="5" w:color="auto"/>
          <w:bottom w:val="single" w:sz="4" w:space="1" w:color="auto"/>
          <w:right w:val="single" w:sz="4" w:space="4" w:color="auto"/>
        </w:pBdr>
      </w:pPr>
    </w:p>
    <w:p w:rsidR="00EF52B3" w:rsidRDefault="00EF52B3">
      <w:pPr>
        <w:pStyle w:val="BodyText"/>
        <w:pBdr>
          <w:top w:val="single" w:sz="4" w:space="1" w:color="auto"/>
          <w:left w:val="single" w:sz="4" w:space="5" w:color="auto"/>
          <w:bottom w:val="single" w:sz="4" w:space="1" w:color="auto"/>
          <w:right w:val="single" w:sz="4" w:space="4" w:color="auto"/>
        </w:pBdr>
        <w:rPr>
          <w:sz w:val="22"/>
        </w:rPr>
      </w:pPr>
      <w:r>
        <w:rPr>
          <w:sz w:val="22"/>
        </w:rPr>
        <w:t>*The Interest &amp; Sinking Fund tax revenue is used to pay for bonded indebtedness on construction, equipment, or both.  The bonds, and the tax rate necessary to pay those bonds, were approved by the voters of this district.</w:t>
      </w:r>
    </w:p>
    <w:p w:rsidR="00EF52B3" w:rsidRDefault="00EF52B3"/>
    <w:p w:rsidR="00EF52B3" w:rsidRDefault="00EF52B3"/>
    <w:p w:rsidR="00EF52B3" w:rsidRDefault="00EF52B3">
      <w:pPr>
        <w:pBdr>
          <w:top w:val="single" w:sz="4" w:space="1" w:color="auto"/>
          <w:left w:val="single" w:sz="4" w:space="4" w:color="auto"/>
          <w:bottom w:val="single" w:sz="4" w:space="1" w:color="auto"/>
          <w:right w:val="single" w:sz="4" w:space="4" w:color="auto"/>
        </w:pBdr>
      </w:pPr>
    </w:p>
    <w:p w:rsidR="00EF52B3" w:rsidRDefault="00EF52B3">
      <w:pPr>
        <w:pStyle w:val="Heading3"/>
        <w:pBdr>
          <w:top w:val="single" w:sz="4" w:space="1" w:color="auto"/>
          <w:left w:val="single" w:sz="4" w:space="4" w:color="auto"/>
          <w:bottom w:val="single" w:sz="4" w:space="1" w:color="auto"/>
          <w:right w:val="single" w:sz="4" w:space="4" w:color="auto"/>
        </w:pBdr>
        <w:rPr>
          <w:sz w:val="22"/>
        </w:rPr>
      </w:pPr>
      <w:r>
        <w:rPr>
          <w:sz w:val="22"/>
        </w:rPr>
        <w:t>Comparison of Proposed Levy with Last Year’s Levy on Average Residence</w:t>
      </w:r>
    </w:p>
    <w:p w:rsidR="00EF52B3" w:rsidRDefault="00EF52B3">
      <w:pPr>
        <w:pBdr>
          <w:top w:val="single" w:sz="4" w:space="1" w:color="auto"/>
          <w:left w:val="single" w:sz="4" w:space="4" w:color="auto"/>
          <w:bottom w:val="single" w:sz="4" w:space="1" w:color="auto"/>
          <w:right w:val="single" w:sz="4" w:space="4" w:color="auto"/>
        </w:pBdr>
        <w:rPr>
          <w:b/>
          <w:u w:val="single"/>
        </w:rPr>
      </w:pPr>
      <w:r>
        <w:tab/>
      </w:r>
      <w:r>
        <w:tab/>
      </w:r>
      <w:r>
        <w:tab/>
      </w:r>
      <w:r>
        <w:tab/>
      </w:r>
      <w:r>
        <w:tab/>
      </w:r>
      <w:r>
        <w:tab/>
      </w:r>
      <w:r>
        <w:tab/>
      </w:r>
      <w:r>
        <w:rPr>
          <w:b/>
          <w:u w:val="single"/>
        </w:rPr>
        <w:t>Last Year</w:t>
      </w:r>
      <w:r>
        <w:rPr>
          <w:b/>
        </w:rPr>
        <w:tab/>
      </w:r>
      <w:r>
        <w:rPr>
          <w:b/>
          <w:u w:val="single"/>
        </w:rPr>
        <w:t>This Year</w:t>
      </w:r>
    </w:p>
    <w:p w:rsidR="00EF52B3" w:rsidRDefault="00EF52B3">
      <w:pPr>
        <w:pBdr>
          <w:top w:val="single" w:sz="4" w:space="1" w:color="auto"/>
          <w:left w:val="single" w:sz="4" w:space="4" w:color="auto"/>
          <w:bottom w:val="single" w:sz="4" w:space="1" w:color="auto"/>
          <w:right w:val="single" w:sz="4" w:space="4" w:color="auto"/>
        </w:pBdr>
      </w:pPr>
      <w:r>
        <w:t>Average Market Value of Residences</w:t>
      </w:r>
      <w:r>
        <w:tab/>
      </w:r>
      <w:r>
        <w:tab/>
      </w:r>
      <w:r>
        <w:tab/>
        <w:t xml:space="preserve">$  </w:t>
      </w:r>
      <w:r w:rsidR="000F44A3">
        <w:t xml:space="preserve"> </w:t>
      </w:r>
      <w:r w:rsidR="00E277E9">
        <w:t xml:space="preserve"> </w:t>
      </w:r>
      <w:r w:rsidR="002132B4">
        <w:t>146,319</w:t>
      </w:r>
      <w:r>
        <w:tab/>
        <w:t xml:space="preserve">$  </w:t>
      </w:r>
      <w:r w:rsidR="000F44A3">
        <w:t xml:space="preserve"> </w:t>
      </w:r>
      <w:r w:rsidR="00665741">
        <w:t>1</w:t>
      </w:r>
      <w:r w:rsidR="002132B4">
        <w:t>57</w:t>
      </w:r>
      <w:r w:rsidR="00470942">
        <w:t>,</w:t>
      </w:r>
      <w:r w:rsidR="002132B4">
        <w:t>491</w:t>
      </w:r>
      <w:r>
        <w:tab/>
      </w:r>
      <w:r>
        <w:tab/>
      </w:r>
    </w:p>
    <w:p w:rsidR="00EF52B3" w:rsidRDefault="00EF52B3">
      <w:pPr>
        <w:pBdr>
          <w:top w:val="single" w:sz="4" w:space="1" w:color="auto"/>
          <w:left w:val="single" w:sz="4" w:space="4" w:color="auto"/>
          <w:bottom w:val="single" w:sz="4" w:space="1" w:color="auto"/>
          <w:right w:val="single" w:sz="4" w:space="4" w:color="auto"/>
        </w:pBdr>
      </w:pPr>
    </w:p>
    <w:p w:rsidR="00EF52B3" w:rsidRDefault="00EF52B3">
      <w:pPr>
        <w:pBdr>
          <w:top w:val="single" w:sz="4" w:space="1" w:color="auto"/>
          <w:left w:val="single" w:sz="4" w:space="4" w:color="auto"/>
          <w:bottom w:val="single" w:sz="4" w:space="1" w:color="auto"/>
          <w:right w:val="single" w:sz="4" w:space="4" w:color="auto"/>
        </w:pBdr>
      </w:pPr>
      <w:r>
        <w:t>Average Taxable V</w:t>
      </w:r>
      <w:r w:rsidR="00A257E1">
        <w:t>alue of Residences</w:t>
      </w:r>
      <w:r w:rsidR="00A257E1">
        <w:tab/>
      </w:r>
      <w:r w:rsidR="00A257E1">
        <w:tab/>
      </w:r>
      <w:r w:rsidR="00A257E1">
        <w:tab/>
        <w:t xml:space="preserve">$    </w:t>
      </w:r>
      <w:r w:rsidR="00C31B96">
        <w:t xml:space="preserve"> </w:t>
      </w:r>
      <w:r w:rsidR="002132B4">
        <w:t>113,294</w:t>
      </w:r>
      <w:r>
        <w:tab/>
        <w:t xml:space="preserve">$   </w:t>
      </w:r>
      <w:r w:rsidR="002132B4">
        <w:t>125</w:t>
      </w:r>
      <w:r w:rsidR="00665741">
        <w:t>,</w:t>
      </w:r>
      <w:r w:rsidR="002132B4">
        <w:t>496</w:t>
      </w:r>
    </w:p>
    <w:p w:rsidR="00EF52B3" w:rsidRDefault="00EF52B3">
      <w:pPr>
        <w:pBdr>
          <w:top w:val="single" w:sz="4" w:space="1" w:color="auto"/>
          <w:left w:val="single" w:sz="4" w:space="4" w:color="auto"/>
          <w:bottom w:val="single" w:sz="4" w:space="1" w:color="auto"/>
          <w:right w:val="single" w:sz="4" w:space="4" w:color="auto"/>
        </w:pBdr>
      </w:pPr>
    </w:p>
    <w:p w:rsidR="00EF52B3" w:rsidRDefault="00EF52B3">
      <w:pPr>
        <w:pBdr>
          <w:top w:val="single" w:sz="4" w:space="1" w:color="auto"/>
          <w:left w:val="single" w:sz="4" w:space="4" w:color="auto"/>
          <w:bottom w:val="single" w:sz="4" w:space="1" w:color="auto"/>
          <w:right w:val="single" w:sz="4" w:space="4" w:color="auto"/>
        </w:pBdr>
      </w:pPr>
      <w:r>
        <w:t>Last Year’s Rate Versus Proposed Rate p</w:t>
      </w:r>
      <w:r w:rsidR="00A257E1">
        <w:t>er $100 Value</w:t>
      </w:r>
      <w:r w:rsidR="00A257E1">
        <w:tab/>
        <w:t xml:space="preserve">$  </w:t>
      </w:r>
      <w:r w:rsidR="00295BF0">
        <w:t xml:space="preserve"> </w:t>
      </w:r>
      <w:r w:rsidR="00A257E1">
        <w:t xml:space="preserve"> </w:t>
      </w:r>
      <w:r w:rsidR="00295BF0">
        <w:t xml:space="preserve"> </w:t>
      </w:r>
      <w:r w:rsidR="00C31B96">
        <w:t xml:space="preserve">    </w:t>
      </w:r>
      <w:r w:rsidR="00A257E1">
        <w:t>1.</w:t>
      </w:r>
      <w:r w:rsidR="002132B4">
        <w:t>52</w:t>
      </w:r>
      <w:r w:rsidR="00C31B96">
        <w:t xml:space="preserve"> </w:t>
      </w:r>
      <w:r w:rsidR="00A257E1">
        <w:tab/>
        <w:t xml:space="preserve">$   </w:t>
      </w:r>
      <w:r w:rsidR="00295BF0">
        <w:t xml:space="preserve">     </w:t>
      </w:r>
      <w:r w:rsidR="00665741">
        <w:t>1.</w:t>
      </w:r>
      <w:r w:rsidR="002132B4">
        <w:t>45</w:t>
      </w:r>
    </w:p>
    <w:p w:rsidR="00EF52B3" w:rsidRDefault="00EF52B3">
      <w:pPr>
        <w:pBdr>
          <w:top w:val="single" w:sz="4" w:space="1" w:color="auto"/>
          <w:left w:val="single" w:sz="4" w:space="4" w:color="auto"/>
          <w:bottom w:val="single" w:sz="4" w:space="1" w:color="auto"/>
          <w:right w:val="single" w:sz="4" w:space="4" w:color="auto"/>
        </w:pBdr>
      </w:pPr>
    </w:p>
    <w:p w:rsidR="00EF52B3" w:rsidRDefault="00EF52B3">
      <w:pPr>
        <w:pBdr>
          <w:top w:val="single" w:sz="4" w:space="1" w:color="auto"/>
          <w:left w:val="single" w:sz="4" w:space="4" w:color="auto"/>
          <w:bottom w:val="single" w:sz="4" w:space="1" w:color="auto"/>
          <w:right w:val="single" w:sz="4" w:space="4" w:color="auto"/>
        </w:pBdr>
      </w:pPr>
      <w:r>
        <w:t>Taxes Due o</w:t>
      </w:r>
      <w:r w:rsidR="00A257E1">
        <w:t>n Average Residence</w:t>
      </w:r>
      <w:r w:rsidR="00A257E1">
        <w:tab/>
      </w:r>
      <w:r w:rsidR="00A257E1">
        <w:tab/>
      </w:r>
      <w:r w:rsidR="00A257E1">
        <w:tab/>
      </w:r>
      <w:r w:rsidR="00A257E1">
        <w:tab/>
        <w:t>$</w:t>
      </w:r>
      <w:r w:rsidR="00295BF0">
        <w:t xml:space="preserve">  </w:t>
      </w:r>
      <w:r w:rsidR="00C31B96">
        <w:t xml:space="preserve"> </w:t>
      </w:r>
      <w:r w:rsidR="00E277E9">
        <w:t>1,</w:t>
      </w:r>
      <w:r w:rsidR="002132B4">
        <w:t>722.07</w:t>
      </w:r>
      <w:r w:rsidR="00A257E1">
        <w:tab/>
        <w:t>$</w:t>
      </w:r>
      <w:r w:rsidR="000F44A3">
        <w:t xml:space="preserve">  </w:t>
      </w:r>
      <w:r w:rsidR="00C973E9">
        <w:t>1,</w:t>
      </w:r>
      <w:r w:rsidR="002132B4">
        <w:t>819</w:t>
      </w:r>
      <w:r w:rsidR="00665741">
        <w:t>.</w:t>
      </w:r>
      <w:r w:rsidR="002132B4">
        <w:t>69</w:t>
      </w:r>
    </w:p>
    <w:p w:rsidR="00EF52B3" w:rsidRDefault="00EF52B3">
      <w:pPr>
        <w:pBdr>
          <w:top w:val="single" w:sz="4" w:space="1" w:color="auto"/>
          <w:left w:val="single" w:sz="4" w:space="4" w:color="auto"/>
          <w:bottom w:val="single" w:sz="4" w:space="1" w:color="auto"/>
          <w:right w:val="single" w:sz="4" w:space="4" w:color="auto"/>
        </w:pBdr>
      </w:pPr>
    </w:p>
    <w:p w:rsidR="00EF52B3" w:rsidRDefault="009F2614">
      <w:pPr>
        <w:pBdr>
          <w:top w:val="single" w:sz="4" w:space="1" w:color="auto"/>
          <w:left w:val="single" w:sz="4" w:space="4" w:color="auto"/>
          <w:bottom w:val="single" w:sz="4" w:space="1" w:color="auto"/>
          <w:right w:val="single" w:sz="4" w:space="4" w:color="auto"/>
        </w:pBdr>
      </w:pPr>
      <w:r>
        <w:t>In</w:t>
      </w:r>
      <w:r w:rsidR="00EF52B3">
        <w:t>cr</w:t>
      </w:r>
      <w:r w:rsidR="00A257E1">
        <w:t>ease in Taxes</w:t>
      </w:r>
      <w:r w:rsidR="00A257E1">
        <w:tab/>
      </w:r>
      <w:r w:rsidR="00C31B96">
        <w:t xml:space="preserve">                       </w:t>
      </w:r>
      <w:r w:rsidR="00A257E1">
        <w:tab/>
      </w:r>
      <w:r w:rsidR="00A257E1">
        <w:tab/>
      </w:r>
      <w:r w:rsidR="00A257E1">
        <w:tab/>
      </w:r>
      <w:r w:rsidR="00A257E1">
        <w:tab/>
      </w:r>
      <w:r w:rsidR="00A257E1">
        <w:tab/>
      </w:r>
      <w:r w:rsidR="00A82D1D">
        <w:tab/>
      </w:r>
      <w:r w:rsidR="00A257E1">
        <w:t xml:space="preserve">$   </w:t>
      </w:r>
      <w:r w:rsidR="00295BF0">
        <w:t xml:space="preserve">  </w:t>
      </w:r>
      <w:r w:rsidR="002132B4">
        <w:t xml:space="preserve"> 97.62</w:t>
      </w:r>
    </w:p>
    <w:p w:rsidR="00EF52B3" w:rsidRDefault="00EF52B3">
      <w:pPr>
        <w:pStyle w:val="BodyText2"/>
        <w:pBdr>
          <w:top w:val="single" w:sz="4" w:space="1" w:color="auto"/>
          <w:left w:val="single" w:sz="4" w:space="4" w:color="auto"/>
          <w:bottom w:val="single" w:sz="4" w:space="1" w:color="auto"/>
          <w:right w:val="single" w:sz="4" w:space="4" w:color="auto"/>
        </w:pBdr>
        <w:rPr>
          <w:sz w:val="20"/>
        </w:rPr>
      </w:pPr>
    </w:p>
    <w:p w:rsidR="00EF52B3" w:rsidRDefault="00EF52B3">
      <w:pPr>
        <w:pStyle w:val="BodyText2"/>
        <w:pBdr>
          <w:top w:val="single" w:sz="4" w:space="1" w:color="auto"/>
          <w:left w:val="single" w:sz="4" w:space="4" w:color="auto"/>
          <w:bottom w:val="single" w:sz="4" w:space="1" w:color="auto"/>
          <w:right w:val="single" w:sz="4" w:space="4" w:color="auto"/>
        </w:pBdr>
        <w:jc w:val="both"/>
        <w:rPr>
          <w:sz w:val="20"/>
        </w:rPr>
      </w:pPr>
      <w:r>
        <w:rPr>
          <w:sz w:val="20"/>
        </w:rPr>
        <w:t>Under state law, the dollar amount of school taxes imposed on the residence homestead of a person 65 years of age or older or of the surviving spouse of such a person, if the surviving spouse was 55 years of age or older when the person died, may not be increased above the amount paid in the first year after the person turned 65, regardless of changes in tax rate or property value.</w:t>
      </w:r>
    </w:p>
    <w:p w:rsidR="00EF52B3" w:rsidRDefault="00EF52B3">
      <w:pPr>
        <w:pBdr>
          <w:top w:val="single" w:sz="4" w:space="1" w:color="auto"/>
          <w:left w:val="single" w:sz="4" w:space="4" w:color="auto"/>
          <w:bottom w:val="single" w:sz="4" w:space="1" w:color="auto"/>
          <w:right w:val="single" w:sz="4" w:space="4" w:color="auto"/>
        </w:pBdr>
        <w:rPr>
          <w:b/>
        </w:rPr>
      </w:pPr>
    </w:p>
    <w:p w:rsidR="00EF52B3" w:rsidRDefault="00EF52B3">
      <w:pPr>
        <w:rPr>
          <w:b/>
        </w:rPr>
      </w:pPr>
    </w:p>
    <w:p w:rsidR="00EF52B3" w:rsidRDefault="00EF52B3">
      <w:pPr>
        <w:pBdr>
          <w:top w:val="single" w:sz="4" w:space="1" w:color="auto"/>
          <w:left w:val="single" w:sz="4" w:space="4" w:color="auto"/>
          <w:bottom w:val="single" w:sz="4" w:space="1" w:color="auto"/>
          <w:right w:val="single" w:sz="4" w:space="4" w:color="auto"/>
        </w:pBdr>
        <w:jc w:val="both"/>
        <w:rPr>
          <w:b/>
        </w:rPr>
      </w:pPr>
      <w:r>
        <w:rPr>
          <w:b/>
        </w:rPr>
        <w:t xml:space="preserve">Notice of Rollback Rate: The highest tax rate the district can adopt before requiring voter approval at an election is </w:t>
      </w:r>
      <w:r>
        <w:rPr>
          <w:b/>
          <w:u w:val="single"/>
        </w:rPr>
        <w:t xml:space="preserve">$ </w:t>
      </w:r>
      <w:r w:rsidR="00295BF0">
        <w:rPr>
          <w:b/>
          <w:u w:val="single"/>
        </w:rPr>
        <w:t>1.</w:t>
      </w:r>
      <w:r w:rsidR="00394765">
        <w:rPr>
          <w:b/>
          <w:u w:val="single"/>
        </w:rPr>
        <w:t>45</w:t>
      </w:r>
      <w:r w:rsidR="00A257E1">
        <w:rPr>
          <w:b/>
          <w:u w:val="single"/>
        </w:rPr>
        <w:t xml:space="preserve"> </w:t>
      </w:r>
      <w:r>
        <w:rPr>
          <w:b/>
        </w:rPr>
        <w:t xml:space="preserve">.  This election will be automatically held if the district adopts a rate in excess of the rollback rate of </w:t>
      </w:r>
      <w:r>
        <w:rPr>
          <w:b/>
          <w:u w:val="single"/>
        </w:rPr>
        <w:t xml:space="preserve">$ </w:t>
      </w:r>
      <w:r w:rsidR="00A257E1">
        <w:rPr>
          <w:b/>
          <w:u w:val="single"/>
        </w:rPr>
        <w:t xml:space="preserve"> </w:t>
      </w:r>
      <w:r w:rsidR="00295BF0">
        <w:rPr>
          <w:b/>
          <w:u w:val="single"/>
        </w:rPr>
        <w:t>1.</w:t>
      </w:r>
      <w:r w:rsidR="00394765">
        <w:rPr>
          <w:b/>
          <w:u w:val="single"/>
        </w:rPr>
        <w:t>45</w:t>
      </w:r>
      <w:r w:rsidR="00A257E1">
        <w:rPr>
          <w:b/>
          <w:u w:val="single"/>
        </w:rPr>
        <w:t xml:space="preserve">  </w:t>
      </w:r>
      <w:r>
        <w:rPr>
          <w:b/>
        </w:rPr>
        <w:t>.</w:t>
      </w:r>
    </w:p>
    <w:p w:rsidR="00EF52B3" w:rsidRDefault="00EF52B3">
      <w:pPr>
        <w:pBdr>
          <w:top w:val="single" w:sz="4" w:space="1" w:color="auto"/>
          <w:left w:val="single" w:sz="4" w:space="4" w:color="auto"/>
          <w:bottom w:val="single" w:sz="4" w:space="1" w:color="auto"/>
          <w:right w:val="single" w:sz="4" w:space="4" w:color="auto"/>
        </w:pBdr>
        <w:rPr>
          <w:b/>
        </w:rPr>
      </w:pPr>
    </w:p>
    <w:p w:rsidR="00EF52B3" w:rsidRDefault="00EF52B3">
      <w:pPr>
        <w:rPr>
          <w:b/>
        </w:rPr>
      </w:pPr>
    </w:p>
    <w:p w:rsidR="00EF52B3" w:rsidRDefault="00EF52B3">
      <w:pPr>
        <w:rPr>
          <w:b/>
        </w:rPr>
      </w:pPr>
    </w:p>
    <w:p w:rsidR="00EF52B3" w:rsidRDefault="00EF52B3">
      <w:pPr>
        <w:pStyle w:val="Heading4"/>
        <w:pBdr>
          <w:top w:val="single" w:sz="4" w:space="1" w:color="auto"/>
          <w:left w:val="single" w:sz="4" w:space="4" w:color="auto"/>
          <w:bottom w:val="single" w:sz="4" w:space="1" w:color="auto"/>
          <w:right w:val="single" w:sz="4" w:space="4" w:color="auto"/>
        </w:pBdr>
        <w:rPr>
          <w:sz w:val="20"/>
        </w:rPr>
      </w:pPr>
    </w:p>
    <w:p w:rsidR="00EF52B3" w:rsidRDefault="00EF52B3">
      <w:pPr>
        <w:pStyle w:val="Heading4"/>
        <w:pBdr>
          <w:top w:val="single" w:sz="4" w:space="1" w:color="auto"/>
          <w:left w:val="single" w:sz="4" w:space="4" w:color="auto"/>
          <w:bottom w:val="single" w:sz="4" w:space="1" w:color="auto"/>
          <w:right w:val="single" w:sz="4" w:space="4" w:color="auto"/>
        </w:pBdr>
        <w:rPr>
          <w:sz w:val="22"/>
        </w:rPr>
      </w:pPr>
      <w:r w:rsidRPr="00D01165">
        <w:rPr>
          <w:sz w:val="22"/>
        </w:rPr>
        <w:t>Fund Balances</w:t>
      </w:r>
    </w:p>
    <w:p w:rsidR="00EF52B3" w:rsidRDefault="00EF52B3">
      <w:pPr>
        <w:pStyle w:val="BodyText2"/>
        <w:pBdr>
          <w:top w:val="single" w:sz="4" w:space="1" w:color="auto"/>
          <w:left w:val="single" w:sz="4" w:space="4" w:color="auto"/>
          <w:bottom w:val="single" w:sz="4" w:space="1" w:color="auto"/>
          <w:right w:val="single" w:sz="4" w:space="4" w:color="auto"/>
        </w:pBdr>
        <w:jc w:val="both"/>
        <w:rPr>
          <w:b w:val="0"/>
          <w:sz w:val="20"/>
        </w:rPr>
      </w:pPr>
      <w:r>
        <w:rPr>
          <w:b w:val="0"/>
          <w:sz w:val="20"/>
        </w:rPr>
        <w:t>The following estimated balances will remain at the end of the current fiscal year and are not encumbered with or by a corresponding debt obligation, less estimated funds necessary for operating the district before receipt of the first state aid payment:</w:t>
      </w:r>
      <w:r>
        <w:rPr>
          <w:b w:val="0"/>
          <w:sz w:val="20"/>
        </w:rPr>
        <w:tab/>
      </w:r>
      <w:r>
        <w:rPr>
          <w:b w:val="0"/>
          <w:sz w:val="20"/>
        </w:rPr>
        <w:tab/>
      </w:r>
      <w:r>
        <w:rPr>
          <w:b w:val="0"/>
          <w:sz w:val="20"/>
        </w:rPr>
        <w:tab/>
        <w:t xml:space="preserve"> </w:t>
      </w:r>
    </w:p>
    <w:p w:rsidR="00EF52B3" w:rsidRDefault="00EF52B3">
      <w:pPr>
        <w:pStyle w:val="BodyText2"/>
        <w:pBdr>
          <w:top w:val="single" w:sz="4" w:space="1" w:color="auto"/>
          <w:left w:val="single" w:sz="4" w:space="4" w:color="auto"/>
          <w:bottom w:val="single" w:sz="4" w:space="1" w:color="auto"/>
          <w:right w:val="single" w:sz="4" w:space="4" w:color="auto"/>
        </w:pBdr>
        <w:jc w:val="both"/>
        <w:rPr>
          <w:b w:val="0"/>
          <w:sz w:val="20"/>
        </w:rPr>
      </w:pPr>
      <w:r>
        <w:rPr>
          <w:b w:val="0"/>
          <w:sz w:val="20"/>
        </w:rPr>
        <w:tab/>
      </w:r>
      <w:r>
        <w:rPr>
          <w:b w:val="0"/>
          <w:sz w:val="20"/>
        </w:rPr>
        <w:tab/>
        <w:t>Maintenance and Operations Fund Balance(s)</w:t>
      </w:r>
      <w:r>
        <w:rPr>
          <w:b w:val="0"/>
          <w:sz w:val="20"/>
        </w:rPr>
        <w:tab/>
        <w:t xml:space="preserve">$ </w:t>
      </w:r>
      <w:r w:rsidR="00A76098">
        <w:rPr>
          <w:b w:val="0"/>
          <w:sz w:val="20"/>
        </w:rPr>
        <w:t>1</w:t>
      </w:r>
      <w:r w:rsidR="001458FF">
        <w:rPr>
          <w:b w:val="0"/>
          <w:sz w:val="20"/>
        </w:rPr>
        <w:t>12</w:t>
      </w:r>
      <w:r w:rsidR="00A76098">
        <w:rPr>
          <w:b w:val="0"/>
          <w:sz w:val="20"/>
        </w:rPr>
        <w:t>,</w:t>
      </w:r>
      <w:r w:rsidR="001458FF">
        <w:rPr>
          <w:b w:val="0"/>
          <w:sz w:val="20"/>
        </w:rPr>
        <w:t>296</w:t>
      </w:r>
      <w:r w:rsidR="00A76098">
        <w:rPr>
          <w:b w:val="0"/>
          <w:sz w:val="20"/>
        </w:rPr>
        <w:t>,</w:t>
      </w:r>
      <w:r w:rsidR="001458FF">
        <w:rPr>
          <w:b w:val="0"/>
          <w:sz w:val="20"/>
        </w:rPr>
        <w:t>013</w:t>
      </w:r>
    </w:p>
    <w:p w:rsidR="00EF52B3" w:rsidRDefault="00EF52B3">
      <w:pPr>
        <w:pBdr>
          <w:top w:val="single" w:sz="4" w:space="1" w:color="auto"/>
          <w:left w:val="single" w:sz="4" w:space="4" w:color="auto"/>
          <w:bottom w:val="single" w:sz="4" w:space="1" w:color="auto"/>
          <w:right w:val="single" w:sz="4" w:space="4" w:color="auto"/>
        </w:pBdr>
      </w:pPr>
      <w:r>
        <w:tab/>
      </w:r>
      <w:r>
        <w:tab/>
        <w:t>Interest &amp; Sinking Fund Balance(s)</w:t>
      </w:r>
      <w:r>
        <w:tab/>
      </w:r>
      <w:r>
        <w:tab/>
      </w:r>
      <w:r>
        <w:tab/>
        <w:t xml:space="preserve">$ </w:t>
      </w:r>
      <w:r w:rsidR="00470942">
        <w:t xml:space="preserve">  </w:t>
      </w:r>
      <w:r w:rsidR="00A76098">
        <w:t>2</w:t>
      </w:r>
      <w:r w:rsidR="001458FF">
        <w:t>2</w:t>
      </w:r>
      <w:r w:rsidR="00A76098">
        <w:t>,</w:t>
      </w:r>
      <w:r w:rsidR="001458FF">
        <w:t>695</w:t>
      </w:r>
      <w:r w:rsidR="00A76098">
        <w:t>,</w:t>
      </w:r>
      <w:r w:rsidR="001458FF">
        <w:t>583</w:t>
      </w:r>
    </w:p>
    <w:sectPr w:rsidR="00EF52B3">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5CF0"/>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1"/>
    <w:rsid w:val="00046A02"/>
    <w:rsid w:val="000F44A3"/>
    <w:rsid w:val="001458FF"/>
    <w:rsid w:val="00146153"/>
    <w:rsid w:val="00146FE6"/>
    <w:rsid w:val="0015699E"/>
    <w:rsid w:val="00173D60"/>
    <w:rsid w:val="002132B4"/>
    <w:rsid w:val="002241C5"/>
    <w:rsid w:val="00224C5F"/>
    <w:rsid w:val="0027642C"/>
    <w:rsid w:val="00281F0E"/>
    <w:rsid w:val="00295BF0"/>
    <w:rsid w:val="002C4CA3"/>
    <w:rsid w:val="00394765"/>
    <w:rsid w:val="003B37D8"/>
    <w:rsid w:val="003B6185"/>
    <w:rsid w:val="0042092D"/>
    <w:rsid w:val="004261D7"/>
    <w:rsid w:val="00426500"/>
    <w:rsid w:val="00453A56"/>
    <w:rsid w:val="00470942"/>
    <w:rsid w:val="0049091D"/>
    <w:rsid w:val="004B5B6F"/>
    <w:rsid w:val="004F623D"/>
    <w:rsid w:val="005464B1"/>
    <w:rsid w:val="005B184A"/>
    <w:rsid w:val="00600F0F"/>
    <w:rsid w:val="00641E2F"/>
    <w:rsid w:val="00665741"/>
    <w:rsid w:val="006760FF"/>
    <w:rsid w:val="00766ED6"/>
    <w:rsid w:val="007D5025"/>
    <w:rsid w:val="007F05E3"/>
    <w:rsid w:val="008403C9"/>
    <w:rsid w:val="00850492"/>
    <w:rsid w:val="00853937"/>
    <w:rsid w:val="008850D2"/>
    <w:rsid w:val="008D2EC6"/>
    <w:rsid w:val="0090744B"/>
    <w:rsid w:val="00916A7C"/>
    <w:rsid w:val="00972ED7"/>
    <w:rsid w:val="00984FC2"/>
    <w:rsid w:val="009A36C1"/>
    <w:rsid w:val="009F2614"/>
    <w:rsid w:val="009F54DB"/>
    <w:rsid w:val="00A257E1"/>
    <w:rsid w:val="00A76098"/>
    <w:rsid w:val="00A82D1D"/>
    <w:rsid w:val="00AD448C"/>
    <w:rsid w:val="00BD50C7"/>
    <w:rsid w:val="00BE5C1D"/>
    <w:rsid w:val="00C31B96"/>
    <w:rsid w:val="00C41F04"/>
    <w:rsid w:val="00C973E9"/>
    <w:rsid w:val="00D01165"/>
    <w:rsid w:val="00D65472"/>
    <w:rsid w:val="00DC38C5"/>
    <w:rsid w:val="00DC4C2F"/>
    <w:rsid w:val="00E22896"/>
    <w:rsid w:val="00E277E9"/>
    <w:rsid w:val="00EB7812"/>
    <w:rsid w:val="00EF52B3"/>
    <w:rsid w:val="00F7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1A69C2-B215-40CC-8248-8FAF339D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18"/>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jc w:val="center"/>
      <w:outlineLvl w:val="3"/>
    </w:pPr>
    <w:rPr>
      <w:b/>
      <w:sz w:val="18"/>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18"/>
    </w:rPr>
  </w:style>
  <w:style w:type="paragraph" w:styleId="BodyText2">
    <w:name w:val="Body Text 2"/>
    <w:basedOn w:val="Normal"/>
    <w:rPr>
      <w:b/>
      <w:sz w:val="18"/>
    </w:rPr>
  </w:style>
  <w:style w:type="character" w:styleId="Strong">
    <w:name w:val="Strong"/>
    <w:qFormat/>
    <w:rPr>
      <w:b/>
    </w:rPr>
  </w:style>
  <w:style w:type="paragraph" w:styleId="BalloonText">
    <w:name w:val="Balloon Text"/>
    <w:basedOn w:val="Normal"/>
    <w:semiHidden/>
    <w:rsid w:val="00A257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3927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NOTICE OF PUBLIC MEETING TO DISCUSS</vt:lpstr>
    </vt:vector>
  </TitlesOfParts>
  <Company>Microsoft</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 TO DISCUSS</dc:title>
  <dc:subject/>
  <dc:creator>Lisa Stout</dc:creator>
  <cp:keywords/>
  <cp:lastModifiedBy>Laura Jobe</cp:lastModifiedBy>
  <cp:revision>2</cp:revision>
  <cp:lastPrinted>2018-07-25T20:11:00Z</cp:lastPrinted>
  <dcterms:created xsi:type="dcterms:W3CDTF">2019-08-06T18:23:00Z</dcterms:created>
  <dcterms:modified xsi:type="dcterms:W3CDTF">2019-08-06T18:23:00Z</dcterms:modified>
</cp:coreProperties>
</file>