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header1.xml" ContentType="application/vnd.openxmlformats-officedocument.wordprocessingml.header+xml"/>
  <Override PartName="/word/footer2.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spacing w:before="215"/>
        <w:ind w:left="604" w:right="0" w:firstLine="0"/>
        <w:jc w:val="left"/>
        <w:rPr>
          <w:b/>
          <w:sz w:val="40"/>
        </w:rPr>
      </w:pPr>
      <w:r>
        <w:rPr>
          <w:b/>
          <w:sz w:val="40"/>
        </w:rPr>
        <w:t>Mesquite Independent School District, Texas</w:t>
      </w:r>
    </w:p>
    <w:p>
      <w:pPr>
        <w:pStyle w:val="Heading1"/>
        <w:spacing w:before="58"/>
        <w:ind w:left="604"/>
      </w:pPr>
      <w:r>
        <w:rPr/>
        <w:pict>
          <v:line style="position:absolute;mso-position-horizontal-relative:page;mso-position-vertical-relative:paragraph;z-index:1072" from="-.000022pt,26.150434pt" to="611.999978pt,26.150434pt" stroked="true" strokeweight="1pt" strokecolor="#5a6469">
            <v:stroke dashstyle="solid"/>
            <w10:wrap type="none"/>
          </v:line>
        </w:pict>
      </w:r>
      <w:r>
        <w:rPr>
          <w:color w:val="5A6469"/>
        </w:rPr>
        <w:t>New Issue Report</w:t>
      </w:r>
    </w:p>
    <w:p>
      <w:pPr>
        <w:pStyle w:val="BodyText"/>
        <w:rPr>
          <w:b/>
          <w:sz w:val="20"/>
        </w:rPr>
      </w:pPr>
    </w:p>
    <w:p>
      <w:pPr>
        <w:spacing w:after="0"/>
        <w:rPr>
          <w:sz w:val="20"/>
        </w:rPr>
        <w:sectPr>
          <w:footerReference w:type="default" r:id="rId5"/>
          <w:type w:val="continuous"/>
          <w:pgSz w:w="12240" w:h="15840"/>
          <w:pgMar w:footer="810" w:top="0" w:bottom="1000" w:left="0" w:right="0"/>
        </w:sectPr>
      </w:pPr>
    </w:p>
    <w:p>
      <w:pPr>
        <w:pStyle w:val="BodyText"/>
        <w:spacing w:before="11"/>
        <w:rPr>
          <w:b/>
          <w:sz w:val="19"/>
        </w:rPr>
      </w:pPr>
      <w:r>
        <w:rPr/>
        <w:pict>
          <v:group style="position:absolute;margin-left:-.000022pt;margin-top:0pt;width:612pt;height:86.65pt;mso-position-horizontal-relative:page;mso-position-vertical-relative:page;z-index:1048" coordorigin="0,0" coordsize="12240,1733">
            <v:shape style="position:absolute;left:0;top:0;width:12240;height:1256" type="#_x0000_t75" alt="BLANK BANNER1" stroked="false">
              <v:imagedata r:id="rId6" o:title=""/>
            </v:shape>
            <v:shape style="position:absolute;left:8495;top:1183;width:3745;height:550" coordorigin="8495,1183" coordsize="3745,550" path="m12240,1183l8495,1183,8845,1733,12240,1733,12240,1183xe" filled="true" fillcolor="#5a6469" stroked="false">
              <v:path arrowok="t"/>
              <v:fill type="solid"/>
            </v:shape>
            <v:line style="position:absolute" from="0,1210" to="12240,1210" stroked="true" strokeweight="3.8pt" strokecolor="#5a6469">
              <v:stroke dashstyle="solid"/>
            </v:line>
            <v:shape style="position:absolute;left:0;top:0;width:12240;height:1733" type="#_x0000_t202" filled="false" stroked="false">
              <v:textbox inset="0,0,0,0">
                <w:txbxContent>
                  <w:p>
                    <w:pPr>
                      <w:spacing w:before="356"/>
                      <w:ind w:left="0" w:right="989" w:firstLine="0"/>
                      <w:jc w:val="right"/>
                      <w:rPr>
                        <w:b/>
                        <w:sz w:val="48"/>
                      </w:rPr>
                    </w:pPr>
                    <w:r>
                      <w:rPr>
                        <w:b/>
                        <w:color w:val="FFFFFF"/>
                        <w:sz w:val="48"/>
                      </w:rPr>
                      <w:t>Public</w:t>
                    </w:r>
                    <w:r>
                      <w:rPr>
                        <w:b/>
                        <w:color w:val="FFFFFF"/>
                        <w:spacing w:val="-9"/>
                        <w:sz w:val="48"/>
                      </w:rPr>
                      <w:t> </w:t>
                    </w:r>
                    <w:r>
                      <w:rPr>
                        <w:b/>
                        <w:color w:val="FFFFFF"/>
                        <w:sz w:val="48"/>
                      </w:rPr>
                      <w:t>Finance</w:t>
                    </w:r>
                  </w:p>
                  <w:p>
                    <w:pPr>
                      <w:spacing w:before="400"/>
                      <w:ind w:left="0" w:right="980" w:firstLine="0"/>
                      <w:jc w:val="right"/>
                      <w:rPr>
                        <w:b/>
                        <w:sz w:val="24"/>
                      </w:rPr>
                    </w:pPr>
                    <w:r>
                      <w:rPr>
                        <w:b/>
                        <w:color w:val="FFFFFF"/>
                        <w:spacing w:val="-10"/>
                        <w:sz w:val="24"/>
                      </w:rPr>
                      <w:t>Tax-Supported </w:t>
                    </w:r>
                    <w:r>
                      <w:rPr>
                        <w:b/>
                        <w:color w:val="FFFFFF"/>
                        <w:sz w:val="24"/>
                      </w:rPr>
                      <w:t>/</w:t>
                    </w:r>
                    <w:r>
                      <w:rPr>
                        <w:b/>
                        <w:color w:val="FFFFFF"/>
                        <w:spacing w:val="-22"/>
                        <w:sz w:val="24"/>
                      </w:rPr>
                      <w:t> </w:t>
                    </w:r>
                    <w:r>
                      <w:rPr>
                        <w:b/>
                        <w:color w:val="FFFFFF"/>
                        <w:spacing w:val="-10"/>
                        <w:sz w:val="24"/>
                      </w:rPr>
                      <w:t>U.S.A.</w:t>
                    </w:r>
                  </w:p>
                </w:txbxContent>
              </v:textbox>
              <w10:wrap type="none"/>
            </v:shape>
            <w10:wrap type="none"/>
          </v:group>
        </w:pict>
      </w:r>
    </w:p>
    <w:p>
      <w:pPr>
        <w:pStyle w:val="Heading3"/>
        <w:spacing w:after="9"/>
        <w:ind w:left="621"/>
      </w:pPr>
      <w:r>
        <w:rPr/>
        <w:t>Ratings</w:t>
      </w:r>
    </w:p>
    <w:tbl>
      <w:tblPr>
        <w:tblW w:w="0" w:type="auto"/>
        <w:jc w:val="left"/>
        <w:tblInd w:w="4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414"/>
        <w:gridCol w:w="655"/>
      </w:tblGrid>
      <w:tr>
        <w:trPr>
          <w:trHeight w:val="155" w:hRule="atLeast"/>
        </w:trPr>
        <w:tc>
          <w:tcPr>
            <w:tcW w:w="2414" w:type="dxa"/>
          </w:tcPr>
          <w:p>
            <w:pPr>
              <w:pStyle w:val="TableParagraph"/>
              <w:spacing w:line="136" w:lineRule="exact" w:before="0"/>
              <w:ind w:left="200"/>
              <w:jc w:val="left"/>
              <w:rPr>
                <w:sz w:val="14"/>
              </w:rPr>
            </w:pPr>
            <w:r>
              <w:rPr>
                <w:sz w:val="14"/>
              </w:rPr>
              <w:t>Long-Term Issuer Default Rating</w:t>
            </w:r>
          </w:p>
        </w:tc>
        <w:tc>
          <w:tcPr>
            <w:tcW w:w="655" w:type="dxa"/>
          </w:tcPr>
          <w:p>
            <w:pPr>
              <w:pStyle w:val="TableParagraph"/>
              <w:spacing w:line="136" w:lineRule="exact" w:before="0"/>
              <w:ind w:left="186"/>
              <w:jc w:val="left"/>
              <w:rPr>
                <w:sz w:val="14"/>
              </w:rPr>
            </w:pPr>
            <w:r>
              <w:rPr>
                <w:sz w:val="14"/>
              </w:rPr>
              <w:t>AA+</w:t>
            </w:r>
          </w:p>
        </w:tc>
      </w:tr>
    </w:tbl>
    <w:p>
      <w:pPr>
        <w:spacing w:before="45" w:after="20"/>
        <w:ind w:left="621" w:right="0" w:firstLine="0"/>
        <w:jc w:val="left"/>
        <w:rPr>
          <w:b/>
          <w:sz w:val="14"/>
        </w:rPr>
      </w:pPr>
      <w:r>
        <w:rPr>
          <w:b/>
          <w:sz w:val="14"/>
        </w:rPr>
        <w:t>New</w:t>
      </w:r>
      <w:r>
        <w:rPr>
          <w:b/>
          <w:spacing w:val="-6"/>
          <w:sz w:val="14"/>
        </w:rPr>
        <w:t> </w:t>
      </w:r>
      <w:r>
        <w:rPr>
          <w:b/>
          <w:sz w:val="14"/>
        </w:rPr>
        <w:t>Issue</w:t>
      </w:r>
    </w:p>
    <w:tbl>
      <w:tblPr>
        <w:tblW w:w="0" w:type="auto"/>
        <w:jc w:val="left"/>
        <w:tblInd w:w="4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07"/>
        <w:gridCol w:w="573"/>
      </w:tblGrid>
      <w:tr>
        <w:trPr>
          <w:trHeight w:val="316" w:hRule="atLeast"/>
        </w:trPr>
        <w:tc>
          <w:tcPr>
            <w:tcW w:w="2507" w:type="dxa"/>
          </w:tcPr>
          <w:p>
            <w:pPr>
              <w:pStyle w:val="TableParagraph"/>
              <w:spacing w:line="156" w:lineRule="exact" w:before="0"/>
              <w:ind w:left="200"/>
              <w:jc w:val="left"/>
              <w:rPr>
                <w:sz w:val="14"/>
              </w:rPr>
            </w:pPr>
            <w:r>
              <w:rPr>
                <w:sz w:val="14"/>
              </w:rPr>
              <w:t>$125,600,000 Unlimited Tax School</w:t>
            </w:r>
          </w:p>
          <w:p>
            <w:pPr>
              <w:pStyle w:val="TableParagraph"/>
              <w:spacing w:line="141" w:lineRule="exact" w:before="0"/>
              <w:ind w:left="298"/>
              <w:jc w:val="left"/>
              <w:rPr>
                <w:sz w:val="14"/>
              </w:rPr>
            </w:pPr>
            <w:r>
              <w:rPr>
                <w:sz w:val="14"/>
              </w:rPr>
              <w:t>Building Bonds, Series 2018</w:t>
            </w:r>
            <w:r>
              <w:rPr>
                <w:sz w:val="14"/>
                <w:vertAlign w:val="superscript"/>
              </w:rPr>
              <w:t>a</w:t>
            </w:r>
          </w:p>
        </w:tc>
        <w:tc>
          <w:tcPr>
            <w:tcW w:w="573" w:type="dxa"/>
          </w:tcPr>
          <w:p>
            <w:pPr>
              <w:pStyle w:val="TableParagraph"/>
              <w:spacing w:before="6"/>
              <w:jc w:val="left"/>
              <w:rPr>
                <w:b/>
                <w:sz w:val="13"/>
              </w:rPr>
            </w:pPr>
          </w:p>
          <w:p>
            <w:pPr>
              <w:pStyle w:val="TableParagraph"/>
              <w:spacing w:line="141" w:lineRule="exact" w:before="0"/>
              <w:ind w:left="93"/>
              <w:jc w:val="left"/>
              <w:rPr>
                <w:sz w:val="14"/>
              </w:rPr>
            </w:pPr>
            <w:r>
              <w:rPr>
                <w:sz w:val="14"/>
              </w:rPr>
              <w:t>AAA</w:t>
            </w:r>
          </w:p>
        </w:tc>
      </w:tr>
    </w:tbl>
    <w:p>
      <w:pPr>
        <w:spacing w:before="45" w:after="20"/>
        <w:ind w:left="621" w:right="0" w:firstLine="0"/>
        <w:jc w:val="left"/>
        <w:rPr>
          <w:b/>
          <w:sz w:val="14"/>
        </w:rPr>
      </w:pPr>
      <w:r>
        <w:rPr>
          <w:b/>
          <w:sz w:val="14"/>
        </w:rPr>
        <w:t>Outstanding Debt</w:t>
      </w:r>
    </w:p>
    <w:tbl>
      <w:tblPr>
        <w:tblW w:w="0" w:type="auto"/>
        <w:jc w:val="left"/>
        <w:tblInd w:w="4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29"/>
        <w:gridCol w:w="754"/>
      </w:tblGrid>
      <w:tr>
        <w:trPr>
          <w:trHeight w:val="365" w:hRule="atLeast"/>
        </w:trPr>
        <w:tc>
          <w:tcPr>
            <w:tcW w:w="2329" w:type="dxa"/>
          </w:tcPr>
          <w:p>
            <w:pPr>
              <w:pStyle w:val="TableParagraph"/>
              <w:spacing w:before="0"/>
              <w:ind w:left="298" w:right="250" w:hanging="99"/>
              <w:jc w:val="left"/>
              <w:rPr>
                <w:sz w:val="14"/>
              </w:rPr>
            </w:pPr>
            <w:r>
              <w:rPr>
                <w:sz w:val="14"/>
              </w:rPr>
              <w:t>Unlimited Tax School Building Bonds</w:t>
            </w:r>
          </w:p>
        </w:tc>
        <w:tc>
          <w:tcPr>
            <w:tcW w:w="754" w:type="dxa"/>
          </w:tcPr>
          <w:p>
            <w:pPr>
              <w:pStyle w:val="TableParagraph"/>
              <w:spacing w:before="6"/>
              <w:jc w:val="left"/>
              <w:rPr>
                <w:b/>
                <w:sz w:val="13"/>
              </w:rPr>
            </w:pPr>
          </w:p>
          <w:p>
            <w:pPr>
              <w:pStyle w:val="TableParagraph"/>
              <w:spacing w:before="0"/>
              <w:ind w:left="271"/>
              <w:jc w:val="left"/>
              <w:rPr>
                <w:sz w:val="14"/>
              </w:rPr>
            </w:pPr>
            <w:r>
              <w:rPr>
                <w:sz w:val="14"/>
              </w:rPr>
              <w:t>AA+</w:t>
            </w:r>
          </w:p>
        </w:tc>
      </w:tr>
      <w:tr>
        <w:trPr>
          <w:trHeight w:val="1193" w:hRule="atLeast"/>
        </w:trPr>
        <w:tc>
          <w:tcPr>
            <w:tcW w:w="3083" w:type="dxa"/>
            <w:gridSpan w:val="2"/>
          </w:tcPr>
          <w:p>
            <w:pPr>
              <w:pStyle w:val="TableParagraph"/>
              <w:spacing w:before="47"/>
              <w:ind w:left="200" w:right="178"/>
              <w:jc w:val="left"/>
              <w:rPr>
                <w:sz w:val="14"/>
              </w:rPr>
            </w:pPr>
            <w:r>
              <w:rPr>
                <w:position w:val="7"/>
                <w:sz w:val="9"/>
              </w:rPr>
              <w:t>a</w:t>
            </w:r>
            <w:r>
              <w:rPr>
                <w:sz w:val="14"/>
              </w:rPr>
              <w:t>The ‘AAA’ long-term rating on the bonds reflects the guaranty provided by the Texas Permanent School Fund, whose insurer financial strength is rated ‘AAA’ by Fitch Ratings. The bonds’ underlying long-term</w:t>
            </w:r>
          </w:p>
          <w:p>
            <w:pPr>
              <w:pStyle w:val="TableParagraph"/>
              <w:spacing w:line="158" w:lineRule="exact" w:before="4"/>
              <w:ind w:left="200" w:right="372"/>
              <w:jc w:val="left"/>
              <w:rPr>
                <w:sz w:val="14"/>
              </w:rPr>
            </w:pPr>
            <w:r>
              <w:rPr>
                <w:sz w:val="14"/>
              </w:rPr>
              <w:t>rating, reflecting the credit quality before consideration of the guaranty, is ‘AA+’.</w:t>
            </w:r>
          </w:p>
        </w:tc>
      </w:tr>
    </w:tbl>
    <w:p>
      <w:pPr>
        <w:pStyle w:val="BodyText"/>
        <w:spacing w:before="4"/>
        <w:rPr>
          <w:b/>
          <w:sz w:val="21"/>
        </w:rPr>
      </w:pPr>
    </w:p>
    <w:p>
      <w:pPr>
        <w:pStyle w:val="Heading3"/>
        <w:ind w:left="621"/>
      </w:pPr>
      <w:r>
        <w:rPr/>
        <w:t>Rating Outlook</w:t>
      </w:r>
    </w:p>
    <w:p>
      <w:pPr>
        <w:spacing w:before="6"/>
        <w:ind w:left="621" w:right="0" w:firstLine="0"/>
        <w:jc w:val="left"/>
        <w:rPr>
          <w:sz w:val="14"/>
        </w:rPr>
      </w:pPr>
      <w:r>
        <w:rPr>
          <w:sz w:val="14"/>
        </w:rPr>
        <w:t>Stable</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8"/>
        <w:rPr>
          <w:sz w:val="21"/>
        </w:rPr>
      </w:pPr>
    </w:p>
    <w:p>
      <w:pPr>
        <w:pStyle w:val="Heading3"/>
        <w:ind w:left="621"/>
      </w:pPr>
      <w:r>
        <w:rPr/>
        <w:t>Analysts</w:t>
      </w:r>
    </w:p>
    <w:p>
      <w:pPr>
        <w:spacing w:line="161" w:lineRule="exact" w:before="2"/>
        <w:ind w:left="621" w:right="0" w:firstLine="0"/>
        <w:jc w:val="left"/>
        <w:rPr>
          <w:sz w:val="14"/>
        </w:rPr>
      </w:pPr>
      <w:r>
        <w:rPr>
          <w:sz w:val="14"/>
        </w:rPr>
        <w:t>Emmanuelle Lawrence</w:t>
      </w:r>
    </w:p>
    <w:p>
      <w:pPr>
        <w:spacing w:line="161" w:lineRule="exact" w:before="0"/>
        <w:ind w:left="621" w:right="0" w:firstLine="0"/>
        <w:jc w:val="left"/>
        <w:rPr>
          <w:sz w:val="14"/>
        </w:rPr>
      </w:pPr>
      <w:r>
        <w:rPr>
          <w:sz w:val="14"/>
        </w:rPr>
        <w:t>+1 512 215-3740</w:t>
      </w:r>
    </w:p>
    <w:p>
      <w:pPr>
        <w:spacing w:before="0"/>
        <w:ind w:left="621" w:right="0" w:firstLine="0"/>
        <w:jc w:val="left"/>
        <w:rPr>
          <w:sz w:val="14"/>
        </w:rPr>
      </w:pPr>
      <w:hyperlink r:id="rId7">
        <w:r>
          <w:rPr>
            <w:color w:val="0000FF"/>
            <w:sz w:val="14"/>
          </w:rPr>
          <w:t>emmanuelle.lawrence@fitchratings.com</w:t>
        </w:r>
      </w:hyperlink>
    </w:p>
    <w:p>
      <w:pPr>
        <w:spacing w:line="161" w:lineRule="exact" w:before="120"/>
        <w:ind w:left="621" w:right="0" w:firstLine="0"/>
        <w:jc w:val="left"/>
        <w:rPr>
          <w:sz w:val="14"/>
        </w:rPr>
      </w:pPr>
      <w:r>
        <w:rPr>
          <w:sz w:val="14"/>
        </w:rPr>
        <w:t>Rebecca Moses</w:t>
      </w:r>
    </w:p>
    <w:p>
      <w:pPr>
        <w:spacing w:before="0"/>
        <w:ind w:left="621" w:right="0" w:firstLine="0"/>
        <w:jc w:val="left"/>
        <w:rPr>
          <w:sz w:val="14"/>
        </w:rPr>
      </w:pPr>
      <w:r>
        <w:rPr>
          <w:sz w:val="14"/>
        </w:rPr>
        <w:t>+1 512 215-3739</w:t>
      </w:r>
    </w:p>
    <w:p>
      <w:pPr>
        <w:spacing w:before="2"/>
        <w:ind w:left="621" w:right="0" w:firstLine="0"/>
        <w:jc w:val="left"/>
        <w:rPr>
          <w:sz w:val="14"/>
        </w:rPr>
      </w:pPr>
      <w:hyperlink r:id="rId8">
        <w:r>
          <w:rPr>
            <w:color w:val="0000FF"/>
            <w:sz w:val="14"/>
          </w:rPr>
          <w:t>rebecca.moses@fitchratings.com</w:t>
        </w:r>
      </w:hyperlink>
    </w:p>
    <w:p>
      <w:pPr>
        <w:pStyle w:val="BodyText"/>
        <w:spacing w:before="8"/>
        <w:rPr>
          <w:sz w:val="20"/>
        </w:rPr>
      </w:pPr>
      <w:r>
        <w:rPr/>
        <w:br w:type="column"/>
      </w:r>
      <w:r>
        <w:rPr>
          <w:sz w:val="20"/>
        </w:rPr>
      </w:r>
    </w:p>
    <w:p>
      <w:pPr>
        <w:pStyle w:val="Heading1"/>
        <w:tabs>
          <w:tab w:pos="7814" w:val="left" w:leader="none"/>
        </w:tabs>
        <w:ind w:left="33"/>
      </w:pPr>
      <w:r>
        <w:rPr>
          <w:color w:val="5A6469"/>
          <w:w w:val="100"/>
          <w:u w:val="single" w:color="000000"/>
        </w:rPr>
        <w:t> </w:t>
      </w:r>
      <w:r>
        <w:rPr>
          <w:color w:val="5A6469"/>
          <w:spacing w:val="-26"/>
          <w:u w:val="single" w:color="000000"/>
        </w:rPr>
        <w:t> </w:t>
      </w:r>
      <w:r>
        <w:rPr>
          <w:color w:val="5A6469"/>
          <w:spacing w:val="-5"/>
          <w:u w:val="single" w:color="000000"/>
        </w:rPr>
        <w:t>New </w:t>
      </w:r>
      <w:r>
        <w:rPr>
          <w:color w:val="5A6469"/>
          <w:spacing w:val="-6"/>
          <w:u w:val="single" w:color="000000"/>
        </w:rPr>
        <w:t>Issue</w:t>
      </w:r>
      <w:r>
        <w:rPr>
          <w:color w:val="5A6469"/>
          <w:spacing w:val="-17"/>
          <w:u w:val="single" w:color="000000"/>
        </w:rPr>
        <w:t> </w:t>
      </w:r>
      <w:r>
        <w:rPr>
          <w:color w:val="5A6469"/>
          <w:spacing w:val="-5"/>
          <w:u w:val="single" w:color="000000"/>
        </w:rPr>
        <w:t>Summary</w:t>
        <w:tab/>
      </w:r>
    </w:p>
    <w:p>
      <w:pPr>
        <w:tabs>
          <w:tab w:pos="7814" w:val="left" w:leader="none"/>
        </w:tabs>
        <w:spacing w:before="18"/>
        <w:ind w:left="33" w:right="0" w:firstLine="0"/>
        <w:jc w:val="left"/>
        <w:rPr>
          <w:sz w:val="18"/>
        </w:rPr>
      </w:pPr>
      <w:r>
        <w:rPr>
          <w:b/>
          <w:w w:val="100"/>
          <w:sz w:val="18"/>
          <w:u w:val="single"/>
        </w:rPr>
        <w:t> </w:t>
      </w:r>
      <w:r>
        <w:rPr>
          <w:b/>
          <w:spacing w:val="7"/>
          <w:sz w:val="18"/>
          <w:u w:val="single"/>
        </w:rPr>
        <w:t> </w:t>
      </w:r>
      <w:r>
        <w:rPr>
          <w:b/>
          <w:sz w:val="18"/>
          <w:u w:val="single"/>
        </w:rPr>
        <w:t>Sale Date: </w:t>
      </w:r>
      <w:r>
        <w:rPr>
          <w:sz w:val="18"/>
          <w:u w:val="single"/>
        </w:rPr>
        <w:t>Week of July</w:t>
      </w:r>
      <w:r>
        <w:rPr>
          <w:spacing w:val="-9"/>
          <w:sz w:val="18"/>
          <w:u w:val="single"/>
        </w:rPr>
        <w:t> </w:t>
      </w:r>
      <w:r>
        <w:rPr>
          <w:sz w:val="18"/>
          <w:u w:val="single"/>
        </w:rPr>
        <w:t>9.</w:t>
        <w:tab/>
      </w:r>
    </w:p>
    <w:p>
      <w:pPr>
        <w:pStyle w:val="BodyText"/>
        <w:tabs>
          <w:tab w:pos="7814" w:val="left" w:leader="none"/>
        </w:tabs>
        <w:spacing w:before="23"/>
        <w:ind w:left="33"/>
      </w:pPr>
      <w:r>
        <w:rPr>
          <w:b/>
          <w:w w:val="100"/>
          <w:u w:val="single"/>
        </w:rPr>
        <w:t> </w:t>
      </w:r>
      <w:r>
        <w:rPr>
          <w:b/>
          <w:spacing w:val="7"/>
          <w:u w:val="single"/>
        </w:rPr>
        <w:t> </w:t>
      </w:r>
      <w:r>
        <w:rPr>
          <w:b/>
          <w:u w:val="single"/>
        </w:rPr>
        <w:t>Series: </w:t>
      </w:r>
      <w:r>
        <w:rPr>
          <w:u w:val="single"/>
        </w:rPr>
        <w:t>$125,600,000 Unlimited Tax School Building Bonds, Series</w:t>
      </w:r>
      <w:r>
        <w:rPr>
          <w:spacing w:val="-31"/>
          <w:u w:val="single"/>
        </w:rPr>
        <w:t> </w:t>
      </w:r>
      <w:r>
        <w:rPr>
          <w:u w:val="single"/>
        </w:rPr>
        <w:t>2018.</w:t>
        <w:tab/>
      </w:r>
    </w:p>
    <w:p>
      <w:pPr>
        <w:pStyle w:val="BodyText"/>
        <w:tabs>
          <w:tab w:pos="7814" w:val="left" w:leader="none"/>
        </w:tabs>
        <w:spacing w:before="21"/>
        <w:ind w:left="33"/>
      </w:pPr>
      <w:r>
        <w:rPr>
          <w:b/>
          <w:w w:val="100"/>
          <w:u w:val="single"/>
        </w:rPr>
        <w:t> </w:t>
      </w:r>
      <w:r>
        <w:rPr>
          <w:b/>
          <w:spacing w:val="7"/>
          <w:u w:val="single"/>
        </w:rPr>
        <w:t> </w:t>
      </w:r>
      <w:r>
        <w:rPr>
          <w:b/>
          <w:u w:val="single"/>
        </w:rPr>
        <w:t>Purpose: </w:t>
      </w:r>
      <w:r>
        <w:rPr>
          <w:u w:val="single"/>
        </w:rPr>
        <w:t>New school construction and fleet</w:t>
      </w:r>
      <w:r>
        <w:rPr>
          <w:spacing w:val="-24"/>
          <w:u w:val="single"/>
        </w:rPr>
        <w:t> </w:t>
      </w:r>
      <w:r>
        <w:rPr>
          <w:u w:val="single"/>
        </w:rPr>
        <w:t>acquisition.</w:t>
        <w:tab/>
      </w:r>
    </w:p>
    <w:p>
      <w:pPr>
        <w:tabs>
          <w:tab w:pos="7814" w:val="left" w:leader="none"/>
        </w:tabs>
        <w:spacing w:before="24"/>
        <w:ind w:left="19" w:right="0" w:firstLine="0"/>
        <w:jc w:val="left"/>
        <w:rPr>
          <w:sz w:val="18"/>
        </w:rPr>
      </w:pPr>
      <w:r>
        <w:rPr>
          <w:b/>
          <w:w w:val="100"/>
          <w:sz w:val="18"/>
          <w:u w:val="single"/>
        </w:rPr>
        <w:t> </w:t>
      </w:r>
      <w:r>
        <w:rPr>
          <w:b/>
          <w:spacing w:val="22"/>
          <w:sz w:val="18"/>
          <w:u w:val="single"/>
        </w:rPr>
        <w:t> </w:t>
      </w:r>
      <w:r>
        <w:rPr>
          <w:b/>
          <w:sz w:val="18"/>
          <w:u w:val="single"/>
        </w:rPr>
        <w:t>Security: </w:t>
      </w:r>
      <w:r>
        <w:rPr>
          <w:sz w:val="18"/>
          <w:u w:val="single"/>
        </w:rPr>
        <w:t>Unlimited ad valorem</w:t>
      </w:r>
      <w:r>
        <w:rPr>
          <w:spacing w:val="-17"/>
          <w:sz w:val="18"/>
          <w:u w:val="single"/>
        </w:rPr>
        <w:t> </w:t>
      </w:r>
      <w:r>
        <w:rPr>
          <w:sz w:val="18"/>
          <w:u w:val="single"/>
        </w:rPr>
        <w:t>tax.</w:t>
        <w:tab/>
      </w:r>
    </w:p>
    <w:p>
      <w:pPr>
        <w:pStyle w:val="BodyText"/>
        <w:spacing w:before="5"/>
        <w:rPr>
          <w:sz w:val="24"/>
        </w:rPr>
      </w:pPr>
    </w:p>
    <w:p>
      <w:pPr>
        <w:pStyle w:val="Heading1"/>
        <w:jc w:val="both"/>
      </w:pPr>
      <w:r>
        <w:rPr>
          <w:color w:val="5A6469"/>
        </w:rPr>
        <w:t>Analytical Conclusion</w:t>
      </w:r>
    </w:p>
    <w:p>
      <w:pPr>
        <w:pStyle w:val="BodyText"/>
        <w:spacing w:line="302" w:lineRule="auto" w:before="160"/>
        <w:ind w:left="141" w:right="955"/>
        <w:jc w:val="both"/>
      </w:pPr>
      <w:r>
        <w:rPr/>
        <w:t>The 'AA+' Issuer Default Rating (IDR) and unlimited tax (ULT) ratings reflect Fitch Ratings’ expectations that Mesquite Independent School District’s (Mesquite ISD, or the district) will maintain a high level of financial flexibility throughout the economic cycle due to its solid expenditure flexibility and strong reserves. Although Mesquite ISD revenue-raising flexibility is limited, Fitch expects the state funding formula to provide protection from potential shifts in the local economy. Long-term liabilities and fixed costs are expected to remain within Fitch's moderate range over the next several years.</w:t>
      </w:r>
    </w:p>
    <w:p>
      <w:pPr>
        <w:pStyle w:val="BodyText"/>
        <w:spacing w:line="302" w:lineRule="auto" w:before="113"/>
        <w:ind w:left="141" w:right="955"/>
        <w:jc w:val="both"/>
      </w:pPr>
      <w:r>
        <w:rPr>
          <w:b/>
        </w:rPr>
        <w:t>Economic Resource Base: </w:t>
      </w:r>
      <w:r>
        <w:rPr/>
        <w:t>This mature, suburban district is located 35 miles east of downtown Dallas and serves an estimated population of roughly 180,000. The district, which ties into the Dallas-Fort Worth (DFW) metro area, encompasses portions of Mesquite, Balch Springs, Seagoville and Garland. While the district is largely built out, the area is experiencing residential tax base expansion.</w:t>
      </w:r>
    </w:p>
    <w:p>
      <w:pPr>
        <w:pStyle w:val="BodyText"/>
        <w:spacing w:line="302" w:lineRule="auto" w:before="117"/>
        <w:ind w:left="141" w:right="955"/>
        <w:jc w:val="both"/>
      </w:pPr>
      <w:r>
        <w:rPr/>
        <w:t>Over the past year, taxable assessed value (TAV) has increased by 12%, to $7.8 billion. While the district's wealth and income levels lag those of the larger DFW metro area, the district's inclusion in this broad and robust employment market coupled with continued regional economic expansion in the region is favorable for the district. Student enrollment has hovered around 41,000 for several years, with current enrollment at 40,923. Management expects marginal-to-modest growth over the near term.</w:t>
      </w:r>
    </w:p>
    <w:p>
      <w:pPr>
        <w:pStyle w:val="BodyText"/>
        <w:spacing w:before="1"/>
        <w:rPr>
          <w:sz w:val="19"/>
        </w:rPr>
      </w:pPr>
    </w:p>
    <w:p>
      <w:pPr>
        <w:pStyle w:val="Heading1"/>
        <w:jc w:val="both"/>
      </w:pPr>
      <w:r>
        <w:rPr>
          <w:color w:val="5A6469"/>
          <w:spacing w:val="-4"/>
        </w:rPr>
        <w:t>Key </w:t>
      </w:r>
      <w:r>
        <w:rPr>
          <w:color w:val="5A6469"/>
          <w:spacing w:val="-6"/>
        </w:rPr>
        <w:t>Rating</w:t>
      </w:r>
      <w:r>
        <w:rPr>
          <w:color w:val="5A6469"/>
          <w:spacing w:val="-16"/>
        </w:rPr>
        <w:t> </w:t>
      </w:r>
      <w:r>
        <w:rPr>
          <w:color w:val="5A6469"/>
          <w:spacing w:val="-6"/>
        </w:rPr>
        <w:t>Drivers</w:t>
      </w:r>
    </w:p>
    <w:p>
      <w:pPr>
        <w:pStyle w:val="Heading3"/>
        <w:spacing w:before="160"/>
        <w:jc w:val="both"/>
      </w:pPr>
      <w:r>
        <w:rPr/>
        <w:t>Revenue Framework:</w:t>
      </w:r>
      <w:r>
        <w:rPr>
          <w:spacing w:val="-8"/>
        </w:rPr>
        <w:t> </w:t>
      </w:r>
      <w:r>
        <w:rPr/>
        <w:t>'a'</w:t>
      </w:r>
    </w:p>
    <w:p>
      <w:pPr>
        <w:pStyle w:val="BodyText"/>
        <w:spacing w:line="302" w:lineRule="auto" w:before="52"/>
        <w:ind w:left="141" w:right="958"/>
        <w:jc w:val="both"/>
      </w:pPr>
      <w:r>
        <w:rPr>
          <w:spacing w:val="-5"/>
        </w:rPr>
        <w:t>Revenue </w:t>
      </w:r>
      <w:r>
        <w:rPr>
          <w:spacing w:val="-4"/>
        </w:rPr>
        <w:t>growth has been strong, </w:t>
      </w:r>
      <w:r>
        <w:rPr>
          <w:spacing w:val="-5"/>
        </w:rPr>
        <w:t>averaging </w:t>
      </w:r>
      <w:r>
        <w:rPr>
          <w:spacing w:val="-4"/>
        </w:rPr>
        <w:t>above GDP for </w:t>
      </w:r>
      <w:r>
        <w:rPr>
          <w:spacing w:val="-3"/>
        </w:rPr>
        <w:t>the 10 </w:t>
      </w:r>
      <w:r>
        <w:rPr>
          <w:spacing w:val="-5"/>
        </w:rPr>
        <w:t>years </w:t>
      </w:r>
      <w:r>
        <w:rPr>
          <w:spacing w:val="-4"/>
        </w:rPr>
        <w:t>through 2017. Future </w:t>
      </w:r>
      <w:r>
        <w:rPr>
          <w:spacing w:val="-5"/>
        </w:rPr>
        <w:t>revenue </w:t>
      </w:r>
      <w:r>
        <w:rPr>
          <w:spacing w:val="-4"/>
        </w:rPr>
        <w:t>growth will likely track </w:t>
      </w:r>
      <w:r>
        <w:rPr>
          <w:spacing w:val="-5"/>
        </w:rPr>
        <w:t>expected enrollment </w:t>
      </w:r>
      <w:r>
        <w:rPr>
          <w:spacing w:val="-4"/>
        </w:rPr>
        <w:t>growth given the state </w:t>
      </w:r>
      <w:r>
        <w:rPr>
          <w:spacing w:val="-5"/>
        </w:rPr>
        <w:t>funding framework,  </w:t>
      </w:r>
      <w:r>
        <w:rPr>
          <w:spacing w:val="-4"/>
        </w:rPr>
        <w:t>which</w:t>
      </w:r>
      <w:r>
        <w:rPr>
          <w:spacing w:val="-8"/>
        </w:rPr>
        <w:t> </w:t>
      </w:r>
      <w:r>
        <w:rPr>
          <w:spacing w:val="-5"/>
        </w:rPr>
        <w:t>strength</w:t>
      </w:r>
      <w:r>
        <w:rPr>
          <w:spacing w:val="-8"/>
        </w:rPr>
        <w:t> </w:t>
      </w:r>
      <w:r>
        <w:rPr/>
        <w:t>is</w:t>
      </w:r>
      <w:r>
        <w:rPr>
          <w:spacing w:val="-5"/>
        </w:rPr>
        <w:t> </w:t>
      </w:r>
      <w:r>
        <w:rPr>
          <w:spacing w:val="-4"/>
        </w:rPr>
        <w:t>offset</w:t>
      </w:r>
      <w:r>
        <w:rPr>
          <w:spacing w:val="-7"/>
        </w:rPr>
        <w:t> </w:t>
      </w:r>
      <w:r>
        <w:rPr/>
        <w:t>by</w:t>
      </w:r>
      <w:r>
        <w:rPr>
          <w:spacing w:val="-10"/>
        </w:rPr>
        <w:t> </w:t>
      </w:r>
      <w:r>
        <w:rPr>
          <w:spacing w:val="-4"/>
        </w:rPr>
        <w:t>the</w:t>
      </w:r>
      <w:r>
        <w:rPr>
          <w:spacing w:val="-6"/>
        </w:rPr>
        <w:t> </w:t>
      </w:r>
      <w:r>
        <w:rPr>
          <w:spacing w:val="-4"/>
        </w:rPr>
        <w:t>district's</w:t>
      </w:r>
      <w:r>
        <w:rPr>
          <w:spacing w:val="-7"/>
        </w:rPr>
        <w:t> </w:t>
      </w:r>
      <w:r>
        <w:rPr>
          <w:spacing w:val="-4"/>
        </w:rPr>
        <w:t>statutorily</w:t>
      </w:r>
      <w:r>
        <w:rPr>
          <w:spacing w:val="-10"/>
        </w:rPr>
        <w:t> </w:t>
      </w:r>
      <w:r>
        <w:rPr>
          <w:spacing w:val="-4"/>
        </w:rPr>
        <w:t>limited</w:t>
      </w:r>
      <w:r>
        <w:rPr>
          <w:spacing w:val="-8"/>
        </w:rPr>
        <w:t> </w:t>
      </w:r>
      <w:r>
        <w:rPr>
          <w:spacing w:val="-5"/>
        </w:rPr>
        <w:t>independent</w:t>
      </w:r>
      <w:r>
        <w:rPr>
          <w:spacing w:val="-8"/>
        </w:rPr>
        <w:t> </w:t>
      </w:r>
      <w:r>
        <w:rPr>
          <w:spacing w:val="-4"/>
        </w:rPr>
        <w:t>legal</w:t>
      </w:r>
      <w:r>
        <w:rPr>
          <w:spacing w:val="-7"/>
        </w:rPr>
        <w:t> </w:t>
      </w:r>
      <w:r>
        <w:rPr>
          <w:spacing w:val="-4"/>
        </w:rPr>
        <w:t>ability</w:t>
      </w:r>
      <w:r>
        <w:rPr>
          <w:spacing w:val="-10"/>
        </w:rPr>
        <w:t> </w:t>
      </w:r>
      <w:r>
        <w:rPr>
          <w:spacing w:val="-3"/>
        </w:rPr>
        <w:t>to</w:t>
      </w:r>
      <w:r>
        <w:rPr>
          <w:spacing w:val="-6"/>
        </w:rPr>
        <w:t> </w:t>
      </w:r>
      <w:r>
        <w:rPr>
          <w:spacing w:val="-4"/>
        </w:rPr>
        <w:t>raise</w:t>
      </w:r>
      <w:r>
        <w:rPr>
          <w:spacing w:val="-7"/>
        </w:rPr>
        <w:t> </w:t>
      </w:r>
      <w:r>
        <w:rPr>
          <w:spacing w:val="-4"/>
        </w:rPr>
        <w:t>revenues.</w:t>
      </w:r>
    </w:p>
    <w:p>
      <w:pPr>
        <w:pStyle w:val="Heading3"/>
        <w:spacing w:before="118"/>
        <w:jc w:val="both"/>
      </w:pPr>
      <w:r>
        <w:rPr/>
        <w:t>Expenditure Framework: 'aaa'</w:t>
      </w:r>
    </w:p>
    <w:p>
      <w:pPr>
        <w:pStyle w:val="BodyText"/>
        <w:spacing w:line="302" w:lineRule="auto" w:before="54"/>
        <w:ind w:left="141" w:right="955"/>
        <w:jc w:val="both"/>
      </w:pPr>
      <w:r>
        <w:rPr/>
        <w:t>District spending is stable, and the district maintains strong expenditure flexibility in salaries and pay-as-you-go capital spending. Spending growth is expected to trend in line with revenue growth. The low fixed-cost burden for debt service and retiree benefits reflects state support for long-term liabilities. There are no contractual obligations with</w:t>
      </w:r>
      <w:r>
        <w:rPr>
          <w:spacing w:val="-9"/>
        </w:rPr>
        <w:t> </w:t>
      </w:r>
      <w:r>
        <w:rPr/>
        <w:t>employees.</w:t>
      </w:r>
    </w:p>
    <w:p>
      <w:pPr>
        <w:pStyle w:val="Heading3"/>
        <w:spacing w:before="116"/>
        <w:jc w:val="both"/>
      </w:pPr>
      <w:r>
        <w:rPr/>
        <w:t>Long-Term Liability Burden: 'aa'</w:t>
      </w:r>
    </w:p>
    <w:p>
      <w:pPr>
        <w:pStyle w:val="BodyText"/>
        <w:spacing w:line="302" w:lineRule="auto" w:before="52"/>
        <w:ind w:left="141" w:right="955"/>
        <w:jc w:val="both"/>
      </w:pPr>
      <w:r>
        <w:rPr/>
        <w:t>The long-term liability burden is moderate. The series 2018 issuance is the first installment of the voter authorized $325 million from the May 2018 bond election. After this sale, the district will have $190 million in authorized, but unissued, debt remaining. Fitch expects that the  liability burden will remain moderate even with this new debt</w:t>
      </w:r>
      <w:r>
        <w:rPr>
          <w:spacing w:val="-7"/>
        </w:rPr>
        <w:t> </w:t>
      </w:r>
      <w:r>
        <w:rPr/>
        <w:t>issuance.</w:t>
      </w:r>
    </w:p>
    <w:p>
      <w:pPr>
        <w:spacing w:after="0" w:line="302" w:lineRule="auto"/>
        <w:jc w:val="both"/>
        <w:sectPr>
          <w:type w:val="continuous"/>
          <w:pgSz w:w="12240" w:h="15840"/>
          <w:pgMar w:top="0" w:bottom="1000" w:left="0" w:right="0"/>
          <w:cols w:num="2" w:equalWidth="0">
            <w:col w:w="3505" w:space="40"/>
            <w:col w:w="8695"/>
          </w:cols>
        </w:sectPr>
      </w:pPr>
    </w:p>
    <w:p>
      <w:pPr>
        <w:pStyle w:val="BodyText"/>
        <w:spacing w:before="6"/>
        <w:rPr>
          <w:sz w:val="21"/>
        </w:rPr>
      </w:pPr>
    </w:p>
    <w:p>
      <w:pPr>
        <w:pStyle w:val="Heading3"/>
        <w:spacing w:before="94"/>
        <w:ind w:left="3686"/>
      </w:pPr>
      <w:r>
        <w:rPr/>
        <w:pict>
          <v:shape style="position:absolute;margin-left:16.52pt;margin-top:-12.398084pt;width:161.050pt;height:78.650pt;mso-position-horizontal-relative:page;mso-position-vertical-relative:paragraph;z-index:1096"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07"/>
                    <w:gridCol w:w="841"/>
                    <w:gridCol w:w="884"/>
                    <w:gridCol w:w="790"/>
                  </w:tblGrid>
                  <w:tr>
                    <w:trPr>
                      <w:trHeight w:val="674" w:hRule="atLeast"/>
                    </w:trPr>
                    <w:tc>
                      <w:tcPr>
                        <w:tcW w:w="3222" w:type="dxa"/>
                        <w:gridSpan w:val="4"/>
                      </w:tcPr>
                      <w:p>
                        <w:pPr>
                          <w:pStyle w:val="TableParagraph"/>
                          <w:spacing w:before="6"/>
                          <w:jc w:val="left"/>
                          <w:rPr>
                            <w:sz w:val="32"/>
                          </w:rPr>
                        </w:pPr>
                      </w:p>
                      <w:p>
                        <w:pPr>
                          <w:pStyle w:val="TableParagraph"/>
                          <w:spacing w:before="0"/>
                          <w:ind w:left="200"/>
                          <w:jc w:val="left"/>
                          <w:rPr>
                            <w:b/>
                            <w:sz w:val="24"/>
                          </w:rPr>
                        </w:pPr>
                        <w:r>
                          <w:rPr>
                            <w:b/>
                            <w:color w:val="5A6469"/>
                            <w:sz w:val="24"/>
                          </w:rPr>
                          <w:t>Rating History (IDR)</w:t>
                        </w:r>
                      </w:p>
                    </w:tc>
                  </w:tr>
                  <w:tr>
                    <w:trPr>
                      <w:trHeight w:val="380" w:hRule="atLeast"/>
                    </w:trPr>
                    <w:tc>
                      <w:tcPr>
                        <w:tcW w:w="707" w:type="dxa"/>
                      </w:tcPr>
                      <w:p>
                        <w:pPr>
                          <w:pStyle w:val="TableParagraph"/>
                          <w:spacing w:before="7"/>
                          <w:jc w:val="left"/>
                          <w:rPr>
                            <w:sz w:val="15"/>
                          </w:rPr>
                        </w:pPr>
                      </w:p>
                      <w:p>
                        <w:pPr>
                          <w:pStyle w:val="TableParagraph"/>
                          <w:spacing w:before="0"/>
                          <w:ind w:left="200" w:right="-87"/>
                          <w:jc w:val="left"/>
                          <w:rPr>
                            <w:b/>
                            <w:sz w:val="14"/>
                          </w:rPr>
                        </w:pPr>
                        <w:r>
                          <w:rPr>
                            <w:b/>
                            <w:sz w:val="14"/>
                            <w:u w:val="single"/>
                          </w:rPr>
                          <w:t>Rating</w:t>
                        </w:r>
                        <w:r>
                          <w:rPr>
                            <w:b/>
                            <w:spacing w:val="-8"/>
                            <w:sz w:val="14"/>
                            <w:u w:val="single"/>
                          </w:rPr>
                          <w:t> </w:t>
                        </w:r>
                      </w:p>
                    </w:tc>
                    <w:tc>
                      <w:tcPr>
                        <w:tcW w:w="841" w:type="dxa"/>
                      </w:tcPr>
                      <w:p>
                        <w:pPr>
                          <w:pStyle w:val="TableParagraph"/>
                          <w:spacing w:before="7"/>
                          <w:jc w:val="left"/>
                          <w:rPr>
                            <w:sz w:val="15"/>
                          </w:rPr>
                        </w:pPr>
                      </w:p>
                      <w:p>
                        <w:pPr>
                          <w:pStyle w:val="TableParagraph"/>
                          <w:tabs>
                            <w:tab w:pos="1033" w:val="left" w:leader="none"/>
                          </w:tabs>
                          <w:spacing w:before="0"/>
                          <w:ind w:left="73" w:right="-202"/>
                          <w:jc w:val="left"/>
                          <w:rPr>
                            <w:b/>
                            <w:sz w:val="14"/>
                          </w:rPr>
                        </w:pPr>
                        <w:r>
                          <w:rPr>
                            <w:b/>
                            <w:sz w:val="14"/>
                            <w:u w:val="single"/>
                          </w:rPr>
                          <w:t>Action</w:t>
                          <w:tab/>
                        </w:r>
                      </w:p>
                    </w:tc>
                    <w:tc>
                      <w:tcPr>
                        <w:tcW w:w="884" w:type="dxa"/>
                      </w:tcPr>
                      <w:p>
                        <w:pPr>
                          <w:pStyle w:val="TableParagraph"/>
                          <w:tabs>
                            <w:tab w:pos="1171" w:val="left" w:leader="none"/>
                          </w:tabs>
                          <w:spacing w:before="19"/>
                          <w:ind w:left="192" w:right="-303"/>
                          <w:jc w:val="left"/>
                          <w:rPr>
                            <w:b/>
                            <w:sz w:val="14"/>
                          </w:rPr>
                        </w:pPr>
                        <w:r>
                          <w:rPr>
                            <w:b/>
                            <w:sz w:val="14"/>
                          </w:rPr>
                          <w:t>Outlook/ </w:t>
                        </w:r>
                        <w:r>
                          <w:rPr>
                            <w:b/>
                            <w:sz w:val="14"/>
                            <w:u w:val="single"/>
                          </w:rPr>
                          <w:t>Watch</w:t>
                          <w:tab/>
                        </w:r>
                      </w:p>
                    </w:tc>
                    <w:tc>
                      <w:tcPr>
                        <w:tcW w:w="790" w:type="dxa"/>
                      </w:tcPr>
                      <w:p>
                        <w:pPr>
                          <w:pStyle w:val="TableParagraph"/>
                          <w:spacing w:before="7"/>
                          <w:jc w:val="left"/>
                          <w:rPr>
                            <w:sz w:val="15"/>
                          </w:rPr>
                        </w:pPr>
                      </w:p>
                      <w:p>
                        <w:pPr>
                          <w:pStyle w:val="TableParagraph"/>
                          <w:spacing w:before="0"/>
                          <w:ind w:left="288"/>
                          <w:jc w:val="left"/>
                          <w:rPr>
                            <w:b/>
                            <w:sz w:val="14"/>
                          </w:rPr>
                        </w:pPr>
                        <w:r>
                          <w:rPr>
                            <w:b/>
                            <w:sz w:val="14"/>
                            <w:u w:val="single"/>
                          </w:rPr>
                          <w:t>Date </w:t>
                        </w:r>
                      </w:p>
                    </w:tc>
                  </w:tr>
                  <w:tr>
                    <w:trPr>
                      <w:trHeight w:val="197" w:hRule="atLeast"/>
                    </w:trPr>
                    <w:tc>
                      <w:tcPr>
                        <w:tcW w:w="707" w:type="dxa"/>
                      </w:tcPr>
                      <w:p>
                        <w:pPr>
                          <w:pStyle w:val="TableParagraph"/>
                          <w:spacing w:line="143" w:lineRule="exact" w:before="34"/>
                          <w:ind w:left="200"/>
                          <w:jc w:val="left"/>
                          <w:rPr>
                            <w:sz w:val="14"/>
                          </w:rPr>
                        </w:pPr>
                        <w:r>
                          <w:rPr>
                            <w:sz w:val="14"/>
                          </w:rPr>
                          <w:t>AA+</w:t>
                        </w:r>
                      </w:p>
                    </w:tc>
                    <w:tc>
                      <w:tcPr>
                        <w:tcW w:w="841" w:type="dxa"/>
                      </w:tcPr>
                      <w:p>
                        <w:pPr>
                          <w:pStyle w:val="TableParagraph"/>
                          <w:spacing w:line="143" w:lineRule="exact" w:before="34"/>
                          <w:ind w:left="73"/>
                          <w:jc w:val="left"/>
                          <w:rPr>
                            <w:sz w:val="14"/>
                          </w:rPr>
                        </w:pPr>
                        <w:r>
                          <w:rPr>
                            <w:sz w:val="14"/>
                          </w:rPr>
                          <w:t>Affirmed</w:t>
                        </w:r>
                      </w:p>
                    </w:tc>
                    <w:tc>
                      <w:tcPr>
                        <w:tcW w:w="884" w:type="dxa"/>
                      </w:tcPr>
                      <w:p>
                        <w:pPr>
                          <w:pStyle w:val="TableParagraph"/>
                          <w:spacing w:line="143" w:lineRule="exact" w:before="34"/>
                          <w:ind w:left="192"/>
                          <w:jc w:val="left"/>
                          <w:rPr>
                            <w:sz w:val="14"/>
                          </w:rPr>
                        </w:pPr>
                        <w:r>
                          <w:rPr>
                            <w:sz w:val="14"/>
                          </w:rPr>
                          <w:t>Stable</w:t>
                        </w:r>
                      </w:p>
                    </w:tc>
                    <w:tc>
                      <w:tcPr>
                        <w:tcW w:w="790" w:type="dxa"/>
                      </w:tcPr>
                      <w:p>
                        <w:pPr>
                          <w:pStyle w:val="TableParagraph"/>
                          <w:spacing w:line="143" w:lineRule="exact" w:before="34"/>
                          <w:ind w:left="122"/>
                          <w:jc w:val="left"/>
                          <w:rPr>
                            <w:sz w:val="14"/>
                          </w:rPr>
                        </w:pPr>
                        <w:r>
                          <w:rPr>
                            <w:sz w:val="14"/>
                          </w:rPr>
                          <w:t>6/27/18</w:t>
                        </w:r>
                      </w:p>
                    </w:tc>
                  </w:tr>
                  <w:tr>
                    <w:trPr>
                      <w:trHeight w:val="160" w:hRule="atLeast"/>
                    </w:trPr>
                    <w:tc>
                      <w:tcPr>
                        <w:tcW w:w="707" w:type="dxa"/>
                      </w:tcPr>
                      <w:p>
                        <w:pPr>
                          <w:pStyle w:val="TableParagraph"/>
                          <w:spacing w:line="141" w:lineRule="exact" w:before="0"/>
                          <w:ind w:left="200"/>
                          <w:jc w:val="left"/>
                          <w:rPr>
                            <w:sz w:val="14"/>
                          </w:rPr>
                        </w:pPr>
                        <w:r>
                          <w:rPr>
                            <w:sz w:val="14"/>
                          </w:rPr>
                          <w:t>AA+</w:t>
                        </w:r>
                      </w:p>
                    </w:tc>
                    <w:tc>
                      <w:tcPr>
                        <w:tcW w:w="841" w:type="dxa"/>
                      </w:tcPr>
                      <w:p>
                        <w:pPr>
                          <w:pStyle w:val="TableParagraph"/>
                          <w:spacing w:line="141" w:lineRule="exact" w:before="0"/>
                          <w:ind w:left="73"/>
                          <w:jc w:val="left"/>
                          <w:rPr>
                            <w:sz w:val="14"/>
                          </w:rPr>
                        </w:pPr>
                        <w:r>
                          <w:rPr>
                            <w:sz w:val="14"/>
                          </w:rPr>
                          <w:t>Revised</w:t>
                        </w:r>
                      </w:p>
                    </w:tc>
                    <w:tc>
                      <w:tcPr>
                        <w:tcW w:w="884" w:type="dxa"/>
                      </w:tcPr>
                      <w:p>
                        <w:pPr>
                          <w:pStyle w:val="TableParagraph"/>
                          <w:spacing w:line="141" w:lineRule="exact" w:before="0"/>
                          <w:ind w:left="192"/>
                          <w:jc w:val="left"/>
                          <w:rPr>
                            <w:sz w:val="14"/>
                          </w:rPr>
                        </w:pPr>
                        <w:r>
                          <w:rPr>
                            <w:sz w:val="14"/>
                          </w:rPr>
                          <w:t>Stable</w:t>
                        </w:r>
                      </w:p>
                    </w:tc>
                    <w:tc>
                      <w:tcPr>
                        <w:tcW w:w="790" w:type="dxa"/>
                      </w:tcPr>
                      <w:p>
                        <w:pPr>
                          <w:pStyle w:val="TableParagraph"/>
                          <w:spacing w:line="141" w:lineRule="exact" w:before="0"/>
                          <w:ind w:left="122"/>
                          <w:jc w:val="left"/>
                          <w:rPr>
                            <w:sz w:val="14"/>
                          </w:rPr>
                        </w:pPr>
                        <w:r>
                          <w:rPr>
                            <w:sz w:val="14"/>
                          </w:rPr>
                          <w:t>4/30/10</w:t>
                        </w:r>
                      </w:p>
                    </w:tc>
                  </w:tr>
                  <w:tr>
                    <w:trPr>
                      <w:trHeight w:val="158" w:hRule="atLeast"/>
                    </w:trPr>
                    <w:tc>
                      <w:tcPr>
                        <w:tcW w:w="707" w:type="dxa"/>
                      </w:tcPr>
                      <w:p>
                        <w:pPr>
                          <w:pStyle w:val="TableParagraph"/>
                          <w:spacing w:line="138" w:lineRule="exact" w:before="0"/>
                          <w:ind w:left="200"/>
                          <w:jc w:val="left"/>
                          <w:rPr>
                            <w:sz w:val="14"/>
                          </w:rPr>
                        </w:pPr>
                        <w:r>
                          <w:rPr>
                            <w:sz w:val="14"/>
                          </w:rPr>
                          <w:t>AA</w:t>
                        </w:r>
                      </w:p>
                    </w:tc>
                    <w:tc>
                      <w:tcPr>
                        <w:tcW w:w="841" w:type="dxa"/>
                      </w:tcPr>
                      <w:p>
                        <w:pPr>
                          <w:pStyle w:val="TableParagraph"/>
                          <w:spacing w:line="138" w:lineRule="exact" w:before="0"/>
                          <w:ind w:left="73"/>
                          <w:jc w:val="left"/>
                          <w:rPr>
                            <w:sz w:val="14"/>
                          </w:rPr>
                        </w:pPr>
                        <w:r>
                          <w:rPr>
                            <w:sz w:val="14"/>
                          </w:rPr>
                          <w:t>Assigned</w:t>
                        </w:r>
                      </w:p>
                    </w:tc>
                    <w:tc>
                      <w:tcPr>
                        <w:tcW w:w="884" w:type="dxa"/>
                      </w:tcPr>
                      <w:p>
                        <w:pPr>
                          <w:pStyle w:val="TableParagraph"/>
                          <w:spacing w:line="138" w:lineRule="exact" w:before="0"/>
                          <w:ind w:left="192"/>
                          <w:jc w:val="left"/>
                          <w:rPr>
                            <w:sz w:val="14"/>
                          </w:rPr>
                        </w:pPr>
                        <w:r>
                          <w:rPr>
                            <w:sz w:val="14"/>
                          </w:rPr>
                          <w:t>Stable</w:t>
                        </w:r>
                      </w:p>
                    </w:tc>
                    <w:tc>
                      <w:tcPr>
                        <w:tcW w:w="790" w:type="dxa"/>
                      </w:tcPr>
                      <w:p>
                        <w:pPr>
                          <w:pStyle w:val="TableParagraph"/>
                          <w:spacing w:line="138" w:lineRule="exact" w:before="0"/>
                          <w:ind w:left="122"/>
                          <w:jc w:val="left"/>
                          <w:rPr>
                            <w:sz w:val="14"/>
                          </w:rPr>
                        </w:pPr>
                        <w:r>
                          <w:rPr>
                            <w:sz w:val="14"/>
                          </w:rPr>
                          <w:t>4/24/00</w:t>
                        </w:r>
                      </w:p>
                    </w:tc>
                  </w:tr>
                </w:tbl>
                <w:p>
                  <w:pPr>
                    <w:pStyle w:val="BodyText"/>
                  </w:pPr>
                </w:p>
              </w:txbxContent>
            </v:textbox>
            <w10:wrap type="none"/>
          </v:shape>
        </w:pict>
      </w:r>
      <w:r>
        <w:rPr/>
        <w:t>Operating Performance: 'aaa'</w:t>
      </w:r>
    </w:p>
    <w:p>
      <w:pPr>
        <w:pStyle w:val="BodyText"/>
        <w:spacing w:line="302" w:lineRule="auto" w:before="52"/>
        <w:ind w:left="3686" w:right="955"/>
        <w:jc w:val="both"/>
      </w:pPr>
      <w:r>
        <w:rPr/>
        <w:t>The district's strong history of operating surpluses, its maintenance of robust reserve levels and solid expenditure flexibility leave it well positioned to address any cyclical downturns.</w:t>
      </w:r>
    </w:p>
    <w:p>
      <w:pPr>
        <w:pStyle w:val="BodyText"/>
        <w:spacing w:before="5"/>
        <w:rPr>
          <w:sz w:val="19"/>
        </w:rPr>
      </w:pPr>
    </w:p>
    <w:p>
      <w:pPr>
        <w:pStyle w:val="Heading1"/>
        <w:spacing w:before="1"/>
        <w:ind w:left="3686"/>
      </w:pPr>
      <w:r>
        <w:rPr>
          <w:color w:val="5A6469"/>
        </w:rPr>
        <w:t>Rating Sensitivities</w:t>
      </w:r>
    </w:p>
    <w:p>
      <w:pPr>
        <w:pStyle w:val="BodyText"/>
        <w:spacing w:line="302" w:lineRule="auto" w:before="159"/>
        <w:ind w:left="3686" w:right="955"/>
        <w:jc w:val="both"/>
      </w:pPr>
      <w:r>
        <w:rPr>
          <w:b/>
        </w:rPr>
        <w:t>Financial Flexibility: </w:t>
      </w:r>
      <w:r>
        <w:rPr/>
        <w:t>The ratings are sensitive to material changes in financial flexibility, including maintenance of superior gap-closing capacity and strong reserve levels through a typical economic cycle and material shifts in enrollment trend expectations.</w:t>
      </w:r>
    </w:p>
    <w:p>
      <w:pPr>
        <w:pStyle w:val="BodyText"/>
        <w:spacing w:before="4"/>
        <w:rPr>
          <w:sz w:val="19"/>
        </w:rPr>
      </w:pPr>
    </w:p>
    <w:p>
      <w:pPr>
        <w:pStyle w:val="Heading1"/>
        <w:ind w:left="3686"/>
      </w:pPr>
      <w:r>
        <w:rPr>
          <w:color w:val="5A6469"/>
        </w:rPr>
        <w:t>Credit Profile</w:t>
      </w:r>
    </w:p>
    <w:p>
      <w:pPr>
        <w:pStyle w:val="BodyText"/>
        <w:spacing w:line="302" w:lineRule="auto" w:before="159"/>
        <w:ind w:left="3686" w:right="955"/>
        <w:jc w:val="both"/>
      </w:pPr>
      <w:r>
        <w:rPr/>
        <w:t>The district's proximity to Dallas and its location in the broader DFW metro area provides residents with easy access to a large and diverse labor market. The </w:t>
      </w:r>
      <w:r>
        <w:rPr>
          <w:spacing w:val="-3"/>
        </w:rPr>
        <w:t>DFW </w:t>
      </w:r>
      <w:r>
        <w:rPr/>
        <w:t>metro area is home to numerous corporate headquarters, and prominent economic sectors include transportation, financial services, wholesale trade, manufacturing, oil/gas, and education and government. The tax base is primarily residential, for which taxable assessed value (TAV) accounts for over 65% of total TAV. Over the past couple of years, the tax base has experienced exceptionally strong growth. Since fiscal 2016 TAV has increased by 23%, to $7.3 billion in fiscal</w:t>
      </w:r>
      <w:r>
        <w:rPr>
          <w:spacing w:val="-19"/>
        </w:rPr>
        <w:t> </w:t>
      </w:r>
      <w:r>
        <w:rPr/>
        <w:t>2018.</w:t>
      </w:r>
    </w:p>
    <w:p>
      <w:pPr>
        <w:pStyle w:val="BodyText"/>
        <w:spacing w:before="6"/>
        <w:rPr>
          <w:sz w:val="13"/>
        </w:rPr>
      </w:pPr>
    </w:p>
    <w:p>
      <w:pPr>
        <w:spacing w:after="0"/>
        <w:rPr>
          <w:sz w:val="13"/>
        </w:rPr>
        <w:sectPr>
          <w:headerReference w:type="default" r:id="rId9"/>
          <w:footerReference w:type="default" r:id="rId10"/>
          <w:pgSz w:w="12240" w:h="15840"/>
          <w:pgMar w:header="0" w:footer="793" w:top="1200" w:bottom="980" w:left="0" w:right="0"/>
          <w:pgNumType w:start="2"/>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pPr>
    </w:p>
    <w:p>
      <w:pPr>
        <w:pStyle w:val="Heading3"/>
        <w:ind w:left="530"/>
      </w:pPr>
      <w:r>
        <w:rPr/>
        <w:t>Related Research</w:t>
      </w:r>
    </w:p>
    <w:p>
      <w:pPr>
        <w:spacing w:before="64"/>
        <w:ind w:left="530" w:right="0" w:firstLine="0"/>
        <w:jc w:val="both"/>
        <w:rPr>
          <w:sz w:val="14"/>
        </w:rPr>
      </w:pPr>
      <w:hyperlink r:id="rId11">
        <w:r>
          <w:rPr>
            <w:color w:val="0000FF"/>
            <w:sz w:val="14"/>
          </w:rPr>
          <w:t>Fitch Rates Mesquite ISD, TX's $125.6</w:t>
        </w:r>
      </w:hyperlink>
      <w:r>
        <w:rPr>
          <w:color w:val="0000FF"/>
          <w:sz w:val="14"/>
        </w:rPr>
        <w:t> </w:t>
      </w:r>
      <w:hyperlink r:id="rId11">
        <w:r>
          <w:rPr>
            <w:color w:val="0000FF"/>
            <w:sz w:val="14"/>
          </w:rPr>
          <w:t>Million ULT Bonds 'AAA' PSF/'AA+'</w:t>
        </w:r>
      </w:hyperlink>
      <w:r>
        <w:rPr>
          <w:color w:val="0000FF"/>
          <w:sz w:val="14"/>
        </w:rPr>
        <w:t> </w:t>
      </w:r>
      <w:hyperlink r:id="rId11">
        <w:r>
          <w:rPr>
            <w:color w:val="0000FF"/>
            <w:sz w:val="14"/>
          </w:rPr>
          <w:t>Underlying; Stable Outlook (June 2018)</w:t>
        </w:r>
      </w:hyperlink>
    </w:p>
    <w:p>
      <w:pPr>
        <w:pStyle w:val="BodyText"/>
        <w:spacing w:before="6"/>
        <w:rPr>
          <w:sz w:val="17"/>
        </w:rPr>
      </w:pPr>
    </w:p>
    <w:p>
      <w:pPr>
        <w:pStyle w:val="Heading3"/>
        <w:spacing w:before="1"/>
        <w:ind w:left="530"/>
      </w:pPr>
      <w:r>
        <w:rPr/>
        <w:t>Related Criteria</w:t>
      </w:r>
    </w:p>
    <w:p>
      <w:pPr>
        <w:spacing w:before="63"/>
        <w:ind w:left="530" w:right="0" w:firstLine="0"/>
        <w:jc w:val="left"/>
        <w:rPr>
          <w:sz w:val="14"/>
        </w:rPr>
      </w:pPr>
      <w:hyperlink r:id="rId12">
        <w:r>
          <w:rPr>
            <w:color w:val="0000FF"/>
            <w:sz w:val="14"/>
          </w:rPr>
          <w:t>U.S. Public Finance Tax-Supported Rating</w:t>
        </w:r>
      </w:hyperlink>
      <w:hyperlink r:id="rId12">
        <w:r>
          <w:rPr>
            <w:color w:val="0000FF"/>
            <w:sz w:val="14"/>
          </w:rPr>
          <w:t> Criteria (April 2018)</w:t>
        </w:r>
      </w:hyperlink>
    </w:p>
    <w:p>
      <w:pPr>
        <w:spacing w:before="94"/>
        <w:ind w:left="433" w:right="0" w:firstLine="0"/>
        <w:jc w:val="both"/>
        <w:rPr>
          <w:b/>
          <w:sz w:val="22"/>
        </w:rPr>
      </w:pPr>
      <w:r>
        <w:rPr/>
        <w:br w:type="column"/>
      </w:r>
      <w:r>
        <w:rPr>
          <w:b/>
          <w:sz w:val="22"/>
        </w:rPr>
        <w:t>Revenue Framework</w:t>
      </w:r>
    </w:p>
    <w:p>
      <w:pPr>
        <w:pStyle w:val="BodyText"/>
        <w:spacing w:line="302" w:lineRule="auto" w:before="166"/>
        <w:ind w:left="432" w:right="955"/>
        <w:jc w:val="both"/>
      </w:pPr>
      <w:r>
        <w:rPr/>
        <w:t>Funding for public schools in Texas is provided by a combination of local (property tax), state and federal resources. The state budgets the majority of instructional activity through the Foundation School Program (FSP), which uses a statutory formula to allocate school aid, taking into account each district's property taxes, projected enrollment and amounts appropriated by the state legislature in the biennial budget process. The Tier 1 component of the FSP provides districts a certain level of operational funding, and the basis for most Tier 1 allotments is called the basic</w:t>
      </w:r>
      <w:r>
        <w:rPr>
          <w:spacing w:val="-8"/>
        </w:rPr>
        <w:t> </w:t>
      </w:r>
      <w:r>
        <w:rPr/>
        <w:t>allotment.</w:t>
      </w:r>
    </w:p>
    <w:p>
      <w:pPr>
        <w:pStyle w:val="BodyText"/>
        <w:spacing w:line="302" w:lineRule="auto" w:before="113"/>
        <w:ind w:left="432" w:right="955"/>
        <w:jc w:val="both"/>
      </w:pPr>
      <w:r>
        <w:rPr/>
        <w:t>The basic allotment is a per-pupil dollar amount that, multiplied by average daily attendance (and adjusted for specific district student characteristics), produces a district's Tier 1 allotment. The vast majority of districts are funded using a target revenue approach, whereby the combination of local and state funding for operations meets a predetermined per-pupil amount (which varies from district to district).</w:t>
      </w:r>
    </w:p>
    <w:p>
      <w:pPr>
        <w:pStyle w:val="BodyText"/>
        <w:spacing w:line="300" w:lineRule="auto" w:before="117"/>
        <w:ind w:left="432" w:right="956"/>
        <w:jc w:val="both"/>
      </w:pPr>
      <w:r>
        <w:rPr/>
        <w:t>The district received 76% of fiscal 2017 operating revenues from state aid, followed by property taxes at 20%.</w:t>
      </w:r>
    </w:p>
    <w:p>
      <w:pPr>
        <w:pStyle w:val="BodyText"/>
        <w:spacing w:line="302" w:lineRule="auto" w:before="121"/>
        <w:ind w:left="432" w:right="954"/>
        <w:jc w:val="both"/>
      </w:pPr>
      <w:r>
        <w:rPr/>
        <w:t>The compound annual growth rate (CAGR) of district revenues exceeded U.S. GDP over the 10 years through 2017. Over the near term, Fitch anticipates that relatively stable enrollment and residential tax base expansion will yield strong revenue growth, absent policy</w:t>
      </w:r>
      <w:r>
        <w:rPr>
          <w:spacing w:val="-24"/>
        </w:rPr>
        <w:t> </w:t>
      </w:r>
      <w:r>
        <w:rPr/>
        <w:t>action.</w:t>
      </w:r>
    </w:p>
    <w:p>
      <w:pPr>
        <w:pStyle w:val="BodyText"/>
        <w:spacing w:line="302" w:lineRule="auto" w:before="118"/>
        <w:ind w:left="432" w:right="953"/>
        <w:jc w:val="both"/>
      </w:pPr>
      <w:r>
        <w:rPr/>
        <w:t>The district's maintenance and operations tax rate of $1.04 per $100 TAV is 13 cents below the legal limit of $1.17. The district would need voter authorization to raise the rate above $1.04, but there are no current plans to do so. The district levies a separate, unlimited debt service tax rate, which is currently 42 cents per $100 of TAV. The debt service rate will ramp up to 48 cents in fall 2019. Despite the recent uptick in tax base growth, the district has based its debt repayment on modest TAV and enrollment growth assumptions. While the property tax pledge securing school district bonds is unlimited, state law requires districts to demonstrate the ability to service outstanding and any proposed debt with a debt service tax rate of no more than 50 cents per $100 of taxable</w:t>
      </w:r>
      <w:r>
        <w:rPr>
          <w:spacing w:val="-2"/>
        </w:rPr>
        <w:t> </w:t>
      </w:r>
      <w:r>
        <w:rPr/>
        <w:t>value.</w:t>
      </w:r>
    </w:p>
    <w:p>
      <w:pPr>
        <w:spacing w:after="0" w:line="302" w:lineRule="auto"/>
        <w:jc w:val="both"/>
        <w:sectPr>
          <w:type w:val="continuous"/>
          <w:pgSz w:w="12240" w:h="15840"/>
          <w:pgMar w:top="0" w:bottom="1000" w:left="0" w:right="0"/>
          <w:cols w:num="2" w:equalWidth="0">
            <w:col w:w="3214" w:space="40"/>
            <w:col w:w="8986"/>
          </w:cols>
        </w:sectPr>
      </w:pPr>
    </w:p>
    <w:p>
      <w:pPr>
        <w:pStyle w:val="BodyText"/>
        <w:spacing w:before="11"/>
        <w:rPr>
          <w:sz w:val="13"/>
        </w:rPr>
      </w:pPr>
    </w:p>
    <w:p>
      <w:pPr>
        <w:pStyle w:val="Heading2"/>
        <w:spacing w:before="93"/>
      </w:pPr>
      <w:r>
        <w:rPr/>
        <w:t>Expenditure Framework</w:t>
      </w:r>
    </w:p>
    <w:p>
      <w:pPr>
        <w:pStyle w:val="BodyText"/>
        <w:spacing w:line="302" w:lineRule="auto" w:before="164"/>
        <w:ind w:left="3686" w:right="955"/>
        <w:jc w:val="both"/>
      </w:pPr>
      <w:r>
        <w:rPr/>
        <w:t>The district's main expenditure category is instruction, which accounted for 63% of operating expenses in fiscal 2017. Fitch expects instruction costs to grow in line with or below revenues, along with the district's other operational costs. Historically, the district has funded some capital outlay from the general fund. While the district will likely continue to finance some capital needs through the general fund, Fitch does not expect this practice to negatively impact the expenditure framework assessment.</w:t>
      </w:r>
    </w:p>
    <w:p>
      <w:pPr>
        <w:pStyle w:val="BodyText"/>
        <w:spacing w:line="302" w:lineRule="auto" w:before="115"/>
        <w:ind w:left="3686" w:right="954"/>
        <w:jc w:val="both"/>
      </w:pPr>
      <w:r>
        <w:rPr/>
        <w:t>The pace of spending growth has somewhat trailed revenue growth due to underspending of budgeted expenditures. This trend is likely to continue, barring any changes in district policy. Moreover, in Fitch's view, the district's largely mature nature limits future growth-driven expenditure pressures.</w:t>
      </w:r>
    </w:p>
    <w:p>
      <w:pPr>
        <w:pStyle w:val="BodyText"/>
        <w:spacing w:line="302" w:lineRule="auto" w:before="119"/>
        <w:ind w:left="3686" w:right="955"/>
        <w:jc w:val="both"/>
      </w:pPr>
      <w:r>
        <w:rPr/>
        <w:t>The district's fixed-cost burden is low, with carrying costs for debt, pensions and other post- employment benefits (OPEB) equaling 10% of 2017 governmental expenditures. Taking into account state support for debt service, carrying costs decrease to a low 5.9% (Mesquite ISD received about 43% of the 2016–2017 annual debt service from state aid). While Fitch expects the fixed-cost burden to rise with the series 2018 bond issuance, and subsequent issuances from the May 2018 authorization, it will likely remain low to moderate, given the strong state debt service support. The district retains flexibility in staffing levels, given modest enrollment growth prospects, and does not have any labor contracts or evident wage pressure.</w:t>
      </w:r>
    </w:p>
    <w:p>
      <w:pPr>
        <w:pStyle w:val="BodyText"/>
        <w:spacing w:before="5"/>
        <w:rPr>
          <w:sz w:val="21"/>
        </w:rPr>
      </w:pPr>
    </w:p>
    <w:p>
      <w:pPr>
        <w:pStyle w:val="Heading2"/>
        <w:spacing w:before="1"/>
      </w:pPr>
      <w:r>
        <w:rPr/>
        <w:t>Long-Term Liability Burden</w:t>
      </w:r>
    </w:p>
    <w:p>
      <w:pPr>
        <w:pStyle w:val="BodyText"/>
        <w:spacing w:line="300" w:lineRule="auto" w:before="166"/>
        <w:ind w:left="3686" w:right="954"/>
        <w:jc w:val="both"/>
      </w:pPr>
      <w:r>
        <w:rPr/>
        <w:t>The district's total debt and net pension liability represents about 15% of personal income, with the district's direct debt representing the bulk of the total liability. The district received a strong 72% voter support for its May 2018 bond program; this sale is the first installment of the program and will be used to construct secondary level facilities in an effort to address capacity issues. Fitch anticipates the district's debt burden will rise but remain a moderate burden on recourses throughout the issuance of the authorization.</w:t>
      </w:r>
    </w:p>
    <w:p>
      <w:pPr>
        <w:pStyle w:val="BodyText"/>
        <w:spacing w:line="300" w:lineRule="auto" w:before="127"/>
        <w:ind w:left="3686" w:right="953"/>
        <w:jc w:val="both"/>
      </w:pPr>
      <w:r>
        <w:rPr>
          <w:spacing w:val="-3"/>
        </w:rPr>
        <w:t>The </w:t>
      </w:r>
      <w:r>
        <w:rPr/>
        <w:t>district </w:t>
      </w:r>
      <w:r>
        <w:rPr>
          <w:spacing w:val="-3"/>
        </w:rPr>
        <w:t>participates </w:t>
      </w:r>
      <w:r>
        <w:rPr/>
        <w:t>in the </w:t>
      </w:r>
      <w:r>
        <w:rPr>
          <w:spacing w:val="-3"/>
        </w:rPr>
        <w:t>Texas Teachers Retirement System </w:t>
      </w:r>
      <w:r>
        <w:rPr/>
        <w:t>(TRS), a </w:t>
      </w:r>
      <w:r>
        <w:rPr>
          <w:spacing w:val="-3"/>
        </w:rPr>
        <w:t>cost-sharing, multiple-employer </w:t>
      </w:r>
      <w:r>
        <w:rPr/>
        <w:t>pension </w:t>
      </w:r>
      <w:r>
        <w:rPr>
          <w:spacing w:val="-3"/>
        </w:rPr>
        <w:t>system. </w:t>
      </w:r>
      <w:r>
        <w:rPr/>
        <w:t>Under </w:t>
      </w:r>
      <w:r>
        <w:rPr>
          <w:spacing w:val="-3"/>
        </w:rPr>
        <w:t>GASB </w:t>
      </w:r>
      <w:r>
        <w:rPr/>
        <w:t>67 and 68, </w:t>
      </w:r>
      <w:r>
        <w:rPr>
          <w:spacing w:val="-3"/>
        </w:rPr>
        <w:t>TRS's </w:t>
      </w:r>
      <w:r>
        <w:rPr/>
        <w:t>assets cover 78% of </w:t>
      </w:r>
      <w:r>
        <w:rPr>
          <w:spacing w:val="-3"/>
        </w:rPr>
        <w:t>liabilities </w:t>
      </w:r>
      <w:r>
        <w:rPr/>
        <w:t>as of </w:t>
      </w:r>
      <w:r>
        <w:rPr>
          <w:spacing w:val="-3"/>
        </w:rPr>
        <w:t>fiscal </w:t>
      </w:r>
      <w:r>
        <w:rPr/>
        <w:t>2017, a </w:t>
      </w:r>
      <w:r>
        <w:rPr>
          <w:spacing w:val="-3"/>
        </w:rPr>
        <w:t>ratio </w:t>
      </w:r>
      <w:r>
        <w:rPr/>
        <w:t>that </w:t>
      </w:r>
      <w:r>
        <w:rPr>
          <w:spacing w:val="-3"/>
        </w:rPr>
        <w:t>falls </w:t>
      </w:r>
      <w:r>
        <w:rPr/>
        <w:t>to 62% using a more </w:t>
      </w:r>
      <w:r>
        <w:rPr>
          <w:spacing w:val="-3"/>
        </w:rPr>
        <w:t>conservative </w:t>
      </w:r>
      <w:r>
        <w:rPr/>
        <w:t>6% </w:t>
      </w:r>
      <w:r>
        <w:rPr>
          <w:spacing w:val="-3"/>
        </w:rPr>
        <w:t>return assumption.</w:t>
      </w:r>
    </w:p>
    <w:p>
      <w:pPr>
        <w:pStyle w:val="BodyText"/>
        <w:spacing w:line="302" w:lineRule="auto" w:before="124"/>
        <w:ind w:left="3686" w:right="955"/>
        <w:jc w:val="both"/>
      </w:pPr>
      <w:r>
        <w:rPr/>
        <w:t>Like all Texas school districts, Mesquite ISD is vulnerable to future policy changes that shift more of the contributions and liabilities onto districts, as evidenced by a relatively modest 1.5% salary contribution requirement that became effective in fiscal 2015. Mesquite ISD's contributions are currently limited to the 1.5% of salaries and pension costs for salaries above the statutory maximum (total contribution totaled $3.3 million in fiscal 2017). The district's pension contributions are determined by state statute rather than actuarially and, similarly to other Texas school districts, have historically fallen short of the actuarial level. Recent state reforms have lowered benefits and increased statutory contributions to improve plan sustainability over time.</w:t>
      </w:r>
    </w:p>
    <w:p>
      <w:pPr>
        <w:pStyle w:val="BodyText"/>
        <w:spacing w:before="7"/>
        <w:rPr>
          <w:sz w:val="21"/>
        </w:rPr>
      </w:pPr>
    </w:p>
    <w:p>
      <w:pPr>
        <w:pStyle w:val="Heading2"/>
      </w:pPr>
      <w:r>
        <w:rPr/>
        <w:t>Operating Performance</w:t>
      </w:r>
    </w:p>
    <w:p>
      <w:pPr>
        <w:pStyle w:val="BodyText"/>
        <w:spacing w:line="302" w:lineRule="auto" w:before="164"/>
        <w:ind w:left="3686" w:right="955"/>
        <w:jc w:val="both"/>
      </w:pPr>
      <w:r>
        <w:rPr/>
        <w:t>Throughout the Great Recession, the district maintained a strong financial cushion despite the recessionary pressures and state funding cuts. For details, see Scenario Analysis, page 4.</w:t>
      </w:r>
    </w:p>
    <w:p>
      <w:pPr>
        <w:pStyle w:val="BodyText"/>
        <w:spacing w:line="302" w:lineRule="auto" w:before="119"/>
        <w:ind w:left="3686" w:right="956"/>
        <w:jc w:val="both"/>
      </w:pPr>
      <w:r>
        <w:rPr/>
        <w:t>The district has demonstrated a strong commitment to supporting financial flexibility. Budgeting is conservative and typically includes capital projects, and management has been proactive in maintaining operational balance throughout economic cycles.</w:t>
      </w:r>
    </w:p>
    <w:p>
      <w:pPr>
        <w:spacing w:after="0" w:line="302" w:lineRule="auto"/>
        <w:jc w:val="both"/>
        <w:sectPr>
          <w:pgSz w:w="12240" w:h="15840"/>
          <w:pgMar w:header="0" w:footer="793" w:top="1240" w:bottom="980" w:left="0" w:right="0"/>
        </w:sectPr>
      </w:pPr>
    </w:p>
    <w:p>
      <w:pPr>
        <w:pStyle w:val="BodyText"/>
        <w:rPr>
          <w:sz w:val="20"/>
        </w:rPr>
      </w:pPr>
    </w:p>
    <w:p>
      <w:pPr>
        <w:pStyle w:val="BodyText"/>
      </w:pPr>
    </w:p>
    <w:p>
      <w:pPr>
        <w:spacing w:before="58"/>
        <w:ind w:left="1428" w:right="0" w:firstLine="0"/>
        <w:jc w:val="left"/>
        <w:rPr>
          <w:rFonts w:ascii="Calibri"/>
          <w:b/>
          <w:sz w:val="21"/>
        </w:rPr>
      </w:pPr>
      <w:r>
        <w:rPr>
          <w:rFonts w:ascii="Calibri"/>
          <w:b/>
          <w:color w:val="990000"/>
          <w:sz w:val="21"/>
        </w:rPr>
        <w:t>Mesquite Independent School District (TX)</w:t>
      </w:r>
    </w:p>
    <w:p>
      <w:pPr>
        <w:pStyle w:val="BodyText"/>
        <w:spacing w:before="8"/>
        <w:rPr>
          <w:rFonts w:ascii="Calibri"/>
          <w:b/>
          <w:sz w:val="17"/>
        </w:rPr>
      </w:pPr>
    </w:p>
    <w:p>
      <w:pPr>
        <w:tabs>
          <w:tab w:pos="10551" w:val="left" w:leader="none"/>
        </w:tabs>
        <w:spacing w:before="0"/>
        <w:ind w:left="1428" w:right="0" w:firstLine="0"/>
        <w:jc w:val="left"/>
        <w:rPr>
          <w:rFonts w:ascii="Calibri"/>
          <w:sz w:val="9"/>
        </w:rPr>
      </w:pPr>
      <w:r>
        <w:rPr/>
        <w:pict>
          <v:group style="position:absolute;margin-left:350.724426pt;margin-top:39.879978pt;width:214.5pt;height:8.8pt;mso-position-horizontal-relative:page;mso-position-vertical-relative:paragraph;z-index:1768" coordorigin="7014,798" coordsize="4290,176">
            <v:line style="position:absolute" from="7014,798" to="11304,798" stroked="true" strokeweight="0pt" strokecolor="#000000">
              <v:stroke dashstyle="solid"/>
            </v:line>
            <v:line style="position:absolute" from="7014,802" to="11304,802" stroked="true" strokeweight=".438253pt" strokecolor="#000000">
              <v:stroke dashstyle="solid"/>
            </v:line>
            <v:shape style="position:absolute;left:10682;top:815;width:570;height:158" type="#_x0000_t75" stroked="false">
              <v:imagedata r:id="rId13" o:title=""/>
            </v:shape>
            <v:shape style="position:absolute;left:10830;top:835;width:270;height:132" type="#_x0000_t202" filled="false" stroked="false">
              <v:textbox inset="0,0,0,0">
                <w:txbxContent>
                  <w:p>
                    <w:pPr>
                      <w:spacing w:line="131" w:lineRule="exact" w:before="0"/>
                      <w:ind w:left="0" w:right="0" w:firstLine="0"/>
                      <w:jc w:val="left"/>
                      <w:rPr>
                        <w:rFonts w:ascii="Calibri"/>
                        <w:sz w:val="13"/>
                      </w:rPr>
                    </w:pPr>
                    <w:r>
                      <w:rPr>
                        <w:rFonts w:ascii="Calibri"/>
                        <w:sz w:val="13"/>
                      </w:rPr>
                      <w:t>Hide</w:t>
                    </w:r>
                  </w:p>
                </w:txbxContent>
              </v:textbox>
              <w10:wrap type="none"/>
            </v:shape>
            <v:shape style="position:absolute;left:7032;top:839;width:2307;height:132" type="#_x0000_t202" filled="false" stroked="false">
              <v:textbox inset="0,0,0,0">
                <w:txbxContent>
                  <w:p>
                    <w:pPr>
                      <w:spacing w:line="131" w:lineRule="exact" w:before="0"/>
                      <w:ind w:left="0" w:right="0" w:firstLine="0"/>
                      <w:jc w:val="left"/>
                      <w:rPr>
                        <w:rFonts w:ascii="Calibri"/>
                        <w:b/>
                        <w:sz w:val="13"/>
                      </w:rPr>
                    </w:pPr>
                    <w:r>
                      <w:rPr>
                        <w:rFonts w:ascii="Calibri"/>
                        <w:b/>
                        <w:color w:val="FFFFFF"/>
                        <w:sz w:val="13"/>
                      </w:rPr>
                      <w:t>Analyst Interpretation of Scenario Results:</w:t>
                    </w:r>
                  </w:p>
                </w:txbxContent>
              </v:textbox>
              <w10:wrap type="none"/>
            </v:shape>
            <w10:wrap type="none"/>
          </v:group>
        </w:pict>
      </w:r>
      <w:r>
        <w:rPr/>
        <w:pict>
          <v:group style="position:absolute;margin-left:69.695015pt;margin-top:39.879898pt;width:264.4pt;height:149.450pt;mso-position-horizontal-relative:page;mso-position-vertical-relative:paragraph;z-index:2152" coordorigin="1394,798" coordsize="5288,2989">
            <v:shape style="position:absolute;left:0;top:13619;width:10420;height:3760" coordorigin="0,13620" coordsize="10420,3760" path="m1810,2800l6371,2800m1810,2564l6371,2564m1810,2327l6371,2327m1810,2090l6371,2090m1810,1863l6371,1863m1810,1626l6371,1626m1810,1389l6371,1389m1810,1153l6371,1153e" filled="false" stroked="true" strokeweight=".437996pt" strokecolor="#c0c0c0">
              <v:path arrowok="t"/>
              <v:stroke dashstyle="shortdot"/>
            </v:shape>
            <v:shape style="position:absolute;left:1809;top:1152;width:2;height:1876" coordorigin="1810,1153" coordsize="0,1876" path="m1810,3028l1810,1153,1810,3028e" filled="false" stroked="true" strokeweight=".43774pt" strokecolor="#878787">
              <v:path arrowok="t"/>
              <v:stroke dashstyle="solid"/>
            </v:shape>
            <v:shape style="position:absolute;left:0;top:13619;width:80;height:4280" coordorigin="0,13620" coordsize="80,4280" path="m1775,3028l1810,3028m1775,2800l1810,2800m1775,2564l1810,2564m1775,2327l1810,2327m1775,2090l1810,2090m1775,1863l1810,1863m1775,1626l1810,1626m1775,1389l1810,1389m1775,1153l1810,1153e" filled="false" stroked="true" strokeweight=".437996pt" strokecolor="#878787">
              <v:path arrowok="t"/>
              <v:stroke dashstyle="solid"/>
            </v:shape>
            <v:shape style="position:absolute;left:0;top:13519;width:10420;height:100" coordorigin="0,13520" coordsize="10420,100" path="m1810,3028l6371,3028,1810,3028m1810,3028l1810,3072m2318,3028l2318,3072m2825,3028l2825,3072m3333,3028l3333,3072m3841,3028l3841,3072m4340,3028l4340,3072m4848,3028l4848,3072m5355,3028l5355,3072m5863,3028l5863,3072m6371,3028l6371,3072e" filled="false" stroked="true" strokeweight=".437996pt" strokecolor="#878787">
              <v:path arrowok="t"/>
              <v:stroke dashstyle="solid"/>
            </v:shape>
            <v:line style="position:absolute" from="4852,1402" to="5360,1464" stroked="true" strokeweight="2.629474pt" strokecolor="#c0504d">
              <v:stroke dashstyle="longdash"/>
            </v:line>
            <v:line style="position:absolute" from="5360,1464" to="5859,1455" stroked="true" strokeweight="2.629517pt" strokecolor="#c0504d">
              <v:stroke dashstyle="longdash"/>
            </v:line>
            <v:line style="position:absolute" from="5859,1455" to="6367,1288" stroked="true" strokeweight="2.629219pt" strokecolor="#c0504d">
              <v:stroke dashstyle="longdash"/>
            </v:line>
            <v:shape style="position:absolute;left:1814;top:1402;width:3038;height:237" coordorigin="1814,1402" coordsize="3038,237" path="m1814,1639l2313,1622,2821,1595,3329,1630,3836,1578,4344,1455,4852,1402e" filled="false" stroked="true" strokeweight="2.629499pt" strokecolor="#c0504d">
              <v:path arrowok="t"/>
              <v:stroke dashstyle="solid"/>
            </v:shape>
            <v:shape style="position:absolute;left:1809;top:2940;width:4562;height:2" coordorigin="1810,2941" coordsize="4562,0" path="m1810,2941l1810,2941,5863,2941,6371,2941e" filled="false" stroked="true" strokeweight="1.314759pt" strokecolor="#b7c3da">
              <v:path arrowok="t"/>
              <v:stroke dashstyle="solid"/>
            </v:shape>
            <v:shape style="position:absolute;left:1809;top:2914;width:4562;height:2" coordorigin="1810,2914" coordsize="4562,0" path="m1810,2914l1810,2914,5863,2914,6371,2914e" filled="false" stroked="true" strokeweight="1.314759pt" strokecolor="#8ea5cb">
              <v:path arrowok="t"/>
              <v:stroke dashstyle="solid"/>
            </v:shape>
            <v:shape style="position:absolute;left:1809;top:2844;width:4562;height:2" coordorigin="1810,2844" coordsize="4562,0" path="m1810,2844l1810,2844,5863,2844,6371,2844e" filled="false" stroked="true" strokeweight="1.314759pt" strokecolor="#4a7ebb">
              <v:path arrowok="t"/>
              <v:stroke dashstyle="solid"/>
            </v:shape>
            <v:shape style="position:absolute;left:1809;top:2800;width:4562;height:2" coordorigin="1810,2800" coordsize="4562,0" path="m1810,2800l1810,2800,5863,2800,6371,2800e" filled="false" stroked="true" strokeweight="1.314759pt" strokecolor="#416fa6">
              <v:path arrowok="t"/>
              <v:stroke dashstyle="solid"/>
            </v:shape>
            <v:shape style="position:absolute;left:2159;top:3598;width:219;height:2" coordorigin="2160,3598" coordsize="219,0" path="m2160,3598l2379,3598,2160,3598e" filled="false" stroked="true" strokeweight="2.191265pt" strokecolor="#c0504d">
              <v:path arrowok="t"/>
              <v:stroke dashstyle="solid"/>
            </v:shape>
            <v:shape style="position:absolute;left:3735;top:3598;width:219;height:2" coordorigin="3736,3598" coordsize="219,0" path="m3736,3598l3955,3598,3736,3598e" filled="false" stroked="true" strokeweight="1.314759pt" strokecolor="#b7c3da">
              <v:path arrowok="t"/>
              <v:stroke dashstyle="solid"/>
            </v:shape>
            <v:shape style="position:absolute;left:4401;top:3598;width:219;height:2" coordorigin="4401,3598" coordsize="219,0" path="m4401,3598l4620,3598,4401,3598e" filled="false" stroked="true" strokeweight="1.314759pt" strokecolor="#8ea5cb">
              <v:path arrowok="t"/>
              <v:stroke dashstyle="solid"/>
            </v:shape>
            <v:shape style="position:absolute;left:4935;top:3598;width:228;height:2" coordorigin="4935,3598" coordsize="228,0" path="m4935,3598l5163,3598,4935,3598e" filled="false" stroked="true" strokeweight="1.314759pt" strokecolor="#4a7ebb">
              <v:path arrowok="t"/>
              <v:stroke dashstyle="solid"/>
            </v:shape>
            <v:shape style="position:absolute;left:5530;top:3598;width:219;height:2" coordorigin="5531,3598" coordsize="219,0" path="m5531,3598l5749,3598,5531,3598e" filled="false" stroked="true" strokeweight="1.314759pt" strokecolor="#416fa6">
              <v:path arrowok="t"/>
              <v:stroke dashstyle="solid"/>
            </v:shape>
            <v:rect style="position:absolute;left:1398;top:801;width:5280;height:2981" filled="false" stroked="true" strokeweight=".438571pt" strokecolor="#878787">
              <v:stroke dashstyle="solid"/>
            </v:rect>
            <v:line style="position:absolute" from="4905,3024" to="4905,1017" stroked="true" strokeweight=".875474pt" strokecolor="#808080">
              <v:stroke dashstyle="solid"/>
            </v:line>
            <v:shape style="position:absolute;left:5777;top:3552;width:189;height:114" type="#_x0000_t202" filled="false" stroked="false">
              <v:textbox inset="0,0,0,0">
                <w:txbxContent>
                  <w:p>
                    <w:pPr>
                      <w:spacing w:line="114" w:lineRule="exact" w:before="0"/>
                      <w:ind w:left="0" w:right="0" w:firstLine="0"/>
                      <w:jc w:val="left"/>
                      <w:rPr>
                        <w:rFonts w:ascii="Calibri"/>
                        <w:sz w:val="11"/>
                      </w:rPr>
                    </w:pPr>
                    <w:r>
                      <w:rPr>
                        <w:rFonts w:ascii="Calibri"/>
                        <w:w w:val="105"/>
                        <w:sz w:val="11"/>
                      </w:rPr>
                      <w:t>aaa</w:t>
                    </w:r>
                  </w:p>
                </w:txbxContent>
              </v:textbox>
              <w10:wrap type="none"/>
            </v:shape>
            <v:shape style="position:absolute;left:5183;top:3552;width:128;height:114" type="#_x0000_t202" filled="false" stroked="false">
              <v:textbox inset="0,0,0,0">
                <w:txbxContent>
                  <w:p>
                    <w:pPr>
                      <w:spacing w:line="114" w:lineRule="exact" w:before="0"/>
                      <w:ind w:left="0" w:right="0" w:firstLine="0"/>
                      <w:jc w:val="left"/>
                      <w:rPr>
                        <w:rFonts w:ascii="Calibri"/>
                        <w:sz w:val="11"/>
                      </w:rPr>
                    </w:pPr>
                    <w:r>
                      <w:rPr>
                        <w:rFonts w:ascii="Calibri"/>
                        <w:w w:val="105"/>
                        <w:sz w:val="11"/>
                      </w:rPr>
                      <w:t>aa</w:t>
                    </w:r>
                  </w:p>
                </w:txbxContent>
              </v:textbox>
              <w10:wrap type="none"/>
            </v:shape>
            <v:shape style="position:absolute;left:4646;top:3552;width:75;height:114" type="#_x0000_t202" filled="false" stroked="false">
              <v:textbox inset="0,0,0,0">
                <w:txbxContent>
                  <w:p>
                    <w:pPr>
                      <w:spacing w:line="114" w:lineRule="exact" w:before="0"/>
                      <w:ind w:left="0" w:right="0" w:firstLine="0"/>
                      <w:jc w:val="left"/>
                      <w:rPr>
                        <w:rFonts w:ascii="Calibri"/>
                        <w:sz w:val="11"/>
                      </w:rPr>
                    </w:pPr>
                    <w:r>
                      <w:rPr>
                        <w:rFonts w:ascii="Calibri"/>
                        <w:w w:val="103"/>
                        <w:sz w:val="11"/>
                      </w:rPr>
                      <w:t>a</w:t>
                    </w:r>
                  </w:p>
                </w:txbxContent>
              </v:textbox>
              <w10:wrap type="none"/>
            </v:shape>
            <v:shape style="position:absolute;left:3981;top:3552;width:204;height:114" type="#_x0000_t202" filled="false" stroked="false">
              <v:textbox inset="0,0,0,0">
                <w:txbxContent>
                  <w:p>
                    <w:pPr>
                      <w:spacing w:line="114" w:lineRule="exact" w:before="0"/>
                      <w:ind w:left="0" w:right="0" w:firstLine="0"/>
                      <w:jc w:val="left"/>
                      <w:rPr>
                        <w:rFonts w:ascii="Calibri"/>
                        <w:sz w:val="11"/>
                      </w:rPr>
                    </w:pPr>
                    <w:r>
                      <w:rPr>
                        <w:rFonts w:ascii="Calibri"/>
                        <w:w w:val="105"/>
                        <w:sz w:val="11"/>
                      </w:rPr>
                      <w:t>bbb</w:t>
                    </w:r>
                  </w:p>
                </w:txbxContent>
              </v:textbox>
              <w10:wrap type="none"/>
            </v:shape>
            <v:shape style="position:absolute;left:2406;top:3552;width:1110;height:114" type="#_x0000_t202" filled="false" stroked="false">
              <v:textbox inset="0,0,0,0">
                <w:txbxContent>
                  <w:p>
                    <w:pPr>
                      <w:spacing w:line="114" w:lineRule="exact" w:before="0"/>
                      <w:ind w:left="0" w:right="0" w:firstLine="0"/>
                      <w:jc w:val="left"/>
                      <w:rPr>
                        <w:rFonts w:ascii="Calibri"/>
                        <w:sz w:val="11"/>
                      </w:rPr>
                    </w:pPr>
                    <w:r>
                      <w:rPr>
                        <w:rFonts w:ascii="Calibri"/>
                        <w:w w:val="105"/>
                        <w:sz w:val="11"/>
                      </w:rPr>
                      <w:t>Available Fund Balance</w:t>
                    </w:r>
                  </w:p>
                </w:txbxContent>
              </v:textbox>
              <w10:wrap type="none"/>
            </v:shape>
            <v:shape style="position:absolute;left:3790;top:3375;width:2083;height:114" type="#_x0000_t202" filled="false" stroked="false">
              <v:textbox inset="0,0,0,0">
                <w:txbxContent>
                  <w:p>
                    <w:pPr>
                      <w:spacing w:line="114" w:lineRule="exact" w:before="0"/>
                      <w:ind w:left="0" w:right="0" w:firstLine="0"/>
                      <w:jc w:val="left"/>
                      <w:rPr>
                        <w:rFonts w:ascii="Calibri"/>
                        <w:b/>
                        <w:sz w:val="11"/>
                      </w:rPr>
                    </w:pPr>
                    <w:r>
                      <w:rPr>
                        <w:rFonts w:ascii="Calibri"/>
                        <w:b/>
                        <w:w w:val="105"/>
                        <w:sz w:val="11"/>
                      </w:rPr>
                      <w:t>Financial Resilience Subfactor Assessment:</w:t>
                    </w:r>
                  </w:p>
                </w:txbxContent>
              </v:textbox>
              <w10:wrap type="none"/>
            </v:shape>
            <v:shape style="position:absolute;left:5207;top:3133;width:1328;height:114" type="#_x0000_t202" filled="false" stroked="false">
              <v:textbox inset="0,0,0,0">
                <w:txbxContent>
                  <w:p>
                    <w:pPr>
                      <w:tabs>
                        <w:tab w:pos="506" w:val="left" w:leader="none"/>
                        <w:tab w:pos="1013" w:val="left" w:leader="none"/>
                      </w:tabs>
                      <w:spacing w:line="114" w:lineRule="exact" w:before="0"/>
                      <w:ind w:left="0" w:right="0" w:firstLine="0"/>
                      <w:jc w:val="left"/>
                      <w:rPr>
                        <w:rFonts w:ascii="Calibri"/>
                        <w:sz w:val="11"/>
                      </w:rPr>
                    </w:pPr>
                    <w:r>
                      <w:rPr>
                        <w:rFonts w:ascii="Calibri"/>
                        <w:w w:val="105"/>
                        <w:sz w:val="11"/>
                      </w:rPr>
                      <w:t>Year</w:t>
                    </w:r>
                    <w:r>
                      <w:rPr>
                        <w:rFonts w:ascii="Calibri"/>
                        <w:spacing w:val="-5"/>
                        <w:w w:val="105"/>
                        <w:sz w:val="11"/>
                      </w:rPr>
                      <w:t> </w:t>
                    </w:r>
                    <w:r>
                      <w:rPr>
                        <w:rFonts w:ascii="Calibri"/>
                        <w:w w:val="105"/>
                        <w:sz w:val="11"/>
                      </w:rPr>
                      <w:t>1</w:t>
                      <w:tab/>
                      <w:t>Year</w:t>
                    </w:r>
                    <w:r>
                      <w:rPr>
                        <w:rFonts w:ascii="Calibri"/>
                        <w:spacing w:val="-5"/>
                        <w:w w:val="105"/>
                        <w:sz w:val="11"/>
                      </w:rPr>
                      <w:t> </w:t>
                    </w:r>
                    <w:r>
                      <w:rPr>
                        <w:rFonts w:ascii="Calibri"/>
                        <w:w w:val="105"/>
                        <w:sz w:val="11"/>
                      </w:rPr>
                      <w:t>2</w:t>
                      <w:tab/>
                      <w:t>Year</w:t>
                    </w:r>
                    <w:r>
                      <w:rPr>
                        <w:rFonts w:ascii="Calibri"/>
                        <w:spacing w:val="-4"/>
                        <w:w w:val="105"/>
                        <w:sz w:val="11"/>
                      </w:rPr>
                      <w:t> </w:t>
                    </w:r>
                    <w:r>
                      <w:rPr>
                        <w:rFonts w:ascii="Calibri"/>
                        <w:w w:val="105"/>
                        <w:sz w:val="11"/>
                      </w:rPr>
                      <w:t>3</w:t>
                    </w:r>
                  </w:p>
                </w:txbxContent>
              </v:textbox>
              <w10:wrap type="none"/>
            </v:shape>
            <v:shape style="position:absolute;left:4731;top:3133;width:253;height:114" type="#_x0000_t202" filled="false" stroked="false">
              <v:textbox inset="0,0,0,0">
                <w:txbxContent>
                  <w:p>
                    <w:pPr>
                      <w:spacing w:line="114" w:lineRule="exact" w:before="0"/>
                      <w:ind w:left="0" w:right="0" w:firstLine="0"/>
                      <w:jc w:val="left"/>
                      <w:rPr>
                        <w:rFonts w:ascii="Calibri"/>
                        <w:sz w:val="11"/>
                      </w:rPr>
                    </w:pPr>
                    <w:r>
                      <w:rPr>
                        <w:rFonts w:ascii="Calibri"/>
                        <w:w w:val="105"/>
                        <w:sz w:val="11"/>
                      </w:rPr>
                      <w:t>2017</w:t>
                    </w:r>
                  </w:p>
                </w:txbxContent>
              </v:textbox>
              <w10:wrap type="none"/>
            </v:shape>
            <v:shape style="position:absolute;left:4224;top:3133;width:253;height:114" type="#_x0000_t202" filled="false" stroked="false">
              <v:textbox inset="0,0,0,0">
                <w:txbxContent>
                  <w:p>
                    <w:pPr>
                      <w:spacing w:line="114" w:lineRule="exact" w:before="0"/>
                      <w:ind w:left="0" w:right="0" w:firstLine="0"/>
                      <w:jc w:val="left"/>
                      <w:rPr>
                        <w:rFonts w:ascii="Calibri"/>
                        <w:sz w:val="11"/>
                      </w:rPr>
                    </w:pPr>
                    <w:r>
                      <w:rPr>
                        <w:rFonts w:ascii="Calibri"/>
                        <w:w w:val="105"/>
                        <w:sz w:val="11"/>
                      </w:rPr>
                      <w:t>2016</w:t>
                    </w:r>
                  </w:p>
                </w:txbxContent>
              </v:textbox>
              <w10:wrap type="none"/>
            </v:shape>
            <v:shape style="position:absolute;left:3211;top:3133;width:760;height:114" type="#_x0000_t202" filled="false" stroked="false">
              <v:textbox inset="0,0,0,0">
                <w:txbxContent>
                  <w:p>
                    <w:pPr>
                      <w:tabs>
                        <w:tab w:pos="506" w:val="left" w:leader="none"/>
                      </w:tabs>
                      <w:spacing w:line="114" w:lineRule="exact" w:before="0"/>
                      <w:ind w:left="0" w:right="0" w:firstLine="0"/>
                      <w:jc w:val="left"/>
                      <w:rPr>
                        <w:rFonts w:ascii="Calibri"/>
                        <w:sz w:val="11"/>
                      </w:rPr>
                    </w:pPr>
                    <w:r>
                      <w:rPr>
                        <w:rFonts w:ascii="Calibri"/>
                        <w:w w:val="105"/>
                        <w:sz w:val="11"/>
                      </w:rPr>
                      <w:t>2014</w:t>
                      <w:tab/>
                      <w:t>2015</w:t>
                    </w:r>
                  </w:p>
                </w:txbxContent>
              </v:textbox>
              <w10:wrap type="none"/>
            </v:shape>
            <v:shape style="position:absolute;left:2705;top:3133;width:253;height:114" type="#_x0000_t202" filled="false" stroked="false">
              <v:textbox inset="0,0,0,0">
                <w:txbxContent>
                  <w:p>
                    <w:pPr>
                      <w:spacing w:line="114" w:lineRule="exact" w:before="0"/>
                      <w:ind w:left="0" w:right="0" w:firstLine="0"/>
                      <w:jc w:val="left"/>
                      <w:rPr>
                        <w:rFonts w:ascii="Calibri"/>
                        <w:sz w:val="11"/>
                      </w:rPr>
                    </w:pPr>
                    <w:r>
                      <w:rPr>
                        <w:rFonts w:ascii="Calibri"/>
                        <w:w w:val="105"/>
                        <w:sz w:val="11"/>
                      </w:rPr>
                      <w:t>2013</w:t>
                    </w:r>
                  </w:p>
                </w:txbxContent>
              </v:textbox>
              <w10:wrap type="none"/>
            </v:shape>
            <v:shape style="position:absolute;left:2198;top:3133;width:253;height:114" type="#_x0000_t202" filled="false" stroked="false">
              <v:textbox inset="0,0,0,0">
                <w:txbxContent>
                  <w:p>
                    <w:pPr>
                      <w:spacing w:line="114" w:lineRule="exact" w:before="0"/>
                      <w:ind w:left="0" w:right="0" w:firstLine="0"/>
                      <w:jc w:val="left"/>
                      <w:rPr>
                        <w:rFonts w:ascii="Calibri"/>
                        <w:sz w:val="11"/>
                      </w:rPr>
                    </w:pPr>
                    <w:r>
                      <w:rPr>
                        <w:rFonts w:ascii="Calibri"/>
                        <w:w w:val="105"/>
                        <w:sz w:val="11"/>
                      </w:rPr>
                      <w:t>2012</w:t>
                    </w:r>
                  </w:p>
                </w:txbxContent>
              </v:textbox>
              <w10:wrap type="none"/>
            </v:shape>
            <v:shape style="position:absolute;left:1411;top:1341;width:534;height:1906" type="#_x0000_t202" filled="false" stroked="false">
              <v:textbox inset="0,0,0,0">
                <w:txbxContent>
                  <w:p>
                    <w:pPr>
                      <w:spacing w:line="115" w:lineRule="exact" w:before="0"/>
                      <w:ind w:left="0" w:right="0" w:firstLine="0"/>
                      <w:jc w:val="left"/>
                      <w:rPr>
                        <w:rFonts w:ascii="Calibri"/>
                        <w:sz w:val="11"/>
                      </w:rPr>
                    </w:pPr>
                    <w:r>
                      <w:rPr>
                        <w:rFonts w:ascii="Calibri"/>
                        <w:w w:val="105"/>
                        <w:sz w:val="11"/>
                      </w:rPr>
                      <w:t>35.0%</w:t>
                    </w:r>
                  </w:p>
                  <w:p>
                    <w:pPr>
                      <w:spacing w:line="240" w:lineRule="auto" w:before="2"/>
                      <w:rPr>
                        <w:rFonts w:ascii="Calibri"/>
                        <w:sz w:val="8"/>
                      </w:rPr>
                    </w:pPr>
                  </w:p>
                  <w:p>
                    <w:pPr>
                      <w:spacing w:before="0"/>
                      <w:ind w:left="0" w:right="0" w:firstLine="0"/>
                      <w:jc w:val="left"/>
                      <w:rPr>
                        <w:rFonts w:ascii="Calibri"/>
                        <w:sz w:val="11"/>
                      </w:rPr>
                    </w:pPr>
                    <w:r>
                      <w:rPr>
                        <w:rFonts w:ascii="Calibri"/>
                        <w:w w:val="105"/>
                        <w:sz w:val="11"/>
                      </w:rPr>
                      <w:t>30.0%</w:t>
                    </w:r>
                  </w:p>
                  <w:p>
                    <w:pPr>
                      <w:spacing w:line="240" w:lineRule="auto" w:before="2"/>
                      <w:rPr>
                        <w:rFonts w:ascii="Calibri"/>
                        <w:sz w:val="8"/>
                      </w:rPr>
                    </w:pPr>
                  </w:p>
                  <w:p>
                    <w:pPr>
                      <w:spacing w:before="0"/>
                      <w:ind w:left="0" w:right="0" w:firstLine="0"/>
                      <w:jc w:val="left"/>
                      <w:rPr>
                        <w:rFonts w:ascii="Calibri"/>
                        <w:sz w:val="11"/>
                      </w:rPr>
                    </w:pPr>
                    <w:r>
                      <w:rPr>
                        <w:rFonts w:ascii="Calibri"/>
                        <w:w w:val="105"/>
                        <w:sz w:val="11"/>
                      </w:rPr>
                      <w:t>25.0%</w:t>
                    </w:r>
                  </w:p>
                  <w:p>
                    <w:pPr>
                      <w:spacing w:line="240" w:lineRule="auto" w:before="3"/>
                      <w:rPr>
                        <w:rFonts w:ascii="Calibri"/>
                        <w:sz w:val="8"/>
                      </w:rPr>
                    </w:pPr>
                  </w:p>
                  <w:p>
                    <w:pPr>
                      <w:spacing w:before="0"/>
                      <w:ind w:left="0" w:right="0" w:firstLine="0"/>
                      <w:jc w:val="left"/>
                      <w:rPr>
                        <w:rFonts w:ascii="Calibri"/>
                        <w:sz w:val="11"/>
                      </w:rPr>
                    </w:pPr>
                    <w:r>
                      <w:rPr>
                        <w:rFonts w:ascii="Calibri"/>
                        <w:w w:val="105"/>
                        <w:sz w:val="11"/>
                      </w:rPr>
                      <w:t>20.0%</w:t>
                    </w:r>
                  </w:p>
                  <w:p>
                    <w:pPr>
                      <w:spacing w:line="240" w:lineRule="auto" w:before="2"/>
                      <w:rPr>
                        <w:rFonts w:ascii="Calibri"/>
                        <w:sz w:val="8"/>
                      </w:rPr>
                    </w:pPr>
                  </w:p>
                  <w:p>
                    <w:pPr>
                      <w:spacing w:before="0"/>
                      <w:ind w:left="0" w:right="0" w:firstLine="0"/>
                      <w:jc w:val="left"/>
                      <w:rPr>
                        <w:rFonts w:ascii="Calibri"/>
                        <w:sz w:val="11"/>
                      </w:rPr>
                    </w:pPr>
                    <w:r>
                      <w:rPr>
                        <w:rFonts w:ascii="Calibri"/>
                        <w:w w:val="105"/>
                        <w:sz w:val="11"/>
                      </w:rPr>
                      <w:t>15.0%</w:t>
                    </w:r>
                  </w:p>
                  <w:p>
                    <w:pPr>
                      <w:spacing w:line="240" w:lineRule="auto" w:before="2"/>
                      <w:rPr>
                        <w:rFonts w:ascii="Calibri"/>
                        <w:sz w:val="8"/>
                      </w:rPr>
                    </w:pPr>
                  </w:p>
                  <w:p>
                    <w:pPr>
                      <w:spacing w:before="0"/>
                      <w:ind w:left="0" w:right="0" w:firstLine="0"/>
                      <w:jc w:val="left"/>
                      <w:rPr>
                        <w:rFonts w:ascii="Calibri"/>
                        <w:sz w:val="11"/>
                      </w:rPr>
                    </w:pPr>
                    <w:r>
                      <w:rPr>
                        <w:rFonts w:ascii="Calibri"/>
                        <w:w w:val="105"/>
                        <w:sz w:val="11"/>
                      </w:rPr>
                      <w:t>10.0%</w:t>
                    </w:r>
                  </w:p>
                  <w:p>
                    <w:pPr>
                      <w:spacing w:line="240" w:lineRule="auto" w:before="3"/>
                      <w:rPr>
                        <w:rFonts w:ascii="Calibri"/>
                        <w:sz w:val="8"/>
                      </w:rPr>
                    </w:pPr>
                  </w:p>
                  <w:p>
                    <w:pPr>
                      <w:spacing w:before="0"/>
                      <w:ind w:left="59" w:right="0" w:firstLine="0"/>
                      <w:jc w:val="left"/>
                      <w:rPr>
                        <w:rFonts w:ascii="Calibri"/>
                        <w:sz w:val="11"/>
                      </w:rPr>
                    </w:pPr>
                    <w:r>
                      <w:rPr>
                        <w:rFonts w:ascii="Calibri"/>
                        <w:w w:val="105"/>
                        <w:sz w:val="11"/>
                      </w:rPr>
                      <w:t>5.0%</w:t>
                    </w:r>
                  </w:p>
                  <w:p>
                    <w:pPr>
                      <w:spacing w:line="240" w:lineRule="auto" w:before="2"/>
                      <w:rPr>
                        <w:rFonts w:ascii="Calibri"/>
                        <w:sz w:val="8"/>
                      </w:rPr>
                    </w:pPr>
                  </w:p>
                  <w:p>
                    <w:pPr>
                      <w:spacing w:before="0"/>
                      <w:ind w:left="59" w:right="0" w:firstLine="0"/>
                      <w:jc w:val="left"/>
                      <w:rPr>
                        <w:rFonts w:ascii="Calibri"/>
                        <w:sz w:val="11"/>
                      </w:rPr>
                    </w:pPr>
                    <w:r>
                      <w:rPr>
                        <w:rFonts w:ascii="Calibri"/>
                        <w:w w:val="105"/>
                        <w:sz w:val="11"/>
                      </w:rPr>
                      <w:t>0.0%</w:t>
                    </w:r>
                  </w:p>
                  <w:p>
                    <w:pPr>
                      <w:spacing w:line="133" w:lineRule="exact" w:before="18"/>
                      <w:ind w:left="280" w:right="0" w:firstLine="0"/>
                      <w:jc w:val="left"/>
                      <w:rPr>
                        <w:rFonts w:ascii="Calibri"/>
                        <w:sz w:val="11"/>
                      </w:rPr>
                    </w:pPr>
                    <w:r>
                      <w:rPr>
                        <w:rFonts w:ascii="Calibri"/>
                        <w:w w:val="105"/>
                        <w:sz w:val="11"/>
                      </w:rPr>
                      <w:t>2011</w:t>
                    </w:r>
                  </w:p>
                </w:txbxContent>
              </v:textbox>
              <w10:wrap type="none"/>
            </v:shape>
            <v:shape style="position:absolute;left:4517;top:1027;width:895;height:114" type="#_x0000_t202" filled="false" stroked="false">
              <v:textbox inset="0,0,0,0">
                <w:txbxContent>
                  <w:p>
                    <w:pPr>
                      <w:spacing w:line="114" w:lineRule="exact" w:before="0"/>
                      <w:ind w:left="0" w:right="0" w:firstLine="0"/>
                      <w:jc w:val="left"/>
                      <w:rPr>
                        <w:rFonts w:ascii="Calibri"/>
                        <w:sz w:val="11"/>
                      </w:rPr>
                    </w:pPr>
                    <w:r>
                      <w:rPr>
                        <w:rFonts w:ascii="Calibri"/>
                        <w:w w:val="105"/>
                        <w:sz w:val="11"/>
                      </w:rPr>
                      <w:t>Actual Scenario</w:t>
                    </w:r>
                  </w:p>
                </w:txbxContent>
              </v:textbox>
              <w10:wrap type="none"/>
            </v:shape>
            <v:shape style="position:absolute;left:1411;top:901;width:2813;height:321" type="#_x0000_t202" filled="false" stroked="false">
              <v:textbox inset="0,0,0,0">
                <w:txbxContent>
                  <w:p>
                    <w:pPr>
                      <w:spacing w:before="0"/>
                      <w:ind w:left="85" w:right="0" w:firstLine="0"/>
                      <w:jc w:val="left"/>
                      <w:rPr>
                        <w:b/>
                        <w:sz w:val="11"/>
                      </w:rPr>
                    </w:pPr>
                    <w:r>
                      <w:rPr>
                        <w:b/>
                        <w:w w:val="105"/>
                        <w:sz w:val="11"/>
                      </w:rPr>
                      <w:t>Reserve Safety Margin in an Unaddressed Stress</w:t>
                    </w:r>
                  </w:p>
                  <w:p>
                    <w:pPr>
                      <w:spacing w:line="133" w:lineRule="exact" w:before="60"/>
                      <w:ind w:left="0" w:right="0" w:firstLine="0"/>
                      <w:jc w:val="left"/>
                      <w:rPr>
                        <w:rFonts w:ascii="Calibri"/>
                        <w:sz w:val="11"/>
                      </w:rPr>
                    </w:pPr>
                    <w:r>
                      <w:rPr>
                        <w:rFonts w:ascii="Calibri"/>
                        <w:w w:val="105"/>
                        <w:sz w:val="11"/>
                      </w:rPr>
                      <w:t>40.0%</w:t>
                    </w:r>
                  </w:p>
                </w:txbxContent>
              </v:textbox>
              <w10:wrap type="none"/>
            </v:shape>
            <w10:wrap type="none"/>
          </v:group>
        </w:pict>
      </w:r>
      <w:r>
        <w:rPr/>
        <w:pict>
          <v:shape style="position:absolute;margin-left:350.505554pt;margin-top:48.864178pt;width:214.5pt;height:140.25pt;mso-position-horizontal-relative:page;mso-position-vertical-relative:paragraph;z-index:2200" type="#_x0000_t202" filled="false" stroked="true" strokeweight=".43774pt" strokecolor="#000000">
            <v:textbox inset="0,0,0,0">
              <w:txbxContent>
                <w:p>
                  <w:pPr>
                    <w:spacing w:line="297" w:lineRule="auto" w:before="12"/>
                    <w:ind w:left="17" w:right="131" w:firstLine="0"/>
                    <w:jc w:val="left"/>
                    <w:rPr>
                      <w:sz w:val="8"/>
                    </w:rPr>
                  </w:pPr>
                  <w:r>
                    <w:rPr>
                      <w:w w:val="110"/>
                      <w:sz w:val="8"/>
                    </w:rPr>
                    <w:t>Throughout the Great Recession, the district maintained a strong financial cushion despite the recessionary pressures and state funding cuts. Moreover, the district retains solid expenditure flexibility to</w:t>
                  </w:r>
                </w:p>
                <w:p>
                  <w:pPr>
                    <w:spacing w:line="297" w:lineRule="auto" w:before="0"/>
                    <w:ind w:left="17" w:right="47" w:firstLine="0"/>
                    <w:jc w:val="left"/>
                    <w:rPr>
                      <w:sz w:val="8"/>
                    </w:rPr>
                  </w:pPr>
                  <w:r>
                    <w:rPr>
                      <w:w w:val="110"/>
                      <w:sz w:val="8"/>
                    </w:rPr>
                    <w:t>manage well through economic downturns. Fiscal 2017 general fund reserves stood at a strong $119 million (35% of spending). While the fiscal 2018 adopted budget reflects a $13.9 million general fund deficit, management indicates that the bulk of this drawdown is due to one-time capital needs (which are board approved). Given the district's conservative budgeting practices, by the close of the fiscal year, the drawdown is expected to be less than budgeted. Even if the $13.9 million drawdown were fully realized, the unrestricted general fund balance would still account for 31% of operating expenditures, which remains commensurate with the 'aaa' financial resilience assessment. Given the district's history of conservative budgeting and maintenance of robust reserve levels (averaging 30% of operating expenses at year-end), Fitch anticipates that the district will continue to maintain its ample financial cushion. The district has a commitment to maintaining a sizeable financial cushion, as its minimum fund balance target is 22% of operating expenses.</w:t>
                  </w:r>
                </w:p>
                <w:p>
                  <w:pPr>
                    <w:pStyle w:val="BodyText"/>
                    <w:spacing w:before="3"/>
                    <w:rPr>
                      <w:rFonts w:ascii="Calibri"/>
                      <w:sz w:val="9"/>
                    </w:rPr>
                  </w:pPr>
                </w:p>
                <w:p>
                  <w:pPr>
                    <w:spacing w:line="297" w:lineRule="auto" w:before="0"/>
                    <w:ind w:left="17" w:right="131" w:firstLine="0"/>
                    <w:jc w:val="left"/>
                    <w:rPr>
                      <w:sz w:val="8"/>
                    </w:rPr>
                  </w:pPr>
                  <w:r>
                    <w:rPr>
                      <w:w w:val="110"/>
                      <w:sz w:val="8"/>
                    </w:rPr>
                    <w:t>The operational impact of TAV declines is largely mitigated by the state's funding formulas, which backfill lost local revenues with additional state aid. This backstop serves to limit revenue volatility. The district benefits from an exceptionally strong gap-closing capacity. Fitch expects that the district will manage through economic downturns while maintaining ample reserves and a high level of fundamental financial flexibility.</w:t>
                  </w:r>
                </w:p>
                <w:p>
                  <w:pPr>
                    <w:pStyle w:val="BodyText"/>
                    <w:spacing w:before="3"/>
                    <w:rPr>
                      <w:rFonts w:ascii="Calibri"/>
                      <w:sz w:val="9"/>
                    </w:rPr>
                  </w:pPr>
                </w:p>
                <w:p>
                  <w:pPr>
                    <w:spacing w:line="297" w:lineRule="auto" w:before="0"/>
                    <w:ind w:left="17" w:right="131" w:firstLine="0"/>
                    <w:jc w:val="left"/>
                    <w:rPr>
                      <w:sz w:val="8"/>
                    </w:rPr>
                  </w:pPr>
                  <w:r>
                    <w:rPr>
                      <w:w w:val="110"/>
                      <w:sz w:val="8"/>
                    </w:rPr>
                    <w:t>The district's ability to maintain a strong financial cushion and better-than-adequate expenditure flexibility, despite recessionary pressures and state funding cuts is strength and has enabled the district to management well through the economic cycle. The district's overall operating performance is expected to remain very strong, over the near-term.</w:t>
                  </w:r>
                </w:p>
              </w:txbxContent>
            </v:textbox>
            <v:stroke dashstyle="solid"/>
            <w10:wrap type="none"/>
          </v:shape>
        </w:pict>
      </w:r>
      <w:r>
        <w:rPr>
          <w:rFonts w:ascii="Trebuchet MS"/>
          <w:b/>
          <w:w w:val="105"/>
          <w:sz w:val="14"/>
        </w:rPr>
        <w:t>Scenario</w:t>
      </w:r>
      <w:r>
        <w:rPr>
          <w:rFonts w:ascii="Trebuchet MS"/>
          <w:b/>
          <w:spacing w:val="-13"/>
          <w:w w:val="105"/>
          <w:sz w:val="14"/>
        </w:rPr>
        <w:t> </w:t>
      </w:r>
      <w:r>
        <w:rPr>
          <w:rFonts w:ascii="Trebuchet MS"/>
          <w:b/>
          <w:w w:val="105"/>
          <w:sz w:val="14"/>
        </w:rPr>
        <w:t>Analysis</w:t>
        <w:tab/>
      </w:r>
      <w:r>
        <w:rPr>
          <w:rFonts w:ascii="Calibri"/>
          <w:w w:val="105"/>
          <w:sz w:val="9"/>
        </w:rPr>
        <w:t>v. 2.0</w:t>
      </w:r>
      <w:r>
        <w:rPr>
          <w:rFonts w:ascii="Calibri"/>
          <w:spacing w:val="-2"/>
          <w:w w:val="105"/>
          <w:sz w:val="9"/>
        </w:rPr>
        <w:t> </w:t>
      </w:r>
      <w:r>
        <w:rPr>
          <w:rFonts w:ascii="Calibri"/>
          <w:w w:val="105"/>
          <w:sz w:val="9"/>
        </w:rPr>
        <w:t>2017/03/24</w:t>
      </w:r>
    </w:p>
    <w:p>
      <w:pPr>
        <w:pStyle w:val="BodyText"/>
        <w:spacing w:before="10"/>
        <w:rPr>
          <w:rFonts w:ascii="Calibri"/>
          <w:sz w:val="15"/>
        </w:rPr>
      </w:pPr>
      <w:r>
        <w:rPr/>
        <w:pict>
          <v:group style="position:absolute;margin-left:69.69519pt;margin-top:11.609698pt;width:495.55pt;height:11.85pt;mso-position-horizontal-relative:page;mso-position-vertical-relative:paragraph;z-index:-928;mso-wrap-distance-left:0;mso-wrap-distance-right:0" coordorigin="1394,232" coordsize="9911,237">
            <v:rect style="position:absolute;left:1393;top:240;width:9911;height:228" filled="true" fillcolor="#dadada" stroked="false">
              <v:fill type="solid"/>
            </v:rect>
            <v:rect style="position:absolute;left:1393;top:232;width:9911;height:18" filled="true" fillcolor="#000000" stroked="false">
              <v:fill type="solid"/>
            </v:rect>
            <v:rect style="position:absolute;left:1393;top:451;width:9911;height:18" filled="true" fillcolor="#000000" stroked="false">
              <v:fill type="solid"/>
            </v:rect>
            <w10:wrap type="topAndBottom"/>
          </v:group>
        </w:pict>
      </w: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7" w:after="1"/>
        <w:rPr>
          <w:rFonts w:ascii="Calibri"/>
          <w:sz w:val="10"/>
        </w:rPr>
      </w:pPr>
    </w:p>
    <w:tbl>
      <w:tblPr>
        <w:tblW w:w="0" w:type="auto"/>
        <w:jc w:val="left"/>
        <w:tblInd w:w="14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063"/>
        <w:gridCol w:w="738"/>
        <w:gridCol w:w="613"/>
        <w:gridCol w:w="496"/>
      </w:tblGrid>
      <w:tr>
        <w:trPr>
          <w:trHeight w:val="199" w:hRule="atLeast"/>
        </w:trPr>
        <w:tc>
          <w:tcPr>
            <w:tcW w:w="8063" w:type="dxa"/>
            <w:shd w:val="clear" w:color="auto" w:fill="1F497D"/>
          </w:tcPr>
          <w:p>
            <w:pPr>
              <w:pStyle w:val="TableParagraph"/>
              <w:spacing w:line="148" w:lineRule="exact" w:before="32"/>
              <w:ind w:left="26"/>
              <w:jc w:val="left"/>
              <w:rPr>
                <w:rFonts w:ascii="Calibri"/>
                <w:b/>
                <w:sz w:val="13"/>
              </w:rPr>
            </w:pPr>
            <w:r>
              <w:rPr>
                <w:rFonts w:ascii="Calibri"/>
                <w:b/>
                <w:color w:val="FFFFFF"/>
                <w:sz w:val="13"/>
              </w:rPr>
              <w:t>Scenario Parameters:</w:t>
            </w:r>
          </w:p>
        </w:tc>
        <w:tc>
          <w:tcPr>
            <w:tcW w:w="738" w:type="dxa"/>
            <w:shd w:val="clear" w:color="auto" w:fill="1F497D"/>
          </w:tcPr>
          <w:p>
            <w:pPr>
              <w:pStyle w:val="TableParagraph"/>
              <w:spacing w:line="148" w:lineRule="exact" w:before="32"/>
              <w:ind w:right="135"/>
              <w:rPr>
                <w:rFonts w:ascii="Calibri"/>
                <w:b/>
                <w:sz w:val="13"/>
              </w:rPr>
            </w:pPr>
            <w:r>
              <w:rPr>
                <w:rFonts w:ascii="Calibri"/>
                <w:b/>
                <w:color w:val="FFFFFF"/>
                <w:sz w:val="13"/>
              </w:rPr>
              <w:t>Year 1</w:t>
            </w:r>
          </w:p>
        </w:tc>
        <w:tc>
          <w:tcPr>
            <w:tcW w:w="613" w:type="dxa"/>
            <w:shd w:val="clear" w:color="auto" w:fill="1F497D"/>
          </w:tcPr>
          <w:p>
            <w:pPr>
              <w:pStyle w:val="TableParagraph"/>
              <w:spacing w:line="148" w:lineRule="exact" w:before="32"/>
              <w:ind w:left="117" w:right="117"/>
              <w:jc w:val="center"/>
              <w:rPr>
                <w:rFonts w:ascii="Calibri"/>
                <w:b/>
                <w:sz w:val="13"/>
              </w:rPr>
            </w:pPr>
            <w:r>
              <w:rPr>
                <w:rFonts w:ascii="Calibri"/>
                <w:b/>
                <w:color w:val="FFFFFF"/>
                <w:sz w:val="13"/>
              </w:rPr>
              <w:t>Year 2</w:t>
            </w:r>
          </w:p>
        </w:tc>
        <w:tc>
          <w:tcPr>
            <w:tcW w:w="496" w:type="dxa"/>
            <w:shd w:val="clear" w:color="auto" w:fill="1F497D"/>
          </w:tcPr>
          <w:p>
            <w:pPr>
              <w:pStyle w:val="TableParagraph"/>
              <w:spacing w:line="148" w:lineRule="exact" w:before="32"/>
              <w:ind w:right="18"/>
              <w:rPr>
                <w:rFonts w:ascii="Calibri"/>
                <w:b/>
                <w:sz w:val="13"/>
              </w:rPr>
            </w:pPr>
            <w:r>
              <w:rPr>
                <w:rFonts w:ascii="Calibri"/>
                <w:b/>
                <w:color w:val="FFFFFF"/>
                <w:sz w:val="13"/>
              </w:rPr>
              <w:t>Year 3</w:t>
            </w:r>
          </w:p>
        </w:tc>
      </w:tr>
      <w:tr>
        <w:trPr>
          <w:trHeight w:val="216" w:hRule="atLeast"/>
        </w:trPr>
        <w:tc>
          <w:tcPr>
            <w:tcW w:w="8063" w:type="dxa"/>
          </w:tcPr>
          <w:p>
            <w:pPr>
              <w:pStyle w:val="TableParagraph"/>
              <w:spacing w:before="34"/>
              <w:ind w:left="26"/>
              <w:jc w:val="left"/>
              <w:rPr>
                <w:rFonts w:ascii="Calibri"/>
                <w:sz w:val="13"/>
              </w:rPr>
            </w:pPr>
            <w:r>
              <w:rPr>
                <w:rFonts w:ascii="Calibri"/>
                <w:sz w:val="13"/>
              </w:rPr>
              <w:t>GDP Assumption (% Change)</w:t>
            </w:r>
          </w:p>
        </w:tc>
        <w:tc>
          <w:tcPr>
            <w:tcW w:w="738" w:type="dxa"/>
            <w:shd w:val="clear" w:color="auto" w:fill="DCE6F1"/>
          </w:tcPr>
          <w:p>
            <w:pPr>
              <w:pStyle w:val="TableParagraph"/>
              <w:spacing w:before="16"/>
              <w:ind w:right="144"/>
              <w:rPr>
                <w:rFonts w:ascii="Calibri"/>
                <w:sz w:val="13"/>
              </w:rPr>
            </w:pPr>
            <w:r>
              <w:rPr>
                <w:rFonts w:ascii="Calibri"/>
                <w:sz w:val="13"/>
              </w:rPr>
              <w:t>(1.0%)</w:t>
            </w:r>
          </w:p>
        </w:tc>
        <w:tc>
          <w:tcPr>
            <w:tcW w:w="613" w:type="dxa"/>
            <w:shd w:val="clear" w:color="auto" w:fill="DCE6F1"/>
          </w:tcPr>
          <w:p>
            <w:pPr>
              <w:pStyle w:val="TableParagraph"/>
              <w:spacing w:before="16"/>
              <w:ind w:left="117" w:right="51"/>
              <w:jc w:val="center"/>
              <w:rPr>
                <w:rFonts w:ascii="Calibri"/>
                <w:sz w:val="13"/>
              </w:rPr>
            </w:pPr>
            <w:r>
              <w:rPr>
                <w:rFonts w:ascii="Calibri"/>
                <w:sz w:val="13"/>
              </w:rPr>
              <w:t>0.5%</w:t>
            </w:r>
          </w:p>
        </w:tc>
        <w:tc>
          <w:tcPr>
            <w:tcW w:w="496" w:type="dxa"/>
            <w:shd w:val="clear" w:color="auto" w:fill="DCE6F1"/>
          </w:tcPr>
          <w:p>
            <w:pPr>
              <w:pStyle w:val="TableParagraph"/>
              <w:spacing w:before="16"/>
              <w:ind w:right="31"/>
              <w:rPr>
                <w:rFonts w:ascii="Calibri"/>
                <w:sz w:val="13"/>
              </w:rPr>
            </w:pPr>
            <w:r>
              <w:rPr>
                <w:rFonts w:ascii="Calibri"/>
                <w:sz w:val="13"/>
              </w:rPr>
              <w:t>2.0%</w:t>
            </w:r>
          </w:p>
        </w:tc>
      </w:tr>
      <w:tr>
        <w:trPr>
          <w:trHeight w:val="201" w:hRule="atLeast"/>
        </w:trPr>
        <w:tc>
          <w:tcPr>
            <w:tcW w:w="8063" w:type="dxa"/>
          </w:tcPr>
          <w:p>
            <w:pPr>
              <w:pStyle w:val="TableParagraph"/>
              <w:spacing w:before="18"/>
              <w:ind w:left="26"/>
              <w:jc w:val="left"/>
              <w:rPr>
                <w:rFonts w:ascii="Calibri"/>
                <w:sz w:val="13"/>
              </w:rPr>
            </w:pPr>
            <w:r>
              <w:rPr>
                <w:rFonts w:ascii="Calibri"/>
                <w:sz w:val="13"/>
              </w:rPr>
              <w:t>Expenditure Assumption (% Change)</w:t>
            </w:r>
          </w:p>
        </w:tc>
        <w:tc>
          <w:tcPr>
            <w:tcW w:w="738" w:type="dxa"/>
            <w:shd w:val="clear" w:color="auto" w:fill="DCE6F1"/>
          </w:tcPr>
          <w:p>
            <w:pPr>
              <w:pStyle w:val="TableParagraph"/>
              <w:spacing w:before="1"/>
              <w:ind w:right="149"/>
              <w:rPr>
                <w:rFonts w:ascii="Calibri"/>
                <w:sz w:val="13"/>
              </w:rPr>
            </w:pPr>
            <w:r>
              <w:rPr>
                <w:rFonts w:ascii="Calibri"/>
                <w:sz w:val="13"/>
              </w:rPr>
              <w:t>2.0%</w:t>
            </w:r>
          </w:p>
        </w:tc>
        <w:tc>
          <w:tcPr>
            <w:tcW w:w="613" w:type="dxa"/>
            <w:shd w:val="clear" w:color="auto" w:fill="DCE6F1"/>
          </w:tcPr>
          <w:p>
            <w:pPr>
              <w:pStyle w:val="TableParagraph"/>
              <w:spacing w:before="1"/>
              <w:ind w:left="117" w:right="51"/>
              <w:jc w:val="center"/>
              <w:rPr>
                <w:rFonts w:ascii="Calibri"/>
                <w:sz w:val="13"/>
              </w:rPr>
            </w:pPr>
            <w:r>
              <w:rPr>
                <w:rFonts w:ascii="Calibri"/>
                <w:sz w:val="13"/>
              </w:rPr>
              <w:t>2.0%</w:t>
            </w:r>
          </w:p>
        </w:tc>
        <w:tc>
          <w:tcPr>
            <w:tcW w:w="496" w:type="dxa"/>
            <w:shd w:val="clear" w:color="auto" w:fill="DCE6F1"/>
          </w:tcPr>
          <w:p>
            <w:pPr>
              <w:pStyle w:val="TableParagraph"/>
              <w:spacing w:before="1"/>
              <w:ind w:right="31"/>
              <w:rPr>
                <w:rFonts w:ascii="Calibri"/>
                <w:sz w:val="13"/>
              </w:rPr>
            </w:pPr>
            <w:r>
              <w:rPr>
                <w:rFonts w:ascii="Calibri"/>
                <w:sz w:val="13"/>
              </w:rPr>
              <w:t>2.0%</w:t>
            </w:r>
          </w:p>
        </w:tc>
      </w:tr>
      <w:tr>
        <w:trPr>
          <w:trHeight w:val="210" w:hRule="atLeast"/>
        </w:trPr>
        <w:tc>
          <w:tcPr>
            <w:tcW w:w="8063" w:type="dxa"/>
          </w:tcPr>
          <w:p>
            <w:pPr>
              <w:pStyle w:val="TableParagraph"/>
              <w:spacing w:before="18"/>
              <w:ind w:left="26"/>
              <w:jc w:val="left"/>
              <w:rPr>
                <w:rFonts w:ascii="Calibri"/>
                <w:sz w:val="13"/>
              </w:rPr>
            </w:pPr>
            <w:r>
              <w:rPr>
                <w:rFonts w:ascii="Calibri"/>
                <w:sz w:val="13"/>
              </w:rPr>
              <w:t>Revenue Output (% Change)</w:t>
            </w:r>
          </w:p>
        </w:tc>
        <w:tc>
          <w:tcPr>
            <w:tcW w:w="738" w:type="dxa"/>
            <w:shd w:val="clear" w:color="auto" w:fill="DCE6F1"/>
          </w:tcPr>
          <w:p>
            <w:pPr>
              <w:pStyle w:val="TableParagraph"/>
              <w:spacing w:before="1"/>
              <w:ind w:right="144"/>
              <w:rPr>
                <w:rFonts w:ascii="Calibri"/>
                <w:sz w:val="13"/>
              </w:rPr>
            </w:pPr>
            <w:r>
              <w:rPr>
                <w:rFonts w:ascii="Calibri"/>
                <w:sz w:val="13"/>
              </w:rPr>
              <w:t>(1.0%)</w:t>
            </w:r>
          </w:p>
        </w:tc>
        <w:tc>
          <w:tcPr>
            <w:tcW w:w="613" w:type="dxa"/>
            <w:shd w:val="clear" w:color="auto" w:fill="DCE6F1"/>
          </w:tcPr>
          <w:p>
            <w:pPr>
              <w:pStyle w:val="TableParagraph"/>
              <w:spacing w:before="1"/>
              <w:ind w:left="117" w:right="51"/>
              <w:jc w:val="center"/>
              <w:rPr>
                <w:rFonts w:ascii="Calibri"/>
                <w:sz w:val="13"/>
              </w:rPr>
            </w:pPr>
            <w:r>
              <w:rPr>
                <w:rFonts w:ascii="Calibri"/>
                <w:sz w:val="13"/>
              </w:rPr>
              <w:t>3.4%</w:t>
            </w:r>
          </w:p>
        </w:tc>
        <w:tc>
          <w:tcPr>
            <w:tcW w:w="496" w:type="dxa"/>
            <w:shd w:val="clear" w:color="auto" w:fill="DCE6F1"/>
          </w:tcPr>
          <w:p>
            <w:pPr>
              <w:pStyle w:val="TableParagraph"/>
              <w:spacing w:before="1"/>
              <w:ind w:right="31"/>
              <w:rPr>
                <w:rFonts w:ascii="Calibri"/>
                <w:sz w:val="13"/>
              </w:rPr>
            </w:pPr>
            <w:r>
              <w:rPr>
                <w:rFonts w:ascii="Calibri"/>
                <w:sz w:val="13"/>
              </w:rPr>
              <w:t>5.3%</w:t>
            </w:r>
          </w:p>
        </w:tc>
      </w:tr>
      <w:tr>
        <w:trPr>
          <w:trHeight w:val="177" w:hRule="atLeast"/>
        </w:trPr>
        <w:tc>
          <w:tcPr>
            <w:tcW w:w="8063" w:type="dxa"/>
          </w:tcPr>
          <w:p>
            <w:pPr>
              <w:pStyle w:val="TableParagraph"/>
              <w:spacing w:line="148" w:lineRule="exact"/>
              <w:ind w:left="26"/>
              <w:jc w:val="left"/>
              <w:rPr>
                <w:rFonts w:ascii="Calibri"/>
                <w:sz w:val="13"/>
              </w:rPr>
            </w:pPr>
            <w:r>
              <w:rPr>
                <w:rFonts w:ascii="Calibri"/>
                <w:sz w:val="13"/>
              </w:rPr>
              <w:t>Inherent Budget Flexibility</w:t>
            </w:r>
          </w:p>
        </w:tc>
        <w:tc>
          <w:tcPr>
            <w:tcW w:w="738" w:type="dxa"/>
          </w:tcPr>
          <w:p>
            <w:pPr>
              <w:pStyle w:val="TableParagraph"/>
              <w:spacing w:before="0"/>
              <w:jc w:val="left"/>
              <w:rPr>
                <w:rFonts w:ascii="Times New Roman"/>
                <w:sz w:val="10"/>
              </w:rPr>
            </w:pPr>
          </w:p>
        </w:tc>
        <w:tc>
          <w:tcPr>
            <w:tcW w:w="613" w:type="dxa"/>
          </w:tcPr>
          <w:p>
            <w:pPr>
              <w:pStyle w:val="TableParagraph"/>
              <w:spacing w:before="0"/>
              <w:jc w:val="left"/>
              <w:rPr>
                <w:rFonts w:ascii="Times New Roman"/>
                <w:sz w:val="10"/>
              </w:rPr>
            </w:pPr>
          </w:p>
        </w:tc>
        <w:tc>
          <w:tcPr>
            <w:tcW w:w="496" w:type="dxa"/>
          </w:tcPr>
          <w:p>
            <w:pPr>
              <w:pStyle w:val="TableParagraph"/>
              <w:spacing w:before="0"/>
              <w:jc w:val="left"/>
              <w:rPr>
                <w:rFonts w:ascii="Times New Roman"/>
                <w:sz w:val="10"/>
              </w:rPr>
            </w:pPr>
          </w:p>
        </w:tc>
      </w:tr>
    </w:tbl>
    <w:p>
      <w:pPr>
        <w:pStyle w:val="BodyText"/>
        <w:spacing w:before="2"/>
        <w:rPr>
          <w:rFonts w:ascii="Calibri"/>
          <w:sz w:val="12"/>
        </w:rPr>
      </w:pPr>
      <w:r>
        <w:rPr/>
        <w:pict>
          <v:group style="position:absolute;margin-left:69.69519pt;margin-top:9.641126pt;width:495.55pt;height:20.6pt;mso-position-horizontal-relative:page;mso-position-vertical-relative:paragraph;z-index:-736;mso-wrap-distance-left:0;mso-wrap-distance-right:0" coordorigin="1394,193" coordsize="9911,412">
            <v:rect style="position:absolute;left:1393;top:192;width:9911;height:412" filled="true" fillcolor="#1f497d" stroked="false">
              <v:fill type="solid"/>
            </v:rect>
            <v:line style="position:absolute" from="5167,193" to="5167,605" stroked="true" strokeweight="0pt" strokecolor="#ffffff">
              <v:stroke dashstyle="solid"/>
            </v:line>
            <v:line style="position:absolute" from="5172,193" to="5172,605" stroked="true" strokeweight=".43774pt" strokecolor="#ffffff">
              <v:stroke dashstyle="solid"/>
            </v:line>
            <v:shape style="position:absolute;left:1420;top:260;width:2337;height:132" type="#_x0000_t202" filled="false" stroked="false">
              <v:textbox inset="0,0,0,0">
                <w:txbxContent>
                  <w:p>
                    <w:pPr>
                      <w:spacing w:line="131" w:lineRule="exact" w:before="0"/>
                      <w:ind w:left="0" w:right="0" w:firstLine="0"/>
                      <w:jc w:val="left"/>
                      <w:rPr>
                        <w:rFonts w:ascii="Calibri"/>
                        <w:b/>
                        <w:sz w:val="13"/>
                      </w:rPr>
                    </w:pPr>
                    <w:r>
                      <w:rPr>
                        <w:rFonts w:ascii="Calibri"/>
                        <w:b/>
                        <w:color w:val="FFFFFF"/>
                        <w:sz w:val="13"/>
                      </w:rPr>
                      <w:t>Revenues, Expenditures, and Fund Balance</w:t>
                    </w:r>
                  </w:p>
                </w:txbxContent>
              </v:textbox>
              <w10:wrap type="none"/>
            </v:shape>
            <v:shape style="position:absolute;left:5517;top:462;width:266;height:132" type="#_x0000_t202" filled="false" stroked="false">
              <v:textbox inset="0,0,0,0">
                <w:txbxContent>
                  <w:p>
                    <w:pPr>
                      <w:spacing w:line="131" w:lineRule="exact" w:before="0"/>
                      <w:ind w:left="0" w:right="0" w:firstLine="0"/>
                      <w:jc w:val="left"/>
                      <w:rPr>
                        <w:rFonts w:ascii="Calibri"/>
                        <w:b/>
                        <w:sz w:val="13"/>
                      </w:rPr>
                    </w:pPr>
                    <w:r>
                      <w:rPr>
                        <w:rFonts w:ascii="Calibri"/>
                        <w:b/>
                        <w:color w:val="FFFFFF"/>
                        <w:sz w:val="13"/>
                      </w:rPr>
                      <w:t>2011</w:t>
                    </w:r>
                  </w:p>
                </w:txbxContent>
              </v:textbox>
              <w10:wrap type="none"/>
            </v:shape>
            <v:shape style="position:absolute;left:6130;top:462;width:266;height:132" type="#_x0000_t202" filled="false" stroked="false">
              <v:textbox inset="0,0,0,0">
                <w:txbxContent>
                  <w:p>
                    <w:pPr>
                      <w:spacing w:line="131" w:lineRule="exact" w:before="0"/>
                      <w:ind w:left="0" w:right="0" w:firstLine="0"/>
                      <w:jc w:val="left"/>
                      <w:rPr>
                        <w:rFonts w:ascii="Calibri"/>
                        <w:b/>
                        <w:sz w:val="13"/>
                      </w:rPr>
                    </w:pPr>
                    <w:r>
                      <w:rPr>
                        <w:rFonts w:ascii="Calibri"/>
                        <w:b/>
                        <w:color w:val="FFFFFF"/>
                        <w:sz w:val="13"/>
                      </w:rPr>
                      <w:t>2012</w:t>
                    </w:r>
                  </w:p>
                </w:txbxContent>
              </v:textbox>
              <w10:wrap type="none"/>
            </v:shape>
            <v:shape style="position:absolute;left:6743;top:260;width:879;height:334" type="#_x0000_t202" filled="false" stroked="false">
              <v:textbox inset="0,0,0,0">
                <w:txbxContent>
                  <w:p>
                    <w:pPr>
                      <w:spacing w:line="134" w:lineRule="exact" w:before="0"/>
                      <w:ind w:left="376" w:right="0" w:firstLine="0"/>
                      <w:jc w:val="left"/>
                      <w:rPr>
                        <w:rFonts w:ascii="Calibri"/>
                        <w:b/>
                        <w:sz w:val="13"/>
                      </w:rPr>
                    </w:pPr>
                    <w:r>
                      <w:rPr>
                        <w:rFonts w:ascii="Calibri"/>
                        <w:b/>
                        <w:color w:val="FFFFFF"/>
                        <w:sz w:val="13"/>
                      </w:rPr>
                      <w:t>Actuals</w:t>
                    </w:r>
                  </w:p>
                  <w:p>
                    <w:pPr>
                      <w:tabs>
                        <w:tab w:pos="612" w:val="left" w:leader="none"/>
                      </w:tabs>
                      <w:spacing w:line="157" w:lineRule="exact" w:before="43"/>
                      <w:ind w:left="0" w:right="0" w:firstLine="0"/>
                      <w:jc w:val="left"/>
                      <w:rPr>
                        <w:rFonts w:ascii="Calibri"/>
                        <w:b/>
                        <w:sz w:val="13"/>
                      </w:rPr>
                    </w:pPr>
                    <w:r>
                      <w:rPr>
                        <w:rFonts w:ascii="Calibri"/>
                        <w:b/>
                        <w:color w:val="FFFFFF"/>
                        <w:spacing w:val="-5"/>
                        <w:sz w:val="13"/>
                      </w:rPr>
                      <w:t>2013</w:t>
                      <w:tab/>
                    </w:r>
                    <w:r>
                      <w:rPr>
                        <w:rFonts w:ascii="Calibri"/>
                        <w:b/>
                        <w:color w:val="FFFFFF"/>
                        <w:spacing w:val="-6"/>
                        <w:sz w:val="13"/>
                      </w:rPr>
                      <w:t>2014</w:t>
                    </w:r>
                  </w:p>
                </w:txbxContent>
              </v:textbox>
              <w10:wrap type="none"/>
            </v:shape>
            <v:shape style="position:absolute;left:7968;top:462;width:266;height:132" type="#_x0000_t202" filled="false" stroked="false">
              <v:textbox inset="0,0,0,0">
                <w:txbxContent>
                  <w:p>
                    <w:pPr>
                      <w:spacing w:line="131" w:lineRule="exact" w:before="0"/>
                      <w:ind w:left="0" w:right="0" w:firstLine="0"/>
                      <w:jc w:val="left"/>
                      <w:rPr>
                        <w:rFonts w:ascii="Calibri"/>
                        <w:b/>
                        <w:sz w:val="13"/>
                      </w:rPr>
                    </w:pPr>
                    <w:r>
                      <w:rPr>
                        <w:rFonts w:ascii="Calibri"/>
                        <w:b/>
                        <w:color w:val="FFFFFF"/>
                        <w:sz w:val="13"/>
                      </w:rPr>
                      <w:t>2015</w:t>
                    </w:r>
                  </w:p>
                </w:txbxContent>
              </v:textbox>
              <w10:wrap type="none"/>
            </v:shape>
            <v:shape style="position:absolute;left:8581;top:462;width:266;height:132" type="#_x0000_t202" filled="false" stroked="false">
              <v:textbox inset="0,0,0,0">
                <w:txbxContent>
                  <w:p>
                    <w:pPr>
                      <w:spacing w:line="131" w:lineRule="exact" w:before="0"/>
                      <w:ind w:left="0" w:right="0" w:firstLine="0"/>
                      <w:jc w:val="left"/>
                      <w:rPr>
                        <w:rFonts w:ascii="Calibri"/>
                        <w:b/>
                        <w:sz w:val="13"/>
                      </w:rPr>
                    </w:pPr>
                    <w:r>
                      <w:rPr>
                        <w:rFonts w:ascii="Calibri"/>
                        <w:b/>
                        <w:color w:val="FFFFFF"/>
                        <w:sz w:val="13"/>
                      </w:rPr>
                      <w:t>2016</w:t>
                    </w:r>
                  </w:p>
                </w:txbxContent>
              </v:textbox>
              <w10:wrap type="none"/>
            </v:shape>
            <v:shape style="position:absolute;left:9194;top:462;width:266;height:132" type="#_x0000_t202" filled="false" stroked="false">
              <v:textbox inset="0,0,0,0">
                <w:txbxContent>
                  <w:p>
                    <w:pPr>
                      <w:spacing w:line="131" w:lineRule="exact" w:before="0"/>
                      <w:ind w:left="0" w:right="0" w:firstLine="0"/>
                      <w:jc w:val="left"/>
                      <w:rPr>
                        <w:rFonts w:ascii="Calibri"/>
                        <w:b/>
                        <w:sz w:val="13"/>
                      </w:rPr>
                    </w:pPr>
                    <w:r>
                      <w:rPr>
                        <w:rFonts w:ascii="Calibri"/>
                        <w:b/>
                        <w:color w:val="FFFFFF"/>
                        <w:sz w:val="13"/>
                      </w:rPr>
                      <w:t>2017</w:t>
                    </w:r>
                  </w:p>
                </w:txbxContent>
              </v:textbox>
              <w10:wrap type="none"/>
            </v:shape>
            <w10:wrap type="topAndBottom"/>
          </v:group>
        </w:pict>
      </w:r>
    </w:p>
    <w:p>
      <w:pPr>
        <w:tabs>
          <w:tab w:pos="5359" w:val="left" w:leader="none"/>
          <w:tab w:pos="5972" w:val="left" w:leader="none"/>
          <w:tab w:pos="6585" w:val="left" w:leader="none"/>
          <w:tab w:pos="7198" w:val="left" w:leader="none"/>
          <w:tab w:pos="7811" w:val="left" w:leader="none"/>
          <w:tab w:pos="8423" w:val="left" w:leader="none"/>
          <w:tab w:pos="9036" w:val="left" w:leader="none"/>
        </w:tabs>
        <w:spacing w:before="0"/>
        <w:ind w:left="1420" w:right="0" w:firstLine="0"/>
        <w:jc w:val="left"/>
        <w:rPr>
          <w:rFonts w:ascii="Calibri"/>
          <w:sz w:val="13"/>
        </w:rPr>
      </w:pPr>
      <w:r>
        <w:rPr>
          <w:rFonts w:ascii="Calibri"/>
          <w:sz w:val="13"/>
        </w:rPr>
        <w:t>Total</w:t>
      </w:r>
      <w:r>
        <w:rPr>
          <w:rFonts w:ascii="Calibri"/>
          <w:spacing w:val="5"/>
          <w:sz w:val="13"/>
        </w:rPr>
        <w:t> </w:t>
      </w:r>
      <w:r>
        <w:rPr>
          <w:rFonts w:ascii="Calibri"/>
          <w:sz w:val="13"/>
        </w:rPr>
        <w:t>Revenues</w:t>
        <w:tab/>
      </w:r>
      <w:r>
        <w:rPr>
          <w:rFonts w:ascii="Calibri"/>
          <w:spacing w:val="-4"/>
          <w:sz w:val="13"/>
        </w:rPr>
        <w:t>263,764</w:t>
        <w:tab/>
        <w:t>273,677</w:t>
        <w:tab/>
        <w:t>282,211</w:t>
        <w:tab/>
        <w:t>306,502</w:t>
        <w:tab/>
        <w:t>324,218</w:t>
        <w:tab/>
        <w:t>341,726</w:t>
        <w:tab/>
      </w:r>
      <w:r>
        <w:rPr>
          <w:rFonts w:ascii="Calibri"/>
          <w:spacing w:val="-5"/>
          <w:sz w:val="13"/>
        </w:rPr>
        <w:t>349,863</w:t>
      </w:r>
    </w:p>
    <w:p>
      <w:pPr>
        <w:tabs>
          <w:tab w:pos="5718" w:val="left" w:leader="none"/>
          <w:tab w:pos="6121" w:val="left" w:leader="none"/>
          <w:tab w:pos="6734" w:val="left" w:leader="none"/>
          <w:tab w:pos="7347" w:val="left" w:leader="none"/>
          <w:tab w:pos="7959" w:val="left" w:leader="none"/>
          <w:tab w:pos="8572" w:val="left" w:leader="none"/>
          <w:tab w:pos="9185" w:val="left" w:leader="none"/>
        </w:tabs>
        <w:spacing w:before="43"/>
        <w:ind w:left="1498" w:right="0" w:firstLine="0"/>
        <w:jc w:val="left"/>
        <w:rPr>
          <w:rFonts w:ascii="Calibri"/>
          <w:sz w:val="13"/>
        </w:rPr>
      </w:pPr>
      <w:r>
        <w:rPr/>
        <w:drawing>
          <wp:anchor distT="0" distB="0" distL="0" distR="0" allowOverlap="1" layoutInCell="1" locked="0" behindDoc="1" simplePos="0" relativeHeight="268414295">
            <wp:simplePos x="0" y="0"/>
            <wp:positionH relativeFrom="page">
              <wp:posOffset>6005245</wp:posOffset>
            </wp:positionH>
            <wp:positionV relativeFrom="paragraph">
              <wp:posOffset>-639908</wp:posOffset>
            </wp:positionV>
            <wp:extent cx="1164333" cy="132587"/>
            <wp:effectExtent l="0" t="0" r="0" b="0"/>
            <wp:wrapNone/>
            <wp:docPr id="1" name="image3.png" descr=""/>
            <wp:cNvGraphicFramePr>
              <a:graphicFrameLocks noChangeAspect="1"/>
            </wp:cNvGraphicFramePr>
            <a:graphic>
              <a:graphicData uri="http://schemas.openxmlformats.org/drawingml/2006/picture">
                <pic:pic>
                  <pic:nvPicPr>
                    <pic:cNvPr id="2" name="image3.png"/>
                    <pic:cNvPicPr/>
                  </pic:nvPicPr>
                  <pic:blipFill>
                    <a:blip r:embed="rId14" cstate="print"/>
                    <a:stretch>
                      <a:fillRect/>
                    </a:stretch>
                  </pic:blipFill>
                  <pic:spPr>
                    <a:xfrm>
                      <a:off x="0" y="0"/>
                      <a:ext cx="1164333" cy="132587"/>
                    </a:xfrm>
                    <a:prstGeom prst="rect">
                      <a:avLst/>
                    </a:prstGeom>
                  </pic:spPr>
                </pic:pic>
              </a:graphicData>
            </a:graphic>
          </wp:anchor>
        </w:drawing>
      </w:r>
      <w:r>
        <w:rPr/>
        <w:pict>
          <v:shape style="position:absolute;margin-left:472.853638pt;margin-top:-30.446337pt;width:92.4pt;height:181.7pt;mso-position-horizontal-relative:page;mso-position-vertical-relative:paragraph;z-index:2224"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99"/>
                    <w:gridCol w:w="690"/>
                    <w:gridCol w:w="455"/>
                  </w:tblGrid>
                  <w:tr>
                    <w:trPr>
                      <w:trHeight w:val="403" w:hRule="atLeast"/>
                    </w:trPr>
                    <w:tc>
                      <w:tcPr>
                        <w:tcW w:w="1389" w:type="dxa"/>
                        <w:gridSpan w:val="2"/>
                        <w:tcBorders>
                          <w:left w:val="single" w:sz="4" w:space="0" w:color="FFFFFF"/>
                        </w:tcBorders>
                        <w:shd w:val="clear" w:color="auto" w:fill="1F497D"/>
                      </w:tcPr>
                      <w:p>
                        <w:pPr>
                          <w:pStyle w:val="TableParagraph"/>
                          <w:tabs>
                            <w:tab w:pos="870" w:val="left" w:leader="none"/>
                          </w:tabs>
                          <w:spacing w:line="200" w:lineRule="atLeast" w:before="1"/>
                          <w:ind w:left="257" w:right="19" w:firstLine="227"/>
                          <w:jc w:val="left"/>
                          <w:rPr>
                            <w:rFonts w:ascii="Calibri"/>
                            <w:b/>
                            <w:sz w:val="13"/>
                          </w:rPr>
                        </w:pPr>
                        <w:r>
                          <w:rPr>
                            <w:rFonts w:ascii="Calibri"/>
                            <w:b/>
                            <w:color w:val="FFFFFF"/>
                            <w:sz w:val="13"/>
                          </w:rPr>
                          <w:t>Scenario</w:t>
                        </w:r>
                        <w:r>
                          <w:rPr>
                            <w:rFonts w:ascii="Calibri"/>
                            <w:b/>
                            <w:color w:val="FFFFFF"/>
                            <w:spacing w:val="-8"/>
                            <w:sz w:val="13"/>
                          </w:rPr>
                          <w:t> </w:t>
                        </w:r>
                        <w:r>
                          <w:rPr>
                            <w:rFonts w:ascii="Calibri"/>
                            <w:b/>
                            <w:color w:val="FFFFFF"/>
                            <w:sz w:val="13"/>
                          </w:rPr>
                          <w:t>Output Year</w:t>
                        </w:r>
                        <w:r>
                          <w:rPr>
                            <w:rFonts w:ascii="Calibri"/>
                            <w:b/>
                            <w:color w:val="FFFFFF"/>
                            <w:spacing w:val="-6"/>
                            <w:sz w:val="13"/>
                          </w:rPr>
                          <w:t> </w:t>
                        </w:r>
                        <w:r>
                          <w:rPr>
                            <w:rFonts w:ascii="Calibri"/>
                            <w:b/>
                            <w:color w:val="FFFFFF"/>
                            <w:sz w:val="13"/>
                          </w:rPr>
                          <w:t>1</w:t>
                          <w:tab/>
                          <w:t>Year</w:t>
                        </w:r>
                        <w:r>
                          <w:rPr>
                            <w:rFonts w:ascii="Calibri"/>
                            <w:b/>
                            <w:color w:val="FFFFFF"/>
                            <w:spacing w:val="-5"/>
                            <w:sz w:val="13"/>
                          </w:rPr>
                          <w:t> </w:t>
                        </w:r>
                        <w:r>
                          <w:rPr>
                            <w:rFonts w:ascii="Calibri"/>
                            <w:b/>
                            <w:color w:val="FFFFFF"/>
                            <w:sz w:val="13"/>
                          </w:rPr>
                          <w:t>2</w:t>
                        </w:r>
                      </w:p>
                    </w:tc>
                    <w:tc>
                      <w:tcPr>
                        <w:tcW w:w="455" w:type="dxa"/>
                        <w:shd w:val="clear" w:color="auto" w:fill="1F497D"/>
                      </w:tcPr>
                      <w:p>
                        <w:pPr>
                          <w:pStyle w:val="TableParagraph"/>
                          <w:spacing w:before="0"/>
                          <w:jc w:val="left"/>
                          <w:rPr>
                            <w:rFonts w:ascii="Calibri"/>
                            <w:sz w:val="12"/>
                          </w:rPr>
                        </w:pPr>
                      </w:p>
                      <w:p>
                        <w:pPr>
                          <w:pStyle w:val="TableParagraph"/>
                          <w:spacing w:line="139" w:lineRule="exact" w:before="98"/>
                          <w:ind w:right="15"/>
                          <w:rPr>
                            <w:rFonts w:ascii="Calibri"/>
                            <w:b/>
                            <w:sz w:val="13"/>
                          </w:rPr>
                        </w:pPr>
                        <w:r>
                          <w:rPr>
                            <w:rFonts w:ascii="Calibri"/>
                            <w:b/>
                            <w:color w:val="FFFFFF"/>
                            <w:sz w:val="13"/>
                          </w:rPr>
                          <w:t>Year 3</w:t>
                        </w:r>
                      </w:p>
                    </w:tc>
                  </w:tr>
                  <w:tr>
                    <w:trPr>
                      <w:trHeight w:val="234" w:hRule="atLeast"/>
                    </w:trPr>
                    <w:tc>
                      <w:tcPr>
                        <w:tcW w:w="699" w:type="dxa"/>
                        <w:shd w:val="clear" w:color="auto" w:fill="DCE6F1"/>
                      </w:tcPr>
                      <w:p>
                        <w:pPr>
                          <w:pStyle w:val="TableParagraph"/>
                          <w:spacing w:before="42"/>
                          <w:ind w:right="101"/>
                          <w:rPr>
                            <w:rFonts w:ascii="Calibri"/>
                            <w:sz w:val="13"/>
                          </w:rPr>
                        </w:pPr>
                        <w:r>
                          <w:rPr>
                            <w:rFonts w:ascii="Calibri"/>
                            <w:sz w:val="13"/>
                          </w:rPr>
                          <w:t>346,365</w:t>
                        </w:r>
                      </w:p>
                    </w:tc>
                    <w:tc>
                      <w:tcPr>
                        <w:tcW w:w="690" w:type="dxa"/>
                        <w:shd w:val="clear" w:color="auto" w:fill="DCE6F1"/>
                      </w:tcPr>
                      <w:p>
                        <w:pPr>
                          <w:pStyle w:val="TableParagraph"/>
                          <w:spacing w:before="42"/>
                          <w:ind w:right="178"/>
                          <w:rPr>
                            <w:rFonts w:ascii="Calibri"/>
                            <w:sz w:val="13"/>
                          </w:rPr>
                        </w:pPr>
                        <w:r>
                          <w:rPr>
                            <w:rFonts w:ascii="Calibri"/>
                            <w:sz w:val="13"/>
                          </w:rPr>
                          <w:t>358,068</w:t>
                        </w:r>
                      </w:p>
                    </w:tc>
                    <w:tc>
                      <w:tcPr>
                        <w:tcW w:w="455" w:type="dxa"/>
                        <w:shd w:val="clear" w:color="auto" w:fill="DCE6F1"/>
                      </w:tcPr>
                      <w:p>
                        <w:pPr>
                          <w:pStyle w:val="TableParagraph"/>
                          <w:spacing w:before="42"/>
                          <w:ind w:right="20"/>
                          <w:rPr>
                            <w:rFonts w:ascii="Calibri"/>
                            <w:sz w:val="13"/>
                          </w:rPr>
                        </w:pPr>
                        <w:r>
                          <w:rPr>
                            <w:rFonts w:ascii="Calibri"/>
                            <w:sz w:val="13"/>
                          </w:rPr>
                          <w:t>377,092</w:t>
                        </w:r>
                      </w:p>
                    </w:tc>
                  </w:tr>
                  <w:tr>
                    <w:trPr>
                      <w:trHeight w:val="201" w:hRule="atLeast"/>
                    </w:trPr>
                    <w:tc>
                      <w:tcPr>
                        <w:tcW w:w="699" w:type="dxa"/>
                        <w:shd w:val="clear" w:color="auto" w:fill="DCE6F1"/>
                      </w:tcPr>
                      <w:p>
                        <w:pPr>
                          <w:pStyle w:val="TableParagraph"/>
                          <w:ind w:right="105"/>
                          <w:rPr>
                            <w:rFonts w:ascii="Calibri"/>
                            <w:sz w:val="13"/>
                          </w:rPr>
                        </w:pPr>
                        <w:r>
                          <w:rPr>
                            <w:rFonts w:ascii="Calibri"/>
                            <w:sz w:val="13"/>
                          </w:rPr>
                          <w:t>(1.0%)</w:t>
                        </w:r>
                      </w:p>
                    </w:tc>
                    <w:tc>
                      <w:tcPr>
                        <w:tcW w:w="690" w:type="dxa"/>
                        <w:shd w:val="clear" w:color="auto" w:fill="DCE6F1"/>
                      </w:tcPr>
                      <w:p>
                        <w:pPr>
                          <w:pStyle w:val="TableParagraph"/>
                          <w:ind w:right="186"/>
                          <w:rPr>
                            <w:rFonts w:ascii="Calibri"/>
                            <w:sz w:val="13"/>
                          </w:rPr>
                        </w:pPr>
                        <w:r>
                          <w:rPr>
                            <w:rFonts w:ascii="Calibri"/>
                            <w:sz w:val="13"/>
                          </w:rPr>
                          <w:t>3.4%</w:t>
                        </w:r>
                      </w:p>
                    </w:tc>
                    <w:tc>
                      <w:tcPr>
                        <w:tcW w:w="455" w:type="dxa"/>
                        <w:shd w:val="clear" w:color="auto" w:fill="DCE6F1"/>
                      </w:tcPr>
                      <w:p>
                        <w:pPr>
                          <w:pStyle w:val="TableParagraph"/>
                          <w:ind w:right="28"/>
                          <w:rPr>
                            <w:rFonts w:ascii="Calibri"/>
                            <w:sz w:val="13"/>
                          </w:rPr>
                        </w:pPr>
                        <w:r>
                          <w:rPr>
                            <w:rFonts w:ascii="Calibri"/>
                            <w:sz w:val="13"/>
                          </w:rPr>
                          <w:t>5.3%</w:t>
                        </w:r>
                      </w:p>
                    </w:tc>
                  </w:tr>
                  <w:tr>
                    <w:trPr>
                      <w:trHeight w:val="201" w:hRule="atLeast"/>
                    </w:trPr>
                    <w:tc>
                      <w:tcPr>
                        <w:tcW w:w="699" w:type="dxa"/>
                        <w:shd w:val="clear" w:color="auto" w:fill="DCE6F1"/>
                      </w:tcPr>
                      <w:p>
                        <w:pPr>
                          <w:pStyle w:val="TableParagraph"/>
                          <w:ind w:right="101"/>
                          <w:rPr>
                            <w:rFonts w:ascii="Calibri"/>
                            <w:sz w:val="13"/>
                          </w:rPr>
                        </w:pPr>
                        <w:r>
                          <w:rPr>
                            <w:rFonts w:ascii="Calibri"/>
                            <w:sz w:val="13"/>
                          </w:rPr>
                          <w:t>348,413</w:t>
                        </w:r>
                      </w:p>
                    </w:tc>
                    <w:tc>
                      <w:tcPr>
                        <w:tcW w:w="690" w:type="dxa"/>
                        <w:shd w:val="clear" w:color="auto" w:fill="DCE6F1"/>
                      </w:tcPr>
                      <w:p>
                        <w:pPr>
                          <w:pStyle w:val="TableParagraph"/>
                          <w:ind w:right="178"/>
                          <w:rPr>
                            <w:rFonts w:ascii="Calibri"/>
                            <w:sz w:val="13"/>
                          </w:rPr>
                        </w:pPr>
                        <w:r>
                          <w:rPr>
                            <w:rFonts w:ascii="Calibri"/>
                            <w:sz w:val="13"/>
                          </w:rPr>
                          <w:t>355,381</w:t>
                        </w:r>
                      </w:p>
                    </w:tc>
                    <w:tc>
                      <w:tcPr>
                        <w:tcW w:w="455" w:type="dxa"/>
                        <w:shd w:val="clear" w:color="auto" w:fill="DCE6F1"/>
                      </w:tcPr>
                      <w:p>
                        <w:pPr>
                          <w:pStyle w:val="TableParagraph"/>
                          <w:ind w:right="20"/>
                          <w:rPr>
                            <w:rFonts w:ascii="Calibri"/>
                            <w:sz w:val="13"/>
                          </w:rPr>
                        </w:pPr>
                        <w:r>
                          <w:rPr>
                            <w:rFonts w:ascii="Calibri"/>
                            <w:sz w:val="13"/>
                          </w:rPr>
                          <w:t>362,489</w:t>
                        </w:r>
                      </w:p>
                    </w:tc>
                  </w:tr>
                  <w:tr>
                    <w:trPr>
                      <w:trHeight w:val="201" w:hRule="atLeast"/>
                    </w:trPr>
                    <w:tc>
                      <w:tcPr>
                        <w:tcW w:w="699" w:type="dxa"/>
                        <w:shd w:val="clear" w:color="auto" w:fill="DCE6F1"/>
                      </w:tcPr>
                      <w:p>
                        <w:pPr>
                          <w:pStyle w:val="TableParagraph"/>
                          <w:ind w:right="109"/>
                          <w:rPr>
                            <w:rFonts w:ascii="Calibri"/>
                            <w:sz w:val="13"/>
                          </w:rPr>
                        </w:pPr>
                        <w:r>
                          <w:rPr>
                            <w:rFonts w:ascii="Calibri"/>
                            <w:sz w:val="13"/>
                          </w:rPr>
                          <w:t>2.0%</w:t>
                        </w:r>
                      </w:p>
                    </w:tc>
                    <w:tc>
                      <w:tcPr>
                        <w:tcW w:w="690" w:type="dxa"/>
                        <w:shd w:val="clear" w:color="auto" w:fill="DCE6F1"/>
                      </w:tcPr>
                      <w:p>
                        <w:pPr>
                          <w:pStyle w:val="TableParagraph"/>
                          <w:ind w:right="186"/>
                          <w:rPr>
                            <w:rFonts w:ascii="Calibri"/>
                            <w:sz w:val="13"/>
                          </w:rPr>
                        </w:pPr>
                        <w:r>
                          <w:rPr>
                            <w:rFonts w:ascii="Calibri"/>
                            <w:sz w:val="13"/>
                          </w:rPr>
                          <w:t>2.0%</w:t>
                        </w:r>
                      </w:p>
                    </w:tc>
                    <w:tc>
                      <w:tcPr>
                        <w:tcW w:w="455" w:type="dxa"/>
                        <w:shd w:val="clear" w:color="auto" w:fill="DCE6F1"/>
                      </w:tcPr>
                      <w:p>
                        <w:pPr>
                          <w:pStyle w:val="TableParagraph"/>
                          <w:ind w:right="28"/>
                          <w:rPr>
                            <w:rFonts w:ascii="Calibri"/>
                            <w:sz w:val="13"/>
                          </w:rPr>
                        </w:pPr>
                        <w:r>
                          <w:rPr>
                            <w:rFonts w:ascii="Calibri"/>
                            <w:sz w:val="13"/>
                          </w:rPr>
                          <w:t>2.0%</w:t>
                        </w:r>
                      </w:p>
                    </w:tc>
                  </w:tr>
                  <w:tr>
                    <w:trPr>
                      <w:trHeight w:val="201" w:hRule="atLeast"/>
                    </w:trPr>
                    <w:tc>
                      <w:tcPr>
                        <w:tcW w:w="699" w:type="dxa"/>
                        <w:shd w:val="clear" w:color="auto" w:fill="DCE6F1"/>
                      </w:tcPr>
                      <w:p>
                        <w:pPr>
                          <w:pStyle w:val="TableParagraph"/>
                          <w:ind w:right="101"/>
                          <w:rPr>
                            <w:rFonts w:ascii="Calibri"/>
                            <w:sz w:val="13"/>
                          </w:rPr>
                        </w:pPr>
                        <w:r>
                          <w:rPr>
                            <w:rFonts w:ascii="Calibri"/>
                            <w:sz w:val="13"/>
                          </w:rPr>
                          <w:t>464</w:t>
                        </w:r>
                      </w:p>
                    </w:tc>
                    <w:tc>
                      <w:tcPr>
                        <w:tcW w:w="690" w:type="dxa"/>
                        <w:shd w:val="clear" w:color="auto" w:fill="DCE6F1"/>
                      </w:tcPr>
                      <w:p>
                        <w:pPr>
                          <w:pStyle w:val="TableParagraph"/>
                          <w:ind w:right="178"/>
                          <w:rPr>
                            <w:rFonts w:ascii="Calibri"/>
                            <w:sz w:val="13"/>
                          </w:rPr>
                        </w:pPr>
                        <w:r>
                          <w:rPr>
                            <w:rFonts w:ascii="Calibri"/>
                            <w:sz w:val="13"/>
                          </w:rPr>
                          <w:t>480</w:t>
                        </w:r>
                      </w:p>
                    </w:tc>
                    <w:tc>
                      <w:tcPr>
                        <w:tcW w:w="455" w:type="dxa"/>
                        <w:shd w:val="clear" w:color="auto" w:fill="DCE6F1"/>
                      </w:tcPr>
                      <w:p>
                        <w:pPr>
                          <w:pStyle w:val="TableParagraph"/>
                          <w:ind w:right="20"/>
                          <w:rPr>
                            <w:rFonts w:ascii="Calibri"/>
                            <w:sz w:val="13"/>
                          </w:rPr>
                        </w:pPr>
                        <w:r>
                          <w:rPr>
                            <w:rFonts w:ascii="Calibri"/>
                            <w:sz w:val="13"/>
                          </w:rPr>
                          <w:t>505</w:t>
                        </w:r>
                      </w:p>
                    </w:tc>
                  </w:tr>
                  <w:tr>
                    <w:trPr>
                      <w:trHeight w:val="201" w:hRule="atLeast"/>
                    </w:trPr>
                    <w:tc>
                      <w:tcPr>
                        <w:tcW w:w="699" w:type="dxa"/>
                        <w:shd w:val="clear" w:color="auto" w:fill="DCE6F1"/>
                      </w:tcPr>
                      <w:p>
                        <w:pPr>
                          <w:pStyle w:val="TableParagraph"/>
                          <w:ind w:right="101"/>
                          <w:rPr>
                            <w:rFonts w:ascii="Calibri"/>
                            <w:sz w:val="13"/>
                          </w:rPr>
                        </w:pPr>
                        <w:r>
                          <w:rPr>
                            <w:rFonts w:ascii="Calibri"/>
                            <w:sz w:val="13"/>
                          </w:rPr>
                          <w:t>349</w:t>
                        </w:r>
                      </w:p>
                    </w:tc>
                    <w:tc>
                      <w:tcPr>
                        <w:tcW w:w="690" w:type="dxa"/>
                        <w:shd w:val="clear" w:color="auto" w:fill="DCE6F1"/>
                      </w:tcPr>
                      <w:p>
                        <w:pPr>
                          <w:pStyle w:val="TableParagraph"/>
                          <w:ind w:right="178"/>
                          <w:rPr>
                            <w:rFonts w:ascii="Calibri"/>
                            <w:sz w:val="13"/>
                          </w:rPr>
                        </w:pPr>
                        <w:r>
                          <w:rPr>
                            <w:rFonts w:ascii="Calibri"/>
                            <w:sz w:val="13"/>
                          </w:rPr>
                          <w:t>356</w:t>
                        </w:r>
                      </w:p>
                    </w:tc>
                    <w:tc>
                      <w:tcPr>
                        <w:tcW w:w="455" w:type="dxa"/>
                        <w:shd w:val="clear" w:color="auto" w:fill="DCE6F1"/>
                      </w:tcPr>
                      <w:p>
                        <w:pPr>
                          <w:pStyle w:val="TableParagraph"/>
                          <w:ind w:right="20"/>
                          <w:rPr>
                            <w:rFonts w:ascii="Calibri"/>
                            <w:sz w:val="13"/>
                          </w:rPr>
                        </w:pPr>
                        <w:r>
                          <w:rPr>
                            <w:rFonts w:ascii="Calibri"/>
                            <w:sz w:val="13"/>
                          </w:rPr>
                          <w:t>363</w:t>
                        </w:r>
                      </w:p>
                    </w:tc>
                  </w:tr>
                  <w:tr>
                    <w:trPr>
                      <w:trHeight w:val="201" w:hRule="atLeast"/>
                    </w:trPr>
                    <w:tc>
                      <w:tcPr>
                        <w:tcW w:w="699" w:type="dxa"/>
                        <w:shd w:val="clear" w:color="auto" w:fill="DCE6F1"/>
                      </w:tcPr>
                      <w:p>
                        <w:pPr>
                          <w:pStyle w:val="TableParagraph"/>
                          <w:ind w:right="101"/>
                          <w:rPr>
                            <w:rFonts w:ascii="Calibri"/>
                            <w:sz w:val="13"/>
                          </w:rPr>
                        </w:pPr>
                        <w:r>
                          <w:rPr>
                            <w:rFonts w:ascii="Calibri"/>
                            <w:sz w:val="13"/>
                          </w:rPr>
                          <w:t>115</w:t>
                        </w:r>
                      </w:p>
                    </w:tc>
                    <w:tc>
                      <w:tcPr>
                        <w:tcW w:w="690" w:type="dxa"/>
                        <w:shd w:val="clear" w:color="auto" w:fill="DCE6F1"/>
                      </w:tcPr>
                      <w:p>
                        <w:pPr>
                          <w:pStyle w:val="TableParagraph"/>
                          <w:ind w:right="178"/>
                          <w:rPr>
                            <w:rFonts w:ascii="Calibri"/>
                            <w:sz w:val="13"/>
                          </w:rPr>
                        </w:pPr>
                        <w:r>
                          <w:rPr>
                            <w:rFonts w:ascii="Calibri"/>
                            <w:sz w:val="13"/>
                          </w:rPr>
                          <w:t>124</w:t>
                        </w:r>
                      </w:p>
                    </w:tc>
                    <w:tc>
                      <w:tcPr>
                        <w:tcW w:w="455" w:type="dxa"/>
                        <w:shd w:val="clear" w:color="auto" w:fill="DCE6F1"/>
                      </w:tcPr>
                      <w:p>
                        <w:pPr>
                          <w:pStyle w:val="TableParagraph"/>
                          <w:ind w:right="20"/>
                          <w:rPr>
                            <w:rFonts w:ascii="Calibri"/>
                            <w:sz w:val="13"/>
                          </w:rPr>
                        </w:pPr>
                        <w:r>
                          <w:rPr>
                            <w:rFonts w:ascii="Calibri"/>
                            <w:sz w:val="13"/>
                          </w:rPr>
                          <w:t>143</w:t>
                        </w:r>
                      </w:p>
                    </w:tc>
                  </w:tr>
                  <w:tr>
                    <w:trPr>
                      <w:trHeight w:val="302" w:hRule="atLeast"/>
                    </w:trPr>
                    <w:tc>
                      <w:tcPr>
                        <w:tcW w:w="699" w:type="dxa"/>
                        <w:shd w:val="clear" w:color="auto" w:fill="DCE6F1"/>
                      </w:tcPr>
                      <w:p>
                        <w:pPr>
                          <w:pStyle w:val="TableParagraph"/>
                          <w:ind w:right="105"/>
                          <w:rPr>
                            <w:rFonts w:ascii="Calibri"/>
                            <w:sz w:val="13"/>
                          </w:rPr>
                        </w:pPr>
                        <w:r>
                          <w:rPr>
                            <w:rFonts w:ascii="Calibri"/>
                            <w:w w:val="101"/>
                            <w:sz w:val="13"/>
                          </w:rPr>
                          <w:t>-</w:t>
                        </w:r>
                      </w:p>
                    </w:tc>
                    <w:tc>
                      <w:tcPr>
                        <w:tcW w:w="690" w:type="dxa"/>
                        <w:shd w:val="clear" w:color="auto" w:fill="DCE6F1"/>
                      </w:tcPr>
                      <w:p>
                        <w:pPr>
                          <w:pStyle w:val="TableParagraph"/>
                          <w:ind w:right="182"/>
                          <w:rPr>
                            <w:rFonts w:ascii="Calibri"/>
                            <w:sz w:val="13"/>
                          </w:rPr>
                        </w:pPr>
                        <w:r>
                          <w:rPr>
                            <w:rFonts w:ascii="Calibri"/>
                            <w:w w:val="101"/>
                            <w:sz w:val="13"/>
                          </w:rPr>
                          <w:t>-</w:t>
                        </w:r>
                      </w:p>
                    </w:tc>
                    <w:tc>
                      <w:tcPr>
                        <w:tcW w:w="455" w:type="dxa"/>
                        <w:shd w:val="clear" w:color="auto" w:fill="DCE6F1"/>
                      </w:tcPr>
                      <w:p>
                        <w:pPr>
                          <w:pStyle w:val="TableParagraph"/>
                          <w:ind w:right="24"/>
                          <w:rPr>
                            <w:rFonts w:ascii="Calibri"/>
                            <w:sz w:val="13"/>
                          </w:rPr>
                        </w:pPr>
                        <w:r>
                          <w:rPr>
                            <w:rFonts w:ascii="Calibri"/>
                            <w:w w:val="101"/>
                            <w:sz w:val="13"/>
                          </w:rPr>
                          <w:t>-</w:t>
                        </w:r>
                      </w:p>
                    </w:tc>
                  </w:tr>
                  <w:tr>
                    <w:trPr>
                      <w:trHeight w:val="302" w:hRule="atLeast"/>
                    </w:trPr>
                    <w:tc>
                      <w:tcPr>
                        <w:tcW w:w="699" w:type="dxa"/>
                        <w:shd w:val="clear" w:color="auto" w:fill="DCE6F1"/>
                      </w:tcPr>
                      <w:p>
                        <w:pPr>
                          <w:pStyle w:val="TableParagraph"/>
                          <w:spacing w:before="0"/>
                          <w:jc w:val="left"/>
                          <w:rPr>
                            <w:rFonts w:ascii="Calibri"/>
                            <w:sz w:val="9"/>
                          </w:rPr>
                        </w:pPr>
                      </w:p>
                      <w:p>
                        <w:pPr>
                          <w:pStyle w:val="TableParagraph"/>
                          <w:spacing w:before="1"/>
                          <w:ind w:right="110"/>
                          <w:rPr>
                            <w:rFonts w:ascii="Calibri"/>
                            <w:sz w:val="13"/>
                          </w:rPr>
                        </w:pPr>
                        <w:r>
                          <w:rPr>
                            <w:rFonts w:ascii="Calibri"/>
                            <w:sz w:val="13"/>
                          </w:rPr>
                          <w:t>(1,933)</w:t>
                        </w:r>
                      </w:p>
                    </w:tc>
                    <w:tc>
                      <w:tcPr>
                        <w:tcW w:w="690" w:type="dxa"/>
                        <w:shd w:val="clear" w:color="auto" w:fill="DCE6F1"/>
                      </w:tcPr>
                      <w:p>
                        <w:pPr>
                          <w:pStyle w:val="TableParagraph"/>
                          <w:spacing w:before="0"/>
                          <w:jc w:val="left"/>
                          <w:rPr>
                            <w:rFonts w:ascii="Calibri"/>
                            <w:sz w:val="9"/>
                          </w:rPr>
                        </w:pPr>
                      </w:p>
                      <w:p>
                        <w:pPr>
                          <w:pStyle w:val="TableParagraph"/>
                          <w:spacing w:before="1"/>
                          <w:ind w:right="178"/>
                          <w:rPr>
                            <w:rFonts w:ascii="Calibri"/>
                            <w:sz w:val="13"/>
                          </w:rPr>
                        </w:pPr>
                        <w:r>
                          <w:rPr>
                            <w:rFonts w:ascii="Calibri"/>
                            <w:sz w:val="13"/>
                          </w:rPr>
                          <w:t>2,811</w:t>
                        </w:r>
                      </w:p>
                    </w:tc>
                    <w:tc>
                      <w:tcPr>
                        <w:tcW w:w="455" w:type="dxa"/>
                        <w:shd w:val="clear" w:color="auto" w:fill="DCE6F1"/>
                      </w:tcPr>
                      <w:p>
                        <w:pPr>
                          <w:pStyle w:val="TableParagraph"/>
                          <w:spacing w:before="0"/>
                          <w:jc w:val="left"/>
                          <w:rPr>
                            <w:rFonts w:ascii="Calibri"/>
                            <w:sz w:val="9"/>
                          </w:rPr>
                        </w:pPr>
                      </w:p>
                      <w:p>
                        <w:pPr>
                          <w:pStyle w:val="TableParagraph"/>
                          <w:spacing w:before="1"/>
                          <w:ind w:right="20"/>
                          <w:rPr>
                            <w:rFonts w:ascii="Calibri"/>
                            <w:sz w:val="13"/>
                          </w:rPr>
                        </w:pPr>
                        <w:r>
                          <w:rPr>
                            <w:rFonts w:ascii="Calibri"/>
                            <w:sz w:val="13"/>
                          </w:rPr>
                          <w:t>14,746</w:t>
                        </w:r>
                      </w:p>
                    </w:tc>
                  </w:tr>
                  <w:tr>
                    <w:trPr>
                      <w:trHeight w:val="302" w:hRule="atLeast"/>
                    </w:trPr>
                    <w:tc>
                      <w:tcPr>
                        <w:tcW w:w="699" w:type="dxa"/>
                        <w:shd w:val="clear" w:color="auto" w:fill="DCE6F1"/>
                      </w:tcPr>
                      <w:p>
                        <w:pPr>
                          <w:pStyle w:val="TableParagraph"/>
                          <w:ind w:right="105"/>
                          <w:rPr>
                            <w:rFonts w:ascii="Calibri"/>
                            <w:sz w:val="13"/>
                          </w:rPr>
                        </w:pPr>
                        <w:r>
                          <w:rPr>
                            <w:rFonts w:ascii="Calibri"/>
                            <w:sz w:val="13"/>
                          </w:rPr>
                          <w:t>(0.6%)</w:t>
                        </w:r>
                      </w:p>
                    </w:tc>
                    <w:tc>
                      <w:tcPr>
                        <w:tcW w:w="690" w:type="dxa"/>
                        <w:shd w:val="clear" w:color="auto" w:fill="DCE6F1"/>
                      </w:tcPr>
                      <w:p>
                        <w:pPr>
                          <w:pStyle w:val="TableParagraph"/>
                          <w:ind w:right="186"/>
                          <w:rPr>
                            <w:rFonts w:ascii="Calibri"/>
                            <w:sz w:val="13"/>
                          </w:rPr>
                        </w:pPr>
                        <w:r>
                          <w:rPr>
                            <w:rFonts w:ascii="Calibri"/>
                            <w:sz w:val="13"/>
                          </w:rPr>
                          <w:t>0.8%</w:t>
                        </w:r>
                      </w:p>
                    </w:tc>
                    <w:tc>
                      <w:tcPr>
                        <w:tcW w:w="455" w:type="dxa"/>
                        <w:shd w:val="clear" w:color="auto" w:fill="DCE6F1"/>
                      </w:tcPr>
                      <w:p>
                        <w:pPr>
                          <w:pStyle w:val="TableParagraph"/>
                          <w:ind w:right="28"/>
                          <w:rPr>
                            <w:rFonts w:ascii="Calibri"/>
                            <w:sz w:val="13"/>
                          </w:rPr>
                        </w:pPr>
                        <w:r>
                          <w:rPr>
                            <w:rFonts w:ascii="Calibri"/>
                            <w:sz w:val="13"/>
                          </w:rPr>
                          <w:t>4.1%</w:t>
                        </w:r>
                      </w:p>
                    </w:tc>
                  </w:tr>
                  <w:tr>
                    <w:trPr>
                      <w:trHeight w:val="302" w:hRule="atLeast"/>
                    </w:trPr>
                    <w:tc>
                      <w:tcPr>
                        <w:tcW w:w="699" w:type="dxa"/>
                        <w:shd w:val="clear" w:color="auto" w:fill="DCE6F1"/>
                      </w:tcPr>
                      <w:p>
                        <w:pPr>
                          <w:pStyle w:val="TableParagraph"/>
                          <w:spacing w:before="0"/>
                          <w:jc w:val="left"/>
                          <w:rPr>
                            <w:rFonts w:ascii="Calibri"/>
                            <w:sz w:val="9"/>
                          </w:rPr>
                        </w:pPr>
                      </w:p>
                      <w:p>
                        <w:pPr>
                          <w:pStyle w:val="TableParagraph"/>
                          <w:spacing w:before="1"/>
                          <w:ind w:right="101"/>
                          <w:rPr>
                            <w:rFonts w:ascii="Calibri"/>
                            <w:sz w:val="13"/>
                          </w:rPr>
                        </w:pPr>
                        <w:r>
                          <w:rPr>
                            <w:rFonts w:ascii="Calibri"/>
                            <w:sz w:val="13"/>
                          </w:rPr>
                          <w:t>117,088</w:t>
                        </w:r>
                      </w:p>
                    </w:tc>
                    <w:tc>
                      <w:tcPr>
                        <w:tcW w:w="690" w:type="dxa"/>
                        <w:shd w:val="clear" w:color="auto" w:fill="DCE6F1"/>
                      </w:tcPr>
                      <w:p>
                        <w:pPr>
                          <w:pStyle w:val="TableParagraph"/>
                          <w:spacing w:before="0"/>
                          <w:jc w:val="left"/>
                          <w:rPr>
                            <w:rFonts w:ascii="Calibri"/>
                            <w:sz w:val="9"/>
                          </w:rPr>
                        </w:pPr>
                      </w:p>
                      <w:p>
                        <w:pPr>
                          <w:pStyle w:val="TableParagraph"/>
                          <w:spacing w:before="1"/>
                          <w:ind w:right="178"/>
                          <w:rPr>
                            <w:rFonts w:ascii="Calibri"/>
                            <w:sz w:val="13"/>
                          </w:rPr>
                        </w:pPr>
                        <w:r>
                          <w:rPr>
                            <w:rFonts w:ascii="Calibri"/>
                            <w:sz w:val="13"/>
                          </w:rPr>
                          <w:t>119,900</w:t>
                        </w:r>
                      </w:p>
                    </w:tc>
                    <w:tc>
                      <w:tcPr>
                        <w:tcW w:w="455" w:type="dxa"/>
                        <w:shd w:val="clear" w:color="auto" w:fill="DCE6F1"/>
                      </w:tcPr>
                      <w:p>
                        <w:pPr>
                          <w:pStyle w:val="TableParagraph"/>
                          <w:spacing w:before="0"/>
                          <w:jc w:val="left"/>
                          <w:rPr>
                            <w:rFonts w:ascii="Calibri"/>
                            <w:sz w:val="9"/>
                          </w:rPr>
                        </w:pPr>
                      </w:p>
                      <w:p>
                        <w:pPr>
                          <w:pStyle w:val="TableParagraph"/>
                          <w:spacing w:before="1"/>
                          <w:ind w:right="20"/>
                          <w:rPr>
                            <w:rFonts w:ascii="Calibri"/>
                            <w:sz w:val="13"/>
                          </w:rPr>
                        </w:pPr>
                        <w:r>
                          <w:rPr>
                            <w:rFonts w:ascii="Calibri"/>
                            <w:sz w:val="13"/>
                          </w:rPr>
                          <w:t>134,646</w:t>
                        </w:r>
                      </w:p>
                    </w:tc>
                  </w:tr>
                  <w:tr>
                    <w:trPr>
                      <w:trHeight w:val="201" w:hRule="atLeast"/>
                    </w:trPr>
                    <w:tc>
                      <w:tcPr>
                        <w:tcW w:w="699" w:type="dxa"/>
                        <w:shd w:val="clear" w:color="auto" w:fill="DCE6F1"/>
                      </w:tcPr>
                      <w:p>
                        <w:pPr>
                          <w:pStyle w:val="TableParagraph"/>
                          <w:ind w:right="105"/>
                          <w:rPr>
                            <w:rFonts w:ascii="Calibri"/>
                            <w:sz w:val="13"/>
                          </w:rPr>
                        </w:pPr>
                        <w:r>
                          <w:rPr>
                            <w:rFonts w:ascii="Calibri"/>
                            <w:w w:val="101"/>
                            <w:sz w:val="13"/>
                          </w:rPr>
                          <w:t>-</w:t>
                        </w:r>
                      </w:p>
                    </w:tc>
                    <w:tc>
                      <w:tcPr>
                        <w:tcW w:w="690" w:type="dxa"/>
                        <w:shd w:val="clear" w:color="auto" w:fill="DCE6F1"/>
                      </w:tcPr>
                      <w:p>
                        <w:pPr>
                          <w:pStyle w:val="TableParagraph"/>
                          <w:ind w:right="182"/>
                          <w:rPr>
                            <w:rFonts w:ascii="Calibri"/>
                            <w:sz w:val="13"/>
                          </w:rPr>
                        </w:pPr>
                        <w:r>
                          <w:rPr>
                            <w:rFonts w:ascii="Calibri"/>
                            <w:w w:val="101"/>
                            <w:sz w:val="13"/>
                          </w:rPr>
                          <w:t>-</w:t>
                        </w:r>
                      </w:p>
                    </w:tc>
                    <w:tc>
                      <w:tcPr>
                        <w:tcW w:w="455" w:type="dxa"/>
                        <w:shd w:val="clear" w:color="auto" w:fill="DCE6F1"/>
                      </w:tcPr>
                      <w:p>
                        <w:pPr>
                          <w:pStyle w:val="TableParagraph"/>
                          <w:ind w:right="24"/>
                          <w:rPr>
                            <w:rFonts w:ascii="Calibri"/>
                            <w:sz w:val="13"/>
                          </w:rPr>
                        </w:pPr>
                        <w:r>
                          <w:rPr>
                            <w:rFonts w:ascii="Calibri"/>
                            <w:w w:val="101"/>
                            <w:sz w:val="13"/>
                          </w:rPr>
                          <w:t>-</w:t>
                        </w:r>
                      </w:p>
                    </w:tc>
                  </w:tr>
                  <w:tr>
                    <w:trPr>
                      <w:trHeight w:val="201" w:hRule="atLeast"/>
                    </w:trPr>
                    <w:tc>
                      <w:tcPr>
                        <w:tcW w:w="699" w:type="dxa"/>
                        <w:shd w:val="clear" w:color="auto" w:fill="DCE6F1"/>
                      </w:tcPr>
                      <w:p>
                        <w:pPr>
                          <w:pStyle w:val="TableParagraph"/>
                          <w:ind w:right="101"/>
                          <w:rPr>
                            <w:rFonts w:ascii="Calibri"/>
                            <w:sz w:val="13"/>
                          </w:rPr>
                        </w:pPr>
                        <w:r>
                          <w:rPr>
                            <w:rFonts w:ascii="Calibri"/>
                            <w:sz w:val="13"/>
                          </w:rPr>
                          <w:t>117,088</w:t>
                        </w:r>
                      </w:p>
                    </w:tc>
                    <w:tc>
                      <w:tcPr>
                        <w:tcW w:w="690" w:type="dxa"/>
                        <w:shd w:val="clear" w:color="auto" w:fill="DCE6F1"/>
                      </w:tcPr>
                      <w:p>
                        <w:pPr>
                          <w:pStyle w:val="TableParagraph"/>
                          <w:ind w:right="178"/>
                          <w:rPr>
                            <w:rFonts w:ascii="Calibri"/>
                            <w:sz w:val="13"/>
                          </w:rPr>
                        </w:pPr>
                        <w:r>
                          <w:rPr>
                            <w:rFonts w:ascii="Calibri"/>
                            <w:sz w:val="13"/>
                          </w:rPr>
                          <w:t>119,900</w:t>
                        </w:r>
                      </w:p>
                    </w:tc>
                    <w:tc>
                      <w:tcPr>
                        <w:tcW w:w="455" w:type="dxa"/>
                        <w:shd w:val="clear" w:color="auto" w:fill="DCE6F1"/>
                      </w:tcPr>
                      <w:p>
                        <w:pPr>
                          <w:pStyle w:val="TableParagraph"/>
                          <w:ind w:right="20"/>
                          <w:rPr>
                            <w:rFonts w:ascii="Calibri"/>
                            <w:sz w:val="13"/>
                          </w:rPr>
                        </w:pPr>
                        <w:r>
                          <w:rPr>
                            <w:rFonts w:ascii="Calibri"/>
                            <w:sz w:val="13"/>
                          </w:rPr>
                          <w:t>134,646</w:t>
                        </w:r>
                      </w:p>
                    </w:tc>
                  </w:tr>
                  <w:tr>
                    <w:trPr>
                      <w:trHeight w:val="168" w:hRule="atLeast"/>
                    </w:trPr>
                    <w:tc>
                      <w:tcPr>
                        <w:tcW w:w="699" w:type="dxa"/>
                        <w:shd w:val="clear" w:color="auto" w:fill="DCE6F1"/>
                      </w:tcPr>
                      <w:p>
                        <w:pPr>
                          <w:pStyle w:val="TableParagraph"/>
                          <w:spacing w:line="139" w:lineRule="exact"/>
                          <w:ind w:right="109"/>
                          <w:rPr>
                            <w:rFonts w:ascii="Calibri"/>
                            <w:sz w:val="13"/>
                          </w:rPr>
                        </w:pPr>
                        <w:r>
                          <w:rPr>
                            <w:rFonts w:ascii="Calibri"/>
                            <w:sz w:val="13"/>
                          </w:rPr>
                          <w:t>33.5%</w:t>
                        </w:r>
                      </w:p>
                    </w:tc>
                    <w:tc>
                      <w:tcPr>
                        <w:tcW w:w="690" w:type="dxa"/>
                        <w:shd w:val="clear" w:color="auto" w:fill="DCE6F1"/>
                      </w:tcPr>
                      <w:p>
                        <w:pPr>
                          <w:pStyle w:val="TableParagraph"/>
                          <w:spacing w:line="139" w:lineRule="exact"/>
                          <w:ind w:right="186"/>
                          <w:rPr>
                            <w:rFonts w:ascii="Calibri"/>
                            <w:sz w:val="13"/>
                          </w:rPr>
                        </w:pPr>
                        <w:r>
                          <w:rPr>
                            <w:rFonts w:ascii="Calibri"/>
                            <w:sz w:val="13"/>
                          </w:rPr>
                          <w:t>33.7%</w:t>
                        </w:r>
                      </w:p>
                    </w:tc>
                    <w:tc>
                      <w:tcPr>
                        <w:tcW w:w="455" w:type="dxa"/>
                        <w:shd w:val="clear" w:color="auto" w:fill="DCE6F1"/>
                      </w:tcPr>
                      <w:p>
                        <w:pPr>
                          <w:pStyle w:val="TableParagraph"/>
                          <w:spacing w:line="139" w:lineRule="exact"/>
                          <w:ind w:right="28"/>
                          <w:rPr>
                            <w:rFonts w:ascii="Calibri"/>
                            <w:sz w:val="13"/>
                          </w:rPr>
                        </w:pPr>
                        <w:r>
                          <w:rPr>
                            <w:rFonts w:ascii="Calibri"/>
                            <w:sz w:val="13"/>
                          </w:rPr>
                          <w:t>37.1%</w:t>
                        </w:r>
                      </w:p>
                    </w:tc>
                  </w:tr>
                </w:tbl>
                <w:p>
                  <w:pPr>
                    <w:pStyle w:val="BodyText"/>
                  </w:pPr>
                </w:p>
              </w:txbxContent>
            </v:textbox>
            <w10:wrap type="none"/>
          </v:shape>
        </w:pict>
      </w:r>
      <w:r>
        <w:rPr>
          <w:rFonts w:ascii="Calibri"/>
          <w:sz w:val="13"/>
        </w:rPr>
        <w:t>% Change</w:t>
      </w:r>
      <w:r>
        <w:rPr>
          <w:rFonts w:ascii="Calibri"/>
          <w:spacing w:val="9"/>
          <w:sz w:val="13"/>
        </w:rPr>
        <w:t> </w:t>
      </w:r>
      <w:r>
        <w:rPr>
          <w:rFonts w:ascii="Calibri"/>
          <w:sz w:val="13"/>
        </w:rPr>
        <w:t>in</w:t>
      </w:r>
      <w:r>
        <w:rPr>
          <w:rFonts w:ascii="Calibri"/>
          <w:spacing w:val="2"/>
          <w:sz w:val="13"/>
        </w:rPr>
        <w:t> </w:t>
      </w:r>
      <w:r>
        <w:rPr>
          <w:rFonts w:ascii="Calibri"/>
          <w:sz w:val="13"/>
        </w:rPr>
        <w:t>Revenues</w:t>
        <w:tab/>
        <w:t>-</w:t>
        <w:tab/>
      </w:r>
      <w:r>
        <w:rPr>
          <w:rFonts w:ascii="Calibri"/>
          <w:spacing w:val="-3"/>
          <w:sz w:val="13"/>
        </w:rPr>
        <w:t>3.8%</w:t>
        <w:tab/>
        <w:t>3.1%</w:t>
        <w:tab/>
        <w:t>8.6%</w:t>
        <w:tab/>
        <w:t>5.8%</w:t>
        <w:tab/>
        <w:t>5.4%</w:t>
        <w:tab/>
      </w:r>
      <w:r>
        <w:rPr>
          <w:rFonts w:ascii="Calibri"/>
          <w:spacing w:val="-5"/>
          <w:sz w:val="13"/>
        </w:rPr>
        <w:t>2.4%</w:t>
      </w:r>
    </w:p>
    <w:p>
      <w:pPr>
        <w:tabs>
          <w:tab w:pos="5359" w:val="left" w:leader="none"/>
          <w:tab w:pos="5972" w:val="left" w:leader="none"/>
          <w:tab w:pos="6585" w:val="left" w:leader="none"/>
          <w:tab w:pos="7198" w:val="left" w:leader="none"/>
          <w:tab w:pos="7811" w:val="left" w:leader="none"/>
          <w:tab w:pos="8423" w:val="left" w:leader="none"/>
          <w:tab w:pos="9036" w:val="left" w:leader="none"/>
        </w:tabs>
        <w:spacing w:before="42"/>
        <w:ind w:left="1420" w:right="0" w:firstLine="0"/>
        <w:jc w:val="left"/>
        <w:rPr>
          <w:rFonts w:ascii="Calibri"/>
          <w:sz w:val="13"/>
        </w:rPr>
      </w:pPr>
      <w:r>
        <w:rPr>
          <w:rFonts w:ascii="Calibri"/>
          <w:sz w:val="13"/>
        </w:rPr>
        <w:t>Total</w:t>
      </w:r>
      <w:r>
        <w:rPr>
          <w:rFonts w:ascii="Calibri"/>
          <w:spacing w:val="5"/>
          <w:sz w:val="13"/>
        </w:rPr>
        <w:t> </w:t>
      </w:r>
      <w:r>
        <w:rPr>
          <w:rFonts w:ascii="Calibri"/>
          <w:sz w:val="13"/>
        </w:rPr>
        <w:t>Expenditures</w:t>
        <w:tab/>
      </w:r>
      <w:r>
        <w:rPr>
          <w:rFonts w:ascii="Calibri"/>
          <w:spacing w:val="-4"/>
          <w:sz w:val="13"/>
        </w:rPr>
        <w:t>255,993</w:t>
        <w:tab/>
        <w:t>268,967</w:t>
        <w:tab/>
        <w:t>277,871</w:t>
        <w:tab/>
        <w:t>304,470</w:t>
        <w:tab/>
        <w:t>316,861</w:t>
        <w:tab/>
        <w:t>329,535</w:t>
        <w:tab/>
      </w:r>
      <w:r>
        <w:rPr>
          <w:rFonts w:ascii="Calibri"/>
          <w:spacing w:val="-5"/>
          <w:sz w:val="13"/>
        </w:rPr>
        <w:t>341,581</w:t>
      </w:r>
    </w:p>
    <w:p>
      <w:pPr>
        <w:tabs>
          <w:tab w:pos="5718" w:val="left" w:leader="none"/>
          <w:tab w:pos="6121" w:val="left" w:leader="none"/>
          <w:tab w:pos="6734" w:val="left" w:leader="none"/>
          <w:tab w:pos="7347" w:val="left" w:leader="none"/>
          <w:tab w:pos="7959" w:val="left" w:leader="none"/>
          <w:tab w:pos="8572" w:val="left" w:leader="none"/>
          <w:tab w:pos="9185" w:val="left" w:leader="none"/>
        </w:tabs>
        <w:spacing w:before="43"/>
        <w:ind w:left="1498" w:right="0" w:firstLine="0"/>
        <w:jc w:val="left"/>
        <w:rPr>
          <w:rFonts w:ascii="Calibri"/>
          <w:sz w:val="13"/>
        </w:rPr>
      </w:pPr>
      <w:r>
        <w:rPr/>
        <w:pict>
          <v:group style="position:absolute;margin-left:501.306915pt;margin-top:10.530107pt;width:2.2pt;height:2.2pt;mso-position-horizontal-relative:page;mso-position-vertical-relative:paragraph;z-index:1480" coordorigin="10026,211" coordsize="44,44">
            <v:line style="position:absolute" from="10026,211" to="10070,211" stroked="true" strokeweight="0pt" strokecolor="#ff0000">
              <v:stroke dashstyle="solid"/>
            </v:line>
            <v:rect style="position:absolute;left:10026;top:210;width:44;height:9" filled="true" fillcolor="#ff0000" stroked="false">
              <v:fill type="solid"/>
            </v:rect>
            <v:line style="position:absolute" from="10035,219" to="10070,219" stroked="true" strokeweight="0pt" strokecolor="#ff0000">
              <v:stroke dashstyle="solid"/>
            </v:line>
            <v:rect style="position:absolute;left:10034;top:219;width:36;height:9" filled="true" fillcolor="#ff0000" stroked="false">
              <v:fill type="solid"/>
            </v:rect>
            <v:line style="position:absolute" from="10044,228" to="10070,228" stroked="true" strokeweight="0pt" strokecolor="#ff0000">
              <v:stroke dashstyle="solid"/>
            </v:line>
            <v:rect style="position:absolute;left:10043;top:228;width:27;height:9" filled="true" fillcolor="#ff0000" stroked="false">
              <v:fill type="solid"/>
            </v:rect>
            <v:line style="position:absolute" from="10052,237" to="10070,237" stroked="true" strokeweight="0pt" strokecolor="#ff0000">
              <v:stroke dashstyle="solid"/>
            </v:line>
            <v:rect style="position:absolute;left:10052;top:236;width:18;height:9" filled="true" fillcolor="#ff0000" stroked="false">
              <v:fill type="solid"/>
            </v:rect>
            <v:line style="position:absolute" from="10061,246" to="10070,246" stroked="true" strokeweight="0pt" strokecolor="#ff0000">
              <v:stroke dashstyle="solid"/>
            </v:line>
            <v:rect style="position:absolute;left:10061;top:245;width:9;height:9" filled="true" fillcolor="#ff0000" stroked="false">
              <v:fill type="solid"/>
            </v:rect>
            <w10:wrap type="none"/>
          </v:group>
        </w:pict>
      </w:r>
      <w:r>
        <w:rPr>
          <w:rFonts w:ascii="Calibri"/>
          <w:sz w:val="13"/>
        </w:rPr>
        <w:t>% Change</w:t>
      </w:r>
      <w:r>
        <w:rPr>
          <w:rFonts w:ascii="Calibri"/>
          <w:spacing w:val="10"/>
          <w:sz w:val="13"/>
        </w:rPr>
        <w:t> </w:t>
      </w:r>
      <w:r>
        <w:rPr>
          <w:rFonts w:ascii="Calibri"/>
          <w:sz w:val="13"/>
        </w:rPr>
        <w:t>in</w:t>
      </w:r>
      <w:r>
        <w:rPr>
          <w:rFonts w:ascii="Calibri"/>
          <w:spacing w:val="2"/>
          <w:sz w:val="13"/>
        </w:rPr>
        <w:t> </w:t>
      </w:r>
      <w:r>
        <w:rPr>
          <w:rFonts w:ascii="Calibri"/>
          <w:sz w:val="13"/>
        </w:rPr>
        <w:t>Expenditures</w:t>
        <w:tab/>
        <w:t>-</w:t>
        <w:tab/>
      </w:r>
      <w:r>
        <w:rPr>
          <w:rFonts w:ascii="Calibri"/>
          <w:spacing w:val="-3"/>
          <w:sz w:val="13"/>
        </w:rPr>
        <w:t>5.1%</w:t>
        <w:tab/>
        <w:t>3.3%</w:t>
        <w:tab/>
        <w:t>9.6%</w:t>
        <w:tab/>
        <w:t>4.1%</w:t>
        <w:tab/>
        <w:t>4.0%</w:t>
        <w:tab/>
      </w:r>
      <w:r>
        <w:rPr>
          <w:rFonts w:ascii="Calibri"/>
          <w:spacing w:val="-5"/>
          <w:sz w:val="13"/>
        </w:rPr>
        <w:t>3.7%</w:t>
      </w:r>
    </w:p>
    <w:p>
      <w:pPr>
        <w:tabs>
          <w:tab w:pos="5578" w:val="left" w:leader="none"/>
          <w:tab w:pos="6191" w:val="left" w:leader="none"/>
          <w:tab w:pos="6804" w:val="left" w:leader="none"/>
          <w:tab w:pos="7320" w:val="left" w:leader="none"/>
          <w:tab w:pos="8029" w:val="left" w:leader="none"/>
          <w:tab w:pos="8642" w:val="left" w:leader="none"/>
          <w:tab w:pos="9255" w:val="left" w:leader="none"/>
        </w:tabs>
        <w:spacing w:before="43"/>
        <w:ind w:left="1420" w:right="0" w:firstLine="0"/>
        <w:jc w:val="left"/>
        <w:rPr>
          <w:rFonts w:ascii="Calibri"/>
          <w:sz w:val="13"/>
        </w:rPr>
      </w:pPr>
      <w:r>
        <w:rPr/>
        <w:pict>
          <v:group style="position:absolute;margin-left:501.306915pt;margin-top:10.530524pt;width:2.2pt;height:2.2pt;mso-position-horizontal-relative:page;mso-position-vertical-relative:paragraph;z-index:1504" coordorigin="10026,211" coordsize="44,44">
            <v:line style="position:absolute" from="10026,211" to="10070,211" stroked="true" strokeweight="0pt" strokecolor="#ff0000">
              <v:stroke dashstyle="solid"/>
            </v:line>
            <v:rect style="position:absolute;left:10026;top:210;width:44;height:9" filled="true" fillcolor="#ff0000" stroked="false">
              <v:fill type="solid"/>
            </v:rect>
            <v:line style="position:absolute" from="10035,219" to="10070,219" stroked="true" strokeweight="0pt" strokecolor="#ff0000">
              <v:stroke dashstyle="solid"/>
            </v:line>
            <v:rect style="position:absolute;left:10034;top:219;width:36;height:9" filled="true" fillcolor="#ff0000" stroked="false">
              <v:fill type="solid"/>
            </v:rect>
            <v:line style="position:absolute" from="10044,228" to="10070,228" stroked="true" strokeweight="0pt" strokecolor="#ff0000">
              <v:stroke dashstyle="solid"/>
            </v:line>
            <v:rect style="position:absolute;left:10043;top:228;width:27;height:9" filled="true" fillcolor="#ff0000" stroked="false">
              <v:fill type="solid"/>
            </v:rect>
            <v:line style="position:absolute" from="10052,237" to="10070,237" stroked="true" strokeweight="0pt" strokecolor="#ff0000">
              <v:stroke dashstyle="solid"/>
            </v:line>
            <v:rect style="position:absolute;left:10052;top:236;width:18;height:9" filled="true" fillcolor="#ff0000" stroked="false">
              <v:fill type="solid"/>
            </v:rect>
            <v:line style="position:absolute" from="10061,246" to="10070,246" stroked="true" strokeweight="0pt" strokecolor="#ff0000">
              <v:stroke dashstyle="solid"/>
            </v:line>
            <v:rect style="position:absolute;left:10061;top:245;width:9;height:9" filled="true" fillcolor="#ff0000" stroked="false">
              <v:fill type="solid"/>
            </v:rect>
            <w10:wrap type="none"/>
          </v:group>
        </w:pict>
      </w:r>
      <w:r>
        <w:rPr>
          <w:rFonts w:ascii="Calibri"/>
          <w:sz w:val="13"/>
        </w:rPr>
        <w:t>Transfers In and</w:t>
      </w:r>
      <w:r>
        <w:rPr>
          <w:rFonts w:ascii="Calibri"/>
          <w:spacing w:val="-2"/>
          <w:sz w:val="13"/>
        </w:rPr>
        <w:t> </w:t>
      </w:r>
      <w:r>
        <w:rPr>
          <w:rFonts w:ascii="Calibri"/>
          <w:sz w:val="13"/>
        </w:rPr>
        <w:t>Other</w:t>
      </w:r>
      <w:r>
        <w:rPr>
          <w:rFonts w:ascii="Calibri"/>
          <w:spacing w:val="-4"/>
          <w:sz w:val="13"/>
        </w:rPr>
        <w:t> </w:t>
      </w:r>
      <w:r>
        <w:rPr>
          <w:rFonts w:ascii="Calibri"/>
          <w:sz w:val="13"/>
        </w:rPr>
        <w:t>Sources</w:t>
        <w:tab/>
      </w:r>
      <w:r>
        <w:rPr>
          <w:rFonts w:ascii="Calibri"/>
          <w:spacing w:val="-4"/>
          <w:sz w:val="13"/>
        </w:rPr>
        <w:t>934</w:t>
        <w:tab/>
        <w:t>505</w:t>
        <w:tab/>
        <w:t>452</w:t>
        <w:tab/>
        <w:t>4,612</w:t>
        <w:tab/>
        <w:t>459</w:t>
        <w:tab/>
      </w:r>
      <w:r>
        <w:rPr>
          <w:rFonts w:ascii="Calibri"/>
          <w:spacing w:val="-6"/>
          <w:sz w:val="13"/>
        </w:rPr>
        <w:t>469</w:t>
        <w:tab/>
        <w:t>425</w:t>
      </w:r>
    </w:p>
    <w:p>
      <w:pPr>
        <w:tabs>
          <w:tab w:pos="5578" w:val="left" w:leader="none"/>
          <w:tab w:pos="6191" w:val="left" w:leader="none"/>
          <w:tab w:pos="6804" w:val="left" w:leader="none"/>
          <w:tab w:pos="7417" w:val="left" w:leader="none"/>
          <w:tab w:pos="8029" w:val="left" w:leader="none"/>
          <w:tab w:pos="8642" w:val="left" w:leader="none"/>
          <w:tab w:pos="9255" w:val="left" w:leader="none"/>
        </w:tabs>
        <w:spacing w:before="43"/>
        <w:ind w:left="1420" w:right="0" w:firstLine="0"/>
        <w:jc w:val="left"/>
        <w:rPr>
          <w:rFonts w:ascii="Calibri"/>
          <w:sz w:val="13"/>
        </w:rPr>
      </w:pPr>
      <w:r>
        <w:rPr>
          <w:rFonts w:ascii="Calibri"/>
          <w:sz w:val="13"/>
        </w:rPr>
        <w:t>Transfers Out and</w:t>
      </w:r>
      <w:r>
        <w:rPr>
          <w:rFonts w:ascii="Calibri"/>
          <w:spacing w:val="-3"/>
          <w:sz w:val="13"/>
        </w:rPr>
        <w:t> </w:t>
      </w:r>
      <w:r>
        <w:rPr>
          <w:rFonts w:ascii="Calibri"/>
          <w:sz w:val="13"/>
        </w:rPr>
        <w:t>Other</w:t>
      </w:r>
      <w:r>
        <w:rPr>
          <w:rFonts w:ascii="Calibri"/>
          <w:spacing w:val="-4"/>
          <w:sz w:val="13"/>
        </w:rPr>
        <w:t> </w:t>
      </w:r>
      <w:r>
        <w:rPr>
          <w:rFonts w:ascii="Calibri"/>
          <w:sz w:val="13"/>
        </w:rPr>
        <w:t>Uses</w:t>
        <w:tab/>
      </w:r>
      <w:r>
        <w:rPr>
          <w:rFonts w:ascii="Calibri"/>
          <w:spacing w:val="-4"/>
          <w:sz w:val="13"/>
        </w:rPr>
        <w:t>398</w:t>
        <w:tab/>
        <w:t>449</w:t>
        <w:tab/>
        <w:t>440</w:t>
        <w:tab/>
        <w:t>506</w:t>
        <w:tab/>
        <w:t>537</w:t>
        <w:tab/>
      </w:r>
      <w:r>
        <w:rPr>
          <w:rFonts w:ascii="Calibri"/>
          <w:spacing w:val="-6"/>
          <w:sz w:val="13"/>
        </w:rPr>
        <w:t>342</w:t>
        <w:tab/>
        <w:t>767</w:t>
      </w:r>
    </w:p>
    <w:p>
      <w:pPr>
        <w:tabs>
          <w:tab w:pos="5578" w:val="left" w:leader="none"/>
          <w:tab w:pos="6252" w:val="left" w:leader="none"/>
          <w:tab w:pos="6865" w:val="left" w:leader="none"/>
          <w:tab w:pos="7320" w:val="left" w:leader="none"/>
          <w:tab w:pos="8003" w:val="left" w:leader="none"/>
          <w:tab w:pos="8642" w:val="left" w:leader="none"/>
          <w:tab w:pos="9168" w:val="left" w:leader="none"/>
        </w:tabs>
        <w:spacing w:before="43"/>
        <w:ind w:left="1498" w:right="0" w:firstLine="0"/>
        <w:jc w:val="left"/>
        <w:rPr>
          <w:rFonts w:ascii="Calibri"/>
          <w:sz w:val="13"/>
        </w:rPr>
      </w:pPr>
      <w:r>
        <w:rPr>
          <w:rFonts w:ascii="Calibri"/>
          <w:spacing w:val="2"/>
          <w:sz w:val="13"/>
        </w:rPr>
        <w:t>Net</w:t>
      </w:r>
      <w:r>
        <w:rPr>
          <w:rFonts w:ascii="Calibri"/>
          <w:spacing w:val="-3"/>
          <w:sz w:val="13"/>
        </w:rPr>
        <w:t> </w:t>
      </w:r>
      <w:r>
        <w:rPr>
          <w:rFonts w:ascii="Calibri"/>
          <w:sz w:val="13"/>
        </w:rPr>
        <w:t>Transfers</w:t>
        <w:tab/>
      </w:r>
      <w:r>
        <w:rPr>
          <w:rFonts w:ascii="Calibri"/>
          <w:spacing w:val="-4"/>
          <w:sz w:val="13"/>
        </w:rPr>
        <w:t>536</w:t>
        <w:tab/>
      </w:r>
      <w:r>
        <w:rPr>
          <w:rFonts w:ascii="Calibri"/>
          <w:spacing w:val="-3"/>
          <w:sz w:val="13"/>
        </w:rPr>
        <w:t>56</w:t>
        <w:tab/>
        <w:t>12</w:t>
        <w:tab/>
      </w:r>
      <w:r>
        <w:rPr>
          <w:rFonts w:ascii="Calibri"/>
          <w:spacing w:val="-4"/>
          <w:sz w:val="13"/>
        </w:rPr>
        <w:t>4,106</w:t>
        <w:tab/>
      </w:r>
      <w:r>
        <w:rPr>
          <w:rFonts w:ascii="Calibri"/>
          <w:spacing w:val="-3"/>
          <w:sz w:val="13"/>
        </w:rPr>
        <w:t>(78)</w:t>
        <w:tab/>
      </w:r>
      <w:r>
        <w:rPr>
          <w:rFonts w:ascii="Calibri"/>
          <w:spacing w:val="-4"/>
          <w:sz w:val="13"/>
        </w:rPr>
        <w:t>127</w:t>
        <w:tab/>
      </w:r>
      <w:r>
        <w:rPr>
          <w:rFonts w:ascii="Calibri"/>
          <w:spacing w:val="-5"/>
          <w:sz w:val="13"/>
        </w:rPr>
        <w:t>(341)</w:t>
      </w:r>
    </w:p>
    <w:p>
      <w:pPr>
        <w:tabs>
          <w:tab w:pos="5718" w:val="left" w:leader="none"/>
          <w:tab w:pos="6331" w:val="left" w:leader="none"/>
          <w:tab w:pos="6944" w:val="left" w:leader="none"/>
          <w:tab w:pos="7557" w:val="left" w:leader="none"/>
          <w:tab w:pos="8170" w:val="left" w:leader="none"/>
          <w:tab w:pos="8782" w:val="left" w:leader="none"/>
          <w:tab w:pos="9395" w:val="left" w:leader="none"/>
        </w:tabs>
        <w:spacing w:before="43"/>
        <w:ind w:left="1420" w:right="0" w:firstLine="0"/>
        <w:jc w:val="left"/>
        <w:rPr>
          <w:rFonts w:ascii="Calibri"/>
          <w:sz w:val="13"/>
        </w:rPr>
      </w:pPr>
      <w:r>
        <w:rPr>
          <w:rFonts w:ascii="Calibri"/>
          <w:sz w:val="13"/>
        </w:rPr>
        <w:t>Bond Proceeds and Other</w:t>
      </w:r>
      <w:r>
        <w:rPr>
          <w:rFonts w:ascii="Calibri"/>
          <w:spacing w:val="2"/>
          <w:sz w:val="13"/>
        </w:rPr>
        <w:t> </w:t>
      </w:r>
      <w:r>
        <w:rPr>
          <w:rFonts w:ascii="Calibri"/>
          <w:sz w:val="13"/>
        </w:rPr>
        <w:t>One-Time</w:t>
      </w:r>
      <w:r>
        <w:rPr>
          <w:rFonts w:ascii="Calibri"/>
          <w:spacing w:val="6"/>
          <w:sz w:val="13"/>
        </w:rPr>
        <w:t> </w:t>
      </w:r>
      <w:r>
        <w:rPr>
          <w:rFonts w:ascii="Calibri"/>
          <w:sz w:val="13"/>
        </w:rPr>
        <w:t>Uses</w:t>
        <w:tab/>
        <w:t>-</w:t>
        <w:tab/>
        <w:t>-</w:t>
        <w:tab/>
        <w:t>-</w:t>
        <w:tab/>
        <w:t>-</w:t>
        <w:tab/>
        <w:t>-</w:t>
        <w:tab/>
        <w:t>-</w:t>
        <w:tab/>
        <w:t>-</w:t>
      </w:r>
    </w:p>
    <w:p>
      <w:pPr>
        <w:tabs>
          <w:tab w:pos="5482" w:val="left" w:leader="none"/>
          <w:tab w:pos="6095" w:val="left" w:leader="none"/>
          <w:tab w:pos="6707" w:val="left" w:leader="none"/>
          <w:tab w:pos="7320" w:val="left" w:leader="none"/>
          <w:tab w:pos="7933" w:val="left" w:leader="none"/>
          <w:tab w:pos="8485" w:val="left" w:leader="none"/>
          <w:tab w:pos="9159" w:val="left" w:leader="none"/>
        </w:tabs>
        <w:spacing w:before="245"/>
        <w:ind w:left="1420" w:right="0" w:firstLine="0"/>
        <w:jc w:val="left"/>
        <w:rPr>
          <w:rFonts w:ascii="Calibri"/>
          <w:sz w:val="13"/>
        </w:rPr>
      </w:pPr>
      <w:r>
        <w:rPr>
          <w:rFonts w:ascii="Calibri"/>
          <w:spacing w:val="2"/>
          <w:sz w:val="13"/>
        </w:rPr>
        <w:t>Net </w:t>
      </w:r>
      <w:r>
        <w:rPr>
          <w:rFonts w:ascii="Calibri"/>
          <w:sz w:val="13"/>
        </w:rPr>
        <w:t>Operating Surplus(+)/Deficit(-)</w:t>
      </w:r>
      <w:r>
        <w:rPr>
          <w:rFonts w:ascii="Calibri"/>
          <w:spacing w:val="15"/>
          <w:sz w:val="13"/>
        </w:rPr>
        <w:t> </w:t>
      </w:r>
      <w:r>
        <w:rPr>
          <w:rFonts w:ascii="Calibri"/>
          <w:sz w:val="13"/>
        </w:rPr>
        <w:t>After</w:t>
      </w:r>
      <w:r>
        <w:rPr>
          <w:rFonts w:ascii="Calibri"/>
          <w:spacing w:val="1"/>
          <w:sz w:val="13"/>
        </w:rPr>
        <w:t> </w:t>
      </w:r>
      <w:r>
        <w:rPr>
          <w:rFonts w:ascii="Calibri"/>
          <w:sz w:val="13"/>
        </w:rPr>
        <w:t>Transfers</w:t>
        <w:tab/>
      </w:r>
      <w:r>
        <w:rPr>
          <w:rFonts w:ascii="Calibri"/>
          <w:spacing w:val="-4"/>
          <w:sz w:val="13"/>
        </w:rPr>
        <w:t>8,307</w:t>
        <w:tab/>
        <w:t>4,766</w:t>
        <w:tab/>
        <w:t>4,352</w:t>
        <w:tab/>
        <w:t>6,138</w:t>
        <w:tab/>
        <w:t>7,279</w:t>
        <w:tab/>
        <w:t>12,318</w:t>
        <w:tab/>
      </w:r>
      <w:r>
        <w:rPr>
          <w:rFonts w:ascii="Calibri"/>
          <w:spacing w:val="-5"/>
          <w:sz w:val="13"/>
        </w:rPr>
        <w:t>7,941</w:t>
      </w:r>
    </w:p>
    <w:p>
      <w:pPr>
        <w:tabs>
          <w:tab w:pos="5508" w:val="left" w:leader="none"/>
          <w:tab w:pos="6121" w:val="left" w:leader="none"/>
          <w:tab w:pos="6734" w:val="left" w:leader="none"/>
          <w:tab w:pos="7347" w:val="left" w:leader="none"/>
          <w:tab w:pos="7959" w:val="left" w:leader="none"/>
          <w:tab w:pos="8572" w:val="left" w:leader="none"/>
          <w:tab w:pos="9185" w:val="left" w:leader="none"/>
        </w:tabs>
        <w:spacing w:before="42"/>
        <w:ind w:left="1420" w:right="0" w:firstLine="0"/>
        <w:jc w:val="left"/>
        <w:rPr>
          <w:rFonts w:ascii="Calibri"/>
          <w:sz w:val="13"/>
        </w:rPr>
      </w:pPr>
      <w:r>
        <w:rPr>
          <w:rFonts w:ascii="Calibri"/>
          <w:spacing w:val="2"/>
          <w:sz w:val="13"/>
        </w:rPr>
        <w:t>Net </w:t>
      </w:r>
      <w:r>
        <w:rPr>
          <w:rFonts w:ascii="Calibri"/>
          <w:sz w:val="13"/>
        </w:rPr>
        <w:t>Operating Surplus(+)/Deficit(-) (% of Expend. and</w:t>
      </w:r>
      <w:r>
        <w:rPr>
          <w:rFonts w:ascii="Calibri"/>
          <w:spacing w:val="27"/>
          <w:sz w:val="13"/>
        </w:rPr>
        <w:t> </w:t>
      </w:r>
      <w:r>
        <w:rPr>
          <w:rFonts w:ascii="Calibri"/>
          <w:sz w:val="13"/>
        </w:rPr>
        <w:t>Transfers</w:t>
      </w:r>
      <w:r>
        <w:rPr>
          <w:rFonts w:ascii="Calibri"/>
          <w:spacing w:val="4"/>
          <w:sz w:val="13"/>
        </w:rPr>
        <w:t> </w:t>
      </w:r>
      <w:r>
        <w:rPr>
          <w:rFonts w:ascii="Calibri"/>
          <w:sz w:val="13"/>
        </w:rPr>
        <w:t>Out)</w:t>
        <w:tab/>
      </w:r>
      <w:r>
        <w:rPr>
          <w:rFonts w:ascii="Calibri"/>
          <w:spacing w:val="-3"/>
          <w:sz w:val="13"/>
        </w:rPr>
        <w:t>3.2%</w:t>
        <w:tab/>
        <w:t>1.8%</w:t>
        <w:tab/>
        <w:t>1.6%</w:t>
        <w:tab/>
        <w:t>2.0%</w:t>
        <w:tab/>
        <w:t>2.3%</w:t>
        <w:tab/>
        <w:t>3.7%</w:t>
        <w:tab/>
      </w:r>
      <w:r>
        <w:rPr>
          <w:rFonts w:ascii="Calibri"/>
          <w:spacing w:val="-5"/>
          <w:sz w:val="13"/>
        </w:rPr>
        <w:t>2.3%</w:t>
      </w:r>
    </w:p>
    <w:p>
      <w:pPr>
        <w:tabs>
          <w:tab w:pos="5421" w:val="left" w:leader="none"/>
          <w:tab w:pos="5718" w:val="left" w:leader="none"/>
          <w:tab w:pos="6033" w:val="left" w:leader="none"/>
          <w:tab w:pos="6331" w:val="left" w:leader="none"/>
          <w:tab w:pos="6646" w:val="left" w:leader="none"/>
          <w:tab w:pos="6944" w:val="left" w:leader="none"/>
          <w:tab w:pos="7259" w:val="left" w:leader="none"/>
          <w:tab w:pos="7557" w:val="left" w:leader="none"/>
          <w:tab w:pos="7872" w:val="left" w:leader="none"/>
          <w:tab w:pos="8170" w:val="left" w:leader="none"/>
          <w:tab w:pos="8423" w:val="left" w:leader="none"/>
          <w:tab w:pos="8782" w:val="left" w:leader="none"/>
          <w:tab w:pos="9036" w:val="left" w:leader="none"/>
          <w:tab w:pos="9395" w:val="left" w:leader="none"/>
        </w:tabs>
        <w:spacing w:line="304" w:lineRule="auto" w:before="245"/>
        <w:ind w:left="1420" w:right="2798" w:firstLine="0"/>
        <w:jc w:val="left"/>
        <w:rPr>
          <w:rFonts w:ascii="Calibri"/>
          <w:sz w:val="13"/>
        </w:rPr>
      </w:pPr>
      <w:r>
        <w:rPr/>
        <w:pict>
          <v:group style="position:absolute;margin-left:286.814178pt;margin-top:20.630564pt;width:2.2pt;height:2.2pt;mso-position-horizontal-relative:page;mso-position-vertical-relative:paragraph;z-index:-21808" coordorigin="5736,413" coordsize="44,44">
            <v:line style="position:absolute" from="5736,413" to="5780,413" stroked="true" strokeweight="0pt" strokecolor="#ff0000">
              <v:stroke dashstyle="solid"/>
            </v:line>
            <v:rect style="position:absolute;left:5736;top:412;width:44;height:9" filled="true" fillcolor="#ff0000" stroked="false">
              <v:fill type="solid"/>
            </v:rect>
            <v:line style="position:absolute" from="5745,421" to="5780,421" stroked="true" strokeweight="0pt" strokecolor="#ff0000">
              <v:stroke dashstyle="solid"/>
            </v:line>
            <v:rect style="position:absolute;left:5745;top:421;width:36;height:9" filled="true" fillcolor="#ff0000" stroked="false">
              <v:fill type="solid"/>
            </v:rect>
            <v:line style="position:absolute" from="5754,430" to="5780,430" stroked="true" strokeweight="0pt" strokecolor="#ff0000">
              <v:stroke dashstyle="solid"/>
            </v:line>
            <v:rect style="position:absolute;left:5753;top:430;width:27;height:9" filled="true" fillcolor="#ff0000" stroked="false">
              <v:fill type="solid"/>
            </v:rect>
            <v:line style="position:absolute" from="5763,439" to="5780,439" stroked="true" strokeweight="0pt" strokecolor="#ff0000">
              <v:stroke dashstyle="solid"/>
            </v:line>
            <v:rect style="position:absolute;left:5762;top:438;width:18;height:9" filled="true" fillcolor="#ff0000" stroked="false">
              <v:fill type="solid"/>
            </v:rect>
            <v:line style="position:absolute" from="5771,448" to="5780,448" stroked="true" strokeweight="0pt" strokecolor="#ff0000">
              <v:stroke dashstyle="solid"/>
            </v:line>
            <v:rect style="position:absolute;left:5771;top:447;width:9;height:9" filled="true" fillcolor="#ff0000" stroked="false">
              <v:fill type="solid"/>
            </v:rect>
            <w10:wrap type="none"/>
          </v:group>
        </w:pict>
      </w:r>
      <w:r>
        <w:rPr/>
        <w:pict>
          <v:group style="position:absolute;margin-left:317.455963pt;margin-top:20.630564pt;width:2.2pt;height:2.2pt;mso-position-horizontal-relative:page;mso-position-vertical-relative:paragraph;z-index:-21784" coordorigin="6349,413" coordsize="44,44">
            <v:line style="position:absolute" from="6349,413" to="6393,413" stroked="true" strokeweight="0pt" strokecolor="#ff0000">
              <v:stroke dashstyle="solid"/>
            </v:line>
            <v:rect style="position:absolute;left:6349;top:412;width:44;height:9" filled="true" fillcolor="#ff0000" stroked="false">
              <v:fill type="solid"/>
            </v:rect>
            <v:line style="position:absolute" from="6358,421" to="6393,421" stroked="true" strokeweight="0pt" strokecolor="#ff0000">
              <v:stroke dashstyle="solid"/>
            </v:line>
            <v:rect style="position:absolute;left:6357;top:421;width:36;height:9" filled="true" fillcolor="#ff0000" stroked="false">
              <v:fill type="solid"/>
            </v:rect>
            <v:line style="position:absolute" from="6367,430" to="6393,430" stroked="true" strokeweight="0pt" strokecolor="#ff0000">
              <v:stroke dashstyle="solid"/>
            </v:line>
            <v:rect style="position:absolute;left:6366;top:430;width:27;height:9" filled="true" fillcolor="#ff0000" stroked="false">
              <v:fill type="solid"/>
            </v:rect>
            <v:line style="position:absolute" from="6375,439" to="6393,439" stroked="true" strokeweight="0pt" strokecolor="#ff0000">
              <v:stroke dashstyle="solid"/>
            </v:line>
            <v:rect style="position:absolute;left:6375;top:438;width:18;height:9" filled="true" fillcolor="#ff0000" stroked="false">
              <v:fill type="solid"/>
            </v:rect>
            <v:line style="position:absolute" from="6384,448" to="6393,448" stroked="true" strokeweight="0pt" strokecolor="#ff0000">
              <v:stroke dashstyle="solid"/>
            </v:line>
            <v:rect style="position:absolute;left:6384;top:447;width:9;height:9" filled="true" fillcolor="#ff0000" stroked="false">
              <v:fill type="solid"/>
            </v:rect>
            <w10:wrap type="none"/>
          </v:group>
        </w:pict>
      </w:r>
      <w:r>
        <w:rPr/>
        <w:pict>
          <v:group style="position:absolute;margin-left:348.097992pt;margin-top:20.630564pt;width:2.2pt;height:2.2pt;mso-position-horizontal-relative:page;mso-position-vertical-relative:paragraph;z-index:-21760" coordorigin="6962,413" coordsize="44,44">
            <v:line style="position:absolute" from="6962,413" to="7006,413" stroked="true" strokeweight="0pt" strokecolor="#ff0000">
              <v:stroke dashstyle="solid"/>
            </v:line>
            <v:rect style="position:absolute;left:6961;top:412;width:44;height:9" filled="true" fillcolor="#ff0000" stroked="false">
              <v:fill type="solid"/>
            </v:rect>
            <v:line style="position:absolute" from="6971,421" to="7006,421" stroked="true" strokeweight="0pt" strokecolor="#ff0000">
              <v:stroke dashstyle="solid"/>
            </v:line>
            <v:rect style="position:absolute;left:6970;top:421;width:36;height:9" filled="true" fillcolor="#ff0000" stroked="false">
              <v:fill type="solid"/>
            </v:rect>
            <v:line style="position:absolute" from="6979,430" to="7006,430" stroked="true" strokeweight="0pt" strokecolor="#ff0000">
              <v:stroke dashstyle="solid"/>
            </v:line>
            <v:rect style="position:absolute;left:6979;top:430;width:27;height:9" filled="true" fillcolor="#ff0000" stroked="false">
              <v:fill type="solid"/>
            </v:rect>
            <v:line style="position:absolute" from="6988,439" to="7006,439" stroked="true" strokeweight="0pt" strokecolor="#ff0000">
              <v:stroke dashstyle="solid"/>
            </v:line>
            <v:rect style="position:absolute;left:6988;top:438;width:18;height:9" filled="true" fillcolor="#ff0000" stroked="false">
              <v:fill type="solid"/>
            </v:rect>
            <v:line style="position:absolute" from="6997,448" to="7006,448" stroked="true" strokeweight="0pt" strokecolor="#ff0000">
              <v:stroke dashstyle="solid"/>
            </v:line>
            <v:rect style="position:absolute;left:6996;top:447;width:9;height:9" filled="true" fillcolor="#ff0000" stroked="false">
              <v:fill type="solid"/>
            </v:rect>
            <w10:wrap type="none"/>
          </v:group>
        </w:pict>
      </w:r>
      <w:r>
        <w:rPr/>
        <w:pict>
          <v:group style="position:absolute;margin-left:378.739777pt;margin-top:20.630564pt;width:2.2pt;height:2.2pt;mso-position-horizontal-relative:page;mso-position-vertical-relative:paragraph;z-index:-21736" coordorigin="7575,413" coordsize="44,44">
            <v:line style="position:absolute" from="7575,413" to="7619,413" stroked="true" strokeweight="0pt" strokecolor="#ff0000">
              <v:stroke dashstyle="solid"/>
            </v:line>
            <v:rect style="position:absolute;left:7574;top:412;width:44;height:9" filled="true" fillcolor="#ff0000" stroked="false">
              <v:fill type="solid"/>
            </v:rect>
            <v:line style="position:absolute" from="7584,421" to="7619,421" stroked="true" strokeweight="0pt" strokecolor="#ff0000">
              <v:stroke dashstyle="solid"/>
            </v:line>
            <v:rect style="position:absolute;left:7583;top:421;width:36;height:9" filled="true" fillcolor="#ff0000" stroked="false">
              <v:fill type="solid"/>
            </v:rect>
            <v:line style="position:absolute" from="7592,430" to="7619,430" stroked="true" strokeweight="0pt" strokecolor="#ff0000">
              <v:stroke dashstyle="solid"/>
            </v:line>
            <v:rect style="position:absolute;left:7592;top:430;width:27;height:9" filled="true" fillcolor="#ff0000" stroked="false">
              <v:fill type="solid"/>
            </v:rect>
            <v:line style="position:absolute" from="7601,439" to="7619,439" stroked="true" strokeweight="0pt" strokecolor="#ff0000">
              <v:stroke dashstyle="solid"/>
            </v:line>
            <v:rect style="position:absolute;left:7601;top:438;width:18;height:9" filled="true" fillcolor="#ff0000" stroked="false">
              <v:fill type="solid"/>
            </v:rect>
            <v:line style="position:absolute" from="7610,448" to="7619,448" stroked="true" strokeweight="0pt" strokecolor="#ff0000">
              <v:stroke dashstyle="solid"/>
            </v:line>
            <v:rect style="position:absolute;left:7609;top:447;width:9;height:9" filled="true" fillcolor="#ff0000" stroked="false">
              <v:fill type="solid"/>
            </v:rect>
            <w10:wrap type="none"/>
          </v:group>
        </w:pict>
      </w:r>
      <w:r>
        <w:rPr/>
        <w:pict>
          <v:group style="position:absolute;margin-left:409.381348pt;margin-top:20.630564pt;width:2.2pt;height:2.2pt;mso-position-horizontal-relative:page;mso-position-vertical-relative:paragraph;z-index:-21712" coordorigin="8188,413" coordsize="44,44">
            <v:line style="position:absolute" from="8188,413" to="8231,413" stroked="true" strokeweight="0pt" strokecolor="#ff0000">
              <v:stroke dashstyle="solid"/>
            </v:line>
            <v:rect style="position:absolute;left:8187;top:412;width:44;height:9" filled="true" fillcolor="#ff0000" stroked="false">
              <v:fill type="solid"/>
            </v:rect>
            <v:line style="position:absolute" from="8196,421" to="8231,421" stroked="true" strokeweight="0pt" strokecolor="#ff0000">
              <v:stroke dashstyle="solid"/>
            </v:line>
            <v:rect style="position:absolute;left:8196;top:421;width:36;height:9" filled="true" fillcolor="#ff0000" stroked="false">
              <v:fill type="solid"/>
            </v:rect>
            <v:line style="position:absolute" from="8205,430" to="8231,430" stroked="true" strokeweight="0pt" strokecolor="#ff0000">
              <v:stroke dashstyle="solid"/>
            </v:line>
            <v:rect style="position:absolute;left:8205;top:430;width:27;height:9" filled="true" fillcolor="#ff0000" stroked="false">
              <v:fill type="solid"/>
            </v:rect>
            <v:line style="position:absolute" from="8214,439" to="8231,439" stroked="true" strokeweight="0pt" strokecolor="#ff0000">
              <v:stroke dashstyle="solid"/>
            </v:line>
            <v:rect style="position:absolute;left:8213;top:438;width:18;height:9" filled="true" fillcolor="#ff0000" stroked="false">
              <v:fill type="solid"/>
            </v:rect>
            <v:line style="position:absolute" from="8223,448" to="8231,448" stroked="true" strokeweight="0pt" strokecolor="#ff0000">
              <v:stroke dashstyle="solid"/>
            </v:line>
            <v:rect style="position:absolute;left:8222;top:447;width:9;height:9" filled="true" fillcolor="#ff0000" stroked="false">
              <v:fill type="solid"/>
            </v:rect>
            <w10:wrap type="none"/>
          </v:group>
        </w:pict>
      </w:r>
      <w:r>
        <w:rPr/>
        <w:pict>
          <v:group style="position:absolute;margin-left:440.023132pt;margin-top:20.630564pt;width:2.2pt;height:2.2pt;mso-position-horizontal-relative:page;mso-position-vertical-relative:paragraph;z-index:-21688" coordorigin="8800,413" coordsize="44,44">
            <v:line style="position:absolute" from="8800,413" to="8844,413" stroked="true" strokeweight="0pt" strokecolor="#ff0000">
              <v:stroke dashstyle="solid"/>
            </v:line>
            <v:rect style="position:absolute;left:8800;top:412;width:44;height:9" filled="true" fillcolor="#ff0000" stroked="false">
              <v:fill type="solid"/>
            </v:rect>
            <v:line style="position:absolute" from="8809,421" to="8844,421" stroked="true" strokeweight="0pt" strokecolor="#ff0000">
              <v:stroke dashstyle="solid"/>
            </v:line>
            <v:rect style="position:absolute;left:8809;top:421;width:36;height:9" filled="true" fillcolor="#ff0000" stroked="false">
              <v:fill type="solid"/>
            </v:rect>
            <v:line style="position:absolute" from="8818,430" to="8844,430" stroked="true" strokeweight="0pt" strokecolor="#ff0000">
              <v:stroke dashstyle="solid"/>
            </v:line>
            <v:rect style="position:absolute;left:8817;top:430;width:27;height:9" filled="true" fillcolor="#ff0000" stroked="false">
              <v:fill type="solid"/>
            </v:rect>
            <v:line style="position:absolute" from="8827,439" to="8844,439" stroked="true" strokeweight="0pt" strokecolor="#ff0000">
              <v:stroke dashstyle="solid"/>
            </v:line>
            <v:rect style="position:absolute;left:8826;top:438;width:18;height:9" filled="true" fillcolor="#ff0000" stroked="false">
              <v:fill type="solid"/>
            </v:rect>
            <v:line style="position:absolute" from="8835,448" to="8844,448" stroked="true" strokeweight="0pt" strokecolor="#ff0000">
              <v:stroke dashstyle="solid"/>
            </v:line>
            <v:rect style="position:absolute;left:8835;top:447;width:9;height:9" filled="true" fillcolor="#ff0000" stroked="false">
              <v:fill type="solid"/>
            </v:rect>
            <w10:wrap type="none"/>
          </v:group>
        </w:pict>
      </w:r>
      <w:r>
        <w:rPr/>
        <w:pict>
          <v:group style="position:absolute;margin-left:470.664948pt;margin-top:20.630564pt;width:2.2pt;height:2.2pt;mso-position-horizontal-relative:page;mso-position-vertical-relative:paragraph;z-index:-21664" coordorigin="9413,413" coordsize="44,44">
            <v:line style="position:absolute" from="9413,413" to="9457,413" stroked="true" strokeweight="0pt" strokecolor="#ff0000">
              <v:stroke dashstyle="solid"/>
            </v:line>
            <v:rect style="position:absolute;left:9413;top:412;width:44;height:9" filled="true" fillcolor="#ff0000" stroked="false">
              <v:fill type="solid"/>
            </v:rect>
            <v:line style="position:absolute" from="9422,421" to="9457,421" stroked="true" strokeweight="0pt" strokecolor="#ff0000">
              <v:stroke dashstyle="solid"/>
            </v:line>
            <v:rect style="position:absolute;left:9422;top:421;width:36;height:9" filled="true" fillcolor="#ff0000" stroked="false">
              <v:fill type="solid"/>
            </v:rect>
            <v:line style="position:absolute" from="9431,430" to="9457,430" stroked="true" strokeweight="0pt" strokecolor="#ff0000">
              <v:stroke dashstyle="solid"/>
            </v:line>
            <v:rect style="position:absolute;left:9430;top:430;width:27;height:9" filled="true" fillcolor="#ff0000" stroked="false">
              <v:fill type="solid"/>
            </v:rect>
            <v:line style="position:absolute" from="9440,439" to="9457,439" stroked="true" strokeweight="0pt" strokecolor="#ff0000">
              <v:stroke dashstyle="solid"/>
            </v:line>
            <v:rect style="position:absolute;left:9439;top:438;width:18;height:9" filled="true" fillcolor="#ff0000" stroked="false">
              <v:fill type="solid"/>
            </v:rect>
            <v:line style="position:absolute" from="9448,448" to="9457,448" stroked="true" strokeweight="0pt" strokecolor="#ff0000">
              <v:stroke dashstyle="solid"/>
            </v:line>
            <v:rect style="position:absolute;left:9448;top:447;width:9;height:9" filled="true" fillcolor="#ff0000" stroked="false">
              <v:fill type="solid"/>
            </v:rect>
            <w10:wrap type="none"/>
          </v:group>
        </w:pict>
      </w:r>
      <w:r>
        <w:rPr/>
        <w:pict>
          <v:group style="position:absolute;margin-left:501.306915pt;margin-top:20.630564pt;width:2.2pt;height:2.2pt;mso-position-horizontal-relative:page;mso-position-vertical-relative:paragraph;z-index:1696" coordorigin="10026,413" coordsize="44,44">
            <v:line style="position:absolute" from="10026,413" to="10070,413" stroked="true" strokeweight="0pt" strokecolor="#ff0000">
              <v:stroke dashstyle="solid"/>
            </v:line>
            <v:rect style="position:absolute;left:10026;top:412;width:44;height:9" filled="true" fillcolor="#ff0000" stroked="false">
              <v:fill type="solid"/>
            </v:rect>
            <v:line style="position:absolute" from="10035,421" to="10070,421" stroked="true" strokeweight="0pt" strokecolor="#ff0000">
              <v:stroke dashstyle="solid"/>
            </v:line>
            <v:rect style="position:absolute;left:10034;top:421;width:36;height:9" filled="true" fillcolor="#ff0000" stroked="false">
              <v:fill type="solid"/>
            </v:rect>
            <v:line style="position:absolute" from="10044,430" to="10070,430" stroked="true" strokeweight="0pt" strokecolor="#ff0000">
              <v:stroke dashstyle="solid"/>
            </v:line>
            <v:rect style="position:absolute;left:10043;top:430;width:27;height:9" filled="true" fillcolor="#ff0000" stroked="false">
              <v:fill type="solid"/>
            </v:rect>
            <v:line style="position:absolute" from="10052,439" to="10070,439" stroked="true" strokeweight="0pt" strokecolor="#ff0000">
              <v:stroke dashstyle="solid"/>
            </v:line>
            <v:rect style="position:absolute;left:10052;top:438;width:18;height:9" filled="true" fillcolor="#ff0000" stroked="false">
              <v:fill type="solid"/>
            </v:rect>
            <v:line style="position:absolute" from="10061,448" to="10070,448" stroked="true" strokeweight="0pt" strokecolor="#ff0000">
              <v:stroke dashstyle="solid"/>
            </v:line>
            <v:rect style="position:absolute;left:10061;top:447;width:9;height:9" filled="true" fillcolor="#ff0000" stroked="false">
              <v:fill type="solid"/>
            </v:rect>
            <w10:wrap type="none"/>
          </v:group>
        </w:pict>
      </w:r>
      <w:r>
        <w:rPr>
          <w:rFonts w:ascii="Calibri"/>
          <w:sz w:val="13"/>
        </w:rPr>
        <w:t>Unrestricted/Unreserved Fund Balance</w:t>
      </w:r>
      <w:r>
        <w:rPr>
          <w:rFonts w:ascii="Calibri"/>
          <w:spacing w:val="7"/>
          <w:sz w:val="13"/>
        </w:rPr>
        <w:t> </w:t>
      </w:r>
      <w:r>
        <w:rPr>
          <w:rFonts w:ascii="Calibri"/>
          <w:sz w:val="13"/>
        </w:rPr>
        <w:t>(General</w:t>
      </w:r>
      <w:r>
        <w:rPr>
          <w:rFonts w:ascii="Calibri"/>
          <w:spacing w:val="5"/>
          <w:sz w:val="13"/>
        </w:rPr>
        <w:t> </w:t>
      </w:r>
      <w:r>
        <w:rPr>
          <w:rFonts w:ascii="Calibri"/>
          <w:sz w:val="13"/>
        </w:rPr>
        <w:t>Fund)</w:t>
        <w:tab/>
      </w:r>
      <w:r>
        <w:rPr>
          <w:rFonts w:ascii="Calibri"/>
          <w:spacing w:val="-4"/>
          <w:sz w:val="13"/>
        </w:rPr>
        <w:t>75,982</w:t>
        <w:tab/>
        <w:t>80,974</w:t>
        <w:tab/>
        <w:t>85,250</w:t>
        <w:tab/>
        <w:t>91,327</w:t>
        <w:tab/>
        <w:t>98,694</w:t>
        <w:tab/>
        <w:t>111,050</w:t>
        <w:tab/>
      </w:r>
      <w:r>
        <w:rPr>
          <w:rFonts w:ascii="Calibri"/>
          <w:spacing w:val="-7"/>
          <w:sz w:val="13"/>
        </w:rPr>
        <w:t>119,021 </w:t>
      </w:r>
      <w:r>
        <w:rPr>
          <w:rFonts w:ascii="Calibri"/>
          <w:sz w:val="13"/>
        </w:rPr>
        <w:t>Other Available  Funds</w:t>
      </w:r>
      <w:r>
        <w:rPr>
          <w:rFonts w:ascii="Calibri"/>
          <w:spacing w:val="-16"/>
          <w:sz w:val="13"/>
        </w:rPr>
        <w:t> </w:t>
      </w:r>
      <w:r>
        <w:rPr>
          <w:rFonts w:ascii="Calibri"/>
          <w:sz w:val="13"/>
        </w:rPr>
        <w:t>(Analyst</w:t>
      </w:r>
      <w:r>
        <w:rPr>
          <w:rFonts w:ascii="Calibri"/>
          <w:spacing w:val="3"/>
          <w:sz w:val="13"/>
        </w:rPr>
        <w:t> </w:t>
      </w:r>
      <w:r>
        <w:rPr>
          <w:rFonts w:ascii="Calibri"/>
          <w:sz w:val="13"/>
        </w:rPr>
        <w:t>Input)</w:t>
        <w:tab/>
        <w:tab/>
        <w:t>-</w:t>
        <w:tab/>
        <w:tab/>
        <w:t>-</w:t>
        <w:tab/>
        <w:tab/>
        <w:t>-</w:t>
        <w:tab/>
        <w:tab/>
        <w:t>-</w:t>
        <w:tab/>
        <w:tab/>
        <w:t>-</w:t>
        <w:tab/>
        <w:tab/>
        <w:t>-</w:t>
        <w:tab/>
        <w:tab/>
      </w:r>
      <w:r>
        <w:rPr>
          <w:rFonts w:ascii="Calibri"/>
          <w:spacing w:val="-14"/>
          <w:sz w:val="13"/>
        </w:rPr>
        <w:t>-</w:t>
      </w:r>
    </w:p>
    <w:p>
      <w:pPr>
        <w:tabs>
          <w:tab w:pos="5421" w:val="left" w:leader="none"/>
          <w:tab w:pos="6033" w:val="left" w:leader="none"/>
          <w:tab w:pos="6646" w:val="left" w:leader="none"/>
          <w:tab w:pos="7259" w:val="left" w:leader="none"/>
          <w:tab w:pos="7872" w:val="left" w:leader="none"/>
          <w:tab w:pos="8423" w:val="left" w:leader="none"/>
          <w:tab w:pos="9036" w:val="left" w:leader="none"/>
        </w:tabs>
        <w:spacing w:before="0"/>
        <w:ind w:left="1420" w:right="0" w:firstLine="0"/>
        <w:jc w:val="left"/>
        <w:rPr>
          <w:rFonts w:ascii="Calibri"/>
          <w:sz w:val="13"/>
        </w:rPr>
      </w:pPr>
      <w:r>
        <w:rPr>
          <w:rFonts w:ascii="Calibri"/>
          <w:sz w:val="13"/>
        </w:rPr>
        <w:t>Combined Available Funds Balance (GF +</w:t>
      </w:r>
      <w:r>
        <w:rPr>
          <w:rFonts w:ascii="Calibri"/>
          <w:spacing w:val="17"/>
          <w:sz w:val="13"/>
        </w:rPr>
        <w:t> </w:t>
      </w:r>
      <w:r>
        <w:rPr>
          <w:rFonts w:ascii="Calibri"/>
          <w:sz w:val="13"/>
        </w:rPr>
        <w:t>Analyst</w:t>
      </w:r>
      <w:r>
        <w:rPr>
          <w:rFonts w:ascii="Calibri"/>
          <w:spacing w:val="1"/>
          <w:sz w:val="13"/>
        </w:rPr>
        <w:t> </w:t>
      </w:r>
      <w:r>
        <w:rPr>
          <w:rFonts w:ascii="Calibri"/>
          <w:sz w:val="13"/>
        </w:rPr>
        <w:t>Input)</w:t>
        <w:tab/>
      </w:r>
      <w:r>
        <w:rPr>
          <w:rFonts w:ascii="Calibri"/>
          <w:spacing w:val="-4"/>
          <w:sz w:val="13"/>
        </w:rPr>
        <w:t>75,982</w:t>
        <w:tab/>
        <w:t>80,974</w:t>
        <w:tab/>
        <w:t>85,250</w:t>
        <w:tab/>
        <w:t>91,327</w:t>
        <w:tab/>
        <w:t>98,694</w:t>
        <w:tab/>
        <w:t>111,050</w:t>
        <w:tab/>
      </w:r>
      <w:r>
        <w:rPr>
          <w:rFonts w:ascii="Calibri"/>
          <w:spacing w:val="-5"/>
          <w:sz w:val="13"/>
        </w:rPr>
        <w:t>119,021</w:t>
      </w:r>
    </w:p>
    <w:p>
      <w:pPr>
        <w:tabs>
          <w:tab w:pos="5447" w:val="left" w:leader="none"/>
          <w:tab w:pos="6060" w:val="left" w:leader="none"/>
          <w:tab w:pos="6672" w:val="left" w:leader="none"/>
          <w:tab w:pos="7285" w:val="left" w:leader="none"/>
          <w:tab w:pos="7898" w:val="left" w:leader="none"/>
          <w:tab w:pos="8511" w:val="left" w:leader="none"/>
          <w:tab w:pos="9124" w:val="left" w:leader="none"/>
        </w:tabs>
        <w:spacing w:before="43"/>
        <w:ind w:left="1420" w:right="0" w:firstLine="0"/>
        <w:jc w:val="left"/>
        <w:rPr>
          <w:rFonts w:ascii="Calibri"/>
          <w:sz w:val="13"/>
        </w:rPr>
      </w:pPr>
      <w:r>
        <w:rPr>
          <w:rFonts w:ascii="Calibri"/>
          <w:sz w:val="13"/>
        </w:rPr>
        <w:t>Combined Available Fund Bal. (% of Expend. and</w:t>
      </w:r>
      <w:r>
        <w:rPr>
          <w:rFonts w:ascii="Calibri"/>
          <w:spacing w:val="27"/>
          <w:sz w:val="13"/>
        </w:rPr>
        <w:t> </w:t>
      </w:r>
      <w:r>
        <w:rPr>
          <w:rFonts w:ascii="Calibri"/>
          <w:sz w:val="13"/>
        </w:rPr>
        <w:t>Transfers</w:t>
      </w:r>
      <w:r>
        <w:rPr>
          <w:rFonts w:ascii="Calibri"/>
          <w:spacing w:val="3"/>
          <w:sz w:val="13"/>
        </w:rPr>
        <w:t> </w:t>
      </w:r>
      <w:r>
        <w:rPr>
          <w:rFonts w:ascii="Calibri"/>
          <w:sz w:val="13"/>
        </w:rPr>
        <w:t>Out)</w:t>
        <w:tab/>
      </w:r>
      <w:r>
        <w:rPr>
          <w:rFonts w:ascii="Calibri"/>
          <w:spacing w:val="-4"/>
          <w:sz w:val="13"/>
        </w:rPr>
        <w:t>29.6%</w:t>
        <w:tab/>
        <w:t>30.1%</w:t>
        <w:tab/>
        <w:t>30.6%</w:t>
        <w:tab/>
        <w:t>29.9%</w:t>
        <w:tab/>
        <w:t>31.1%</w:t>
        <w:tab/>
        <w:t>33.7%</w:t>
        <w:tab/>
      </w:r>
      <w:r>
        <w:rPr>
          <w:rFonts w:ascii="Calibri"/>
          <w:spacing w:val="-5"/>
          <w:sz w:val="13"/>
        </w:rPr>
        <w:t>34.8%</w:t>
      </w:r>
    </w:p>
    <w:p>
      <w:pPr>
        <w:pStyle w:val="BodyText"/>
        <w:ind w:left="1393"/>
        <w:rPr>
          <w:rFonts w:ascii="Calibri"/>
          <w:sz w:val="20"/>
        </w:rPr>
      </w:pPr>
      <w:r>
        <w:rPr>
          <w:rFonts w:ascii="Calibri"/>
          <w:sz w:val="20"/>
        </w:rPr>
        <w:pict>
          <v:group style="width:495.55pt;height:20.6pt;mso-position-horizontal-relative:char;mso-position-vertical-relative:line" coordorigin="0,0" coordsize="9911,412">
            <v:rect style="position:absolute;left:0;top:0;width:9911;height:412" filled="true" fillcolor="#1f497d" stroked="false">
              <v:fill type="solid"/>
            </v:rect>
            <v:line style="position:absolute" from="3773,0" to="3773,412" stroked="true" strokeweight="0pt" strokecolor="#ffffff">
              <v:stroke dashstyle="solid"/>
            </v:line>
            <v:line style="position:absolute" from="3778,0" to="3778,412" stroked="true" strokeweight=".43774pt" strokecolor="#ffffff">
              <v:stroke dashstyle="solid"/>
            </v:line>
            <v:shape style="position:absolute;left:26;top:67;width:1289;height:132" type="#_x0000_t202" filled="false" stroked="false">
              <v:textbox inset="0,0,0,0">
                <w:txbxContent>
                  <w:p>
                    <w:pPr>
                      <w:spacing w:line="131" w:lineRule="exact" w:before="0"/>
                      <w:ind w:left="0" w:right="0" w:firstLine="0"/>
                      <w:jc w:val="left"/>
                      <w:rPr>
                        <w:rFonts w:ascii="Calibri"/>
                        <w:b/>
                        <w:sz w:val="13"/>
                      </w:rPr>
                    </w:pPr>
                    <w:r>
                      <w:rPr>
                        <w:rFonts w:ascii="Calibri"/>
                        <w:b/>
                        <w:color w:val="FFFFFF"/>
                        <w:sz w:val="13"/>
                      </w:rPr>
                      <w:t>Reserve Safety Margins</w:t>
                    </w:r>
                  </w:p>
                </w:txbxContent>
              </v:textbox>
              <w10:wrap type="none"/>
            </v:shape>
            <v:shape style="position:absolute;left:4526;top:67;width:3068;height:334" type="#_x0000_t202" filled="false" stroked="false">
              <v:textbox inset="0,0,0,0">
                <w:txbxContent>
                  <w:p>
                    <w:pPr>
                      <w:spacing w:line="134" w:lineRule="exact" w:before="0"/>
                      <w:ind w:left="1593" w:right="0" w:firstLine="0"/>
                      <w:jc w:val="left"/>
                      <w:rPr>
                        <w:rFonts w:ascii="Calibri"/>
                        <w:b/>
                        <w:sz w:val="13"/>
                      </w:rPr>
                    </w:pPr>
                    <w:r>
                      <w:rPr>
                        <w:rFonts w:ascii="Calibri"/>
                        <w:b/>
                        <w:color w:val="FFFFFF"/>
                        <w:sz w:val="13"/>
                      </w:rPr>
                      <w:t>Inherent Budget Flexibility</w:t>
                    </w:r>
                  </w:p>
                  <w:p>
                    <w:pPr>
                      <w:tabs>
                        <w:tab w:pos="1269" w:val="left" w:leader="none"/>
                        <w:tab w:pos="2381" w:val="left" w:leader="none"/>
                      </w:tabs>
                      <w:spacing w:line="157" w:lineRule="exact" w:before="43"/>
                      <w:ind w:left="0" w:right="0" w:firstLine="0"/>
                      <w:jc w:val="left"/>
                      <w:rPr>
                        <w:rFonts w:ascii="Calibri"/>
                        <w:b/>
                        <w:sz w:val="13"/>
                      </w:rPr>
                    </w:pPr>
                    <w:r>
                      <w:rPr>
                        <w:rFonts w:ascii="Calibri"/>
                        <w:b/>
                        <w:color w:val="FFFFFF"/>
                        <w:sz w:val="13"/>
                      </w:rPr>
                      <w:t>Minimal</w:t>
                      <w:tab/>
                      <w:t>Limited</w:t>
                      <w:tab/>
                      <w:t>Midrange</w:t>
                    </w:r>
                  </w:p>
                </w:txbxContent>
              </v:textbox>
              <w10:wrap type="none"/>
            </v:shape>
            <v:shape style="position:absolute;left:8413;top:269;width:266;height:132" type="#_x0000_t202" filled="false" stroked="false">
              <v:textbox inset="0,0,0,0">
                <w:txbxContent>
                  <w:p>
                    <w:pPr>
                      <w:spacing w:line="131" w:lineRule="exact" w:before="0"/>
                      <w:ind w:left="0" w:right="0" w:firstLine="0"/>
                      <w:jc w:val="left"/>
                      <w:rPr>
                        <w:rFonts w:ascii="Calibri"/>
                        <w:b/>
                        <w:sz w:val="13"/>
                      </w:rPr>
                    </w:pPr>
                    <w:r>
                      <w:rPr>
                        <w:rFonts w:ascii="Calibri"/>
                        <w:b/>
                        <w:color w:val="FFFFFF"/>
                        <w:sz w:val="13"/>
                      </w:rPr>
                      <w:t>High</w:t>
                    </w:r>
                  </w:p>
                </w:txbxContent>
              </v:textbox>
              <w10:wrap type="none"/>
            </v:shape>
            <v:shape style="position:absolute;left:9420;top:269;width:487;height:132" type="#_x0000_t202" filled="false" stroked="false">
              <v:textbox inset="0,0,0,0">
                <w:txbxContent>
                  <w:p>
                    <w:pPr>
                      <w:spacing w:line="131" w:lineRule="exact" w:before="0"/>
                      <w:ind w:left="0" w:right="0" w:firstLine="0"/>
                      <w:jc w:val="left"/>
                      <w:rPr>
                        <w:rFonts w:ascii="Calibri"/>
                        <w:b/>
                        <w:sz w:val="13"/>
                      </w:rPr>
                    </w:pPr>
                    <w:r>
                      <w:rPr>
                        <w:rFonts w:ascii="Calibri"/>
                        <w:b/>
                        <w:color w:val="FFFFFF"/>
                        <w:sz w:val="13"/>
                      </w:rPr>
                      <w:t>Superior</w:t>
                    </w:r>
                  </w:p>
                </w:txbxContent>
              </v:textbox>
              <w10:wrap type="none"/>
            </v:shape>
          </v:group>
        </w:pict>
      </w:r>
      <w:r>
        <w:rPr>
          <w:rFonts w:ascii="Calibri"/>
          <w:sz w:val="20"/>
        </w:rPr>
      </w:r>
    </w:p>
    <w:p>
      <w:pPr>
        <w:tabs>
          <w:tab w:pos="6060" w:val="left" w:leader="none"/>
          <w:tab w:pos="7347" w:val="left" w:leader="none"/>
          <w:tab w:pos="8572" w:val="left" w:leader="none"/>
          <w:tab w:pos="9798" w:val="left" w:leader="none"/>
          <w:tab w:pos="11024" w:val="left" w:leader="none"/>
        </w:tabs>
        <w:spacing w:before="0"/>
        <w:ind w:left="1420" w:right="0" w:firstLine="0"/>
        <w:jc w:val="left"/>
        <w:rPr>
          <w:rFonts w:ascii="Calibri"/>
          <w:sz w:val="13"/>
        </w:rPr>
      </w:pPr>
      <w:r>
        <w:rPr>
          <w:rFonts w:ascii="Calibri"/>
          <w:i/>
          <w:sz w:val="13"/>
        </w:rPr>
        <w:t>Reserve Safety Margin</w:t>
      </w:r>
      <w:r>
        <w:rPr>
          <w:rFonts w:ascii="Calibri"/>
          <w:i/>
          <w:spacing w:val="3"/>
          <w:sz w:val="13"/>
        </w:rPr>
        <w:t> </w:t>
      </w:r>
      <w:r>
        <w:rPr>
          <w:rFonts w:ascii="Calibri"/>
          <w:i/>
          <w:sz w:val="13"/>
        </w:rPr>
        <w:t>(aaa)</w:t>
        <w:tab/>
      </w:r>
      <w:r>
        <w:rPr>
          <w:rFonts w:ascii="Calibri"/>
          <w:spacing w:val="-4"/>
          <w:sz w:val="13"/>
        </w:rPr>
        <w:t>16.0%</w:t>
        <w:tab/>
      </w:r>
      <w:r>
        <w:rPr>
          <w:rFonts w:ascii="Calibri"/>
          <w:spacing w:val="-3"/>
          <w:sz w:val="13"/>
        </w:rPr>
        <w:t>8.0%</w:t>
        <w:tab/>
        <w:t>5.0%</w:t>
        <w:tab/>
        <w:t>3.0%</w:t>
        <w:tab/>
      </w:r>
      <w:r>
        <w:rPr>
          <w:rFonts w:ascii="Calibri"/>
          <w:spacing w:val="-5"/>
          <w:sz w:val="13"/>
        </w:rPr>
        <w:t>2.0%</w:t>
      </w:r>
    </w:p>
    <w:p>
      <w:pPr>
        <w:tabs>
          <w:tab w:pos="6060" w:val="left" w:leader="none"/>
          <w:tab w:pos="7347" w:val="left" w:leader="none"/>
          <w:tab w:pos="8572" w:val="left" w:leader="none"/>
          <w:tab w:pos="9798" w:val="left" w:leader="none"/>
          <w:tab w:pos="11024" w:val="left" w:leader="none"/>
        </w:tabs>
        <w:spacing w:before="43"/>
        <w:ind w:left="1420" w:right="0" w:firstLine="0"/>
        <w:jc w:val="left"/>
        <w:rPr>
          <w:rFonts w:ascii="Calibri"/>
          <w:sz w:val="13"/>
        </w:rPr>
      </w:pPr>
      <w:r>
        <w:rPr>
          <w:rFonts w:ascii="Calibri"/>
          <w:i/>
          <w:sz w:val="13"/>
        </w:rPr>
        <w:t>Reserve Safety</w:t>
      </w:r>
      <w:r>
        <w:rPr>
          <w:rFonts w:ascii="Calibri"/>
          <w:i/>
          <w:spacing w:val="-1"/>
          <w:sz w:val="13"/>
        </w:rPr>
        <w:t> </w:t>
      </w:r>
      <w:r>
        <w:rPr>
          <w:rFonts w:ascii="Calibri"/>
          <w:i/>
          <w:sz w:val="13"/>
        </w:rPr>
        <w:t>Margin</w:t>
      </w:r>
      <w:r>
        <w:rPr>
          <w:rFonts w:ascii="Calibri"/>
          <w:i/>
          <w:spacing w:val="2"/>
          <w:sz w:val="13"/>
        </w:rPr>
        <w:t> </w:t>
      </w:r>
      <w:r>
        <w:rPr>
          <w:rFonts w:ascii="Calibri"/>
          <w:i/>
          <w:sz w:val="13"/>
        </w:rPr>
        <w:t>(aa)</w:t>
        <w:tab/>
      </w:r>
      <w:r>
        <w:rPr>
          <w:rFonts w:ascii="Calibri"/>
          <w:spacing w:val="-4"/>
          <w:sz w:val="13"/>
        </w:rPr>
        <w:t>12.0%</w:t>
        <w:tab/>
      </w:r>
      <w:r>
        <w:rPr>
          <w:rFonts w:ascii="Calibri"/>
          <w:spacing w:val="-3"/>
          <w:sz w:val="13"/>
        </w:rPr>
        <w:t>6.0%</w:t>
        <w:tab/>
        <w:t>4.0%</w:t>
        <w:tab/>
        <w:t>2.5%</w:t>
        <w:tab/>
      </w:r>
      <w:r>
        <w:rPr>
          <w:rFonts w:ascii="Calibri"/>
          <w:spacing w:val="-5"/>
          <w:sz w:val="13"/>
        </w:rPr>
        <w:t>2.0%</w:t>
      </w:r>
    </w:p>
    <w:p>
      <w:pPr>
        <w:tabs>
          <w:tab w:pos="6121" w:val="left" w:leader="none"/>
          <w:tab w:pos="7347" w:val="left" w:leader="none"/>
          <w:tab w:pos="8572" w:val="left" w:leader="none"/>
          <w:tab w:pos="9798" w:val="left" w:leader="none"/>
          <w:tab w:pos="11024" w:val="left" w:leader="none"/>
        </w:tabs>
        <w:spacing w:before="43"/>
        <w:ind w:left="1420" w:right="0" w:firstLine="0"/>
        <w:jc w:val="left"/>
        <w:rPr>
          <w:rFonts w:ascii="Calibri"/>
          <w:sz w:val="13"/>
        </w:rPr>
      </w:pPr>
      <w:r>
        <w:rPr>
          <w:rFonts w:ascii="Calibri"/>
          <w:i/>
          <w:sz w:val="13"/>
        </w:rPr>
        <w:t>Reserve Safety</w:t>
      </w:r>
      <w:r>
        <w:rPr>
          <w:rFonts w:ascii="Calibri"/>
          <w:i/>
          <w:spacing w:val="-2"/>
          <w:sz w:val="13"/>
        </w:rPr>
        <w:t> </w:t>
      </w:r>
      <w:r>
        <w:rPr>
          <w:rFonts w:ascii="Calibri"/>
          <w:i/>
          <w:sz w:val="13"/>
        </w:rPr>
        <w:t>Margin</w:t>
      </w:r>
      <w:r>
        <w:rPr>
          <w:rFonts w:ascii="Calibri"/>
          <w:i/>
          <w:spacing w:val="2"/>
          <w:sz w:val="13"/>
        </w:rPr>
        <w:t> </w:t>
      </w:r>
      <w:r>
        <w:rPr>
          <w:rFonts w:ascii="Calibri"/>
          <w:i/>
          <w:sz w:val="13"/>
        </w:rPr>
        <w:t>(a)</w:t>
        <w:tab/>
      </w:r>
      <w:r>
        <w:rPr>
          <w:rFonts w:ascii="Calibri"/>
          <w:spacing w:val="-3"/>
          <w:sz w:val="13"/>
        </w:rPr>
        <w:t>8.0%</w:t>
        <w:tab/>
        <w:t>4.0%</w:t>
        <w:tab/>
        <w:t>2.5%</w:t>
        <w:tab/>
        <w:t>2.0%</w:t>
        <w:tab/>
      </w:r>
      <w:r>
        <w:rPr>
          <w:rFonts w:ascii="Calibri"/>
          <w:spacing w:val="-5"/>
          <w:sz w:val="13"/>
        </w:rPr>
        <w:t>2.0%</w:t>
      </w:r>
    </w:p>
    <w:p>
      <w:pPr>
        <w:tabs>
          <w:tab w:pos="6121" w:val="left" w:leader="none"/>
          <w:tab w:pos="7347" w:val="left" w:leader="none"/>
          <w:tab w:pos="8572" w:val="left" w:leader="none"/>
          <w:tab w:pos="9798" w:val="left" w:leader="none"/>
          <w:tab w:pos="11024" w:val="left" w:leader="none"/>
        </w:tabs>
        <w:spacing w:before="42"/>
        <w:ind w:left="1420" w:right="0" w:firstLine="0"/>
        <w:jc w:val="left"/>
        <w:rPr>
          <w:rFonts w:ascii="Calibri"/>
          <w:sz w:val="13"/>
        </w:rPr>
      </w:pPr>
      <w:r>
        <w:rPr>
          <w:rFonts w:ascii="Calibri"/>
          <w:i/>
          <w:sz w:val="13"/>
        </w:rPr>
        <w:t>Reserve Safety Margin</w:t>
      </w:r>
      <w:r>
        <w:rPr>
          <w:rFonts w:ascii="Calibri"/>
          <w:i/>
          <w:spacing w:val="3"/>
          <w:sz w:val="13"/>
        </w:rPr>
        <w:t> </w:t>
      </w:r>
      <w:r>
        <w:rPr>
          <w:rFonts w:ascii="Calibri"/>
          <w:i/>
          <w:sz w:val="13"/>
        </w:rPr>
        <w:t>(bbb)</w:t>
        <w:tab/>
      </w:r>
      <w:r>
        <w:rPr>
          <w:rFonts w:ascii="Calibri"/>
          <w:spacing w:val="-3"/>
          <w:sz w:val="13"/>
        </w:rPr>
        <w:t>3.0%</w:t>
        <w:tab/>
        <w:t>2.0%</w:t>
        <w:tab/>
        <w:t>2.0%</w:t>
        <w:tab/>
        <w:t>2.0%</w:t>
        <w:tab/>
      </w:r>
      <w:r>
        <w:rPr>
          <w:rFonts w:ascii="Calibri"/>
          <w:spacing w:val="-5"/>
          <w:sz w:val="13"/>
        </w:rPr>
        <w:t>2.0%</w:t>
      </w:r>
    </w:p>
    <w:p>
      <w:pPr>
        <w:pStyle w:val="BodyText"/>
        <w:spacing w:before="4"/>
        <w:rPr>
          <w:rFonts w:ascii="Calibri"/>
          <w:sz w:val="13"/>
        </w:rPr>
      </w:pPr>
      <w:r>
        <w:rPr/>
        <w:pict>
          <v:shape style="position:absolute;margin-left:70.352043pt;margin-top:10.343225pt;width:494.65pt;height:43.85pt;mso-position-horizontal-relative:page;mso-position-vertical-relative:paragraph;z-index:-592;mso-wrap-distance-left:0;mso-wrap-distance-right:0" type="#_x0000_t202" filled="false" stroked="true" strokeweight=".438696pt" strokecolor="#bdbdbd">
            <v:textbox inset="0,0,0,0">
              <w:txbxContent>
                <w:p>
                  <w:pPr>
                    <w:spacing w:before="74"/>
                    <w:ind w:left="75" w:right="-10" w:firstLine="0"/>
                    <w:jc w:val="left"/>
                    <w:rPr>
                      <w:rFonts w:ascii="Calibri"/>
                      <w:sz w:val="13"/>
                    </w:rPr>
                  </w:pPr>
                  <w:r>
                    <w:rPr>
                      <w:rFonts w:ascii="Calibri"/>
                      <w:sz w:val="13"/>
                    </w:rPr>
                    <w:t>Notes: Scenario analysis represents an unaddressed stress on issuerfinances. Fitch's downturn scenario assumes a -1.0% </w:t>
                  </w:r>
                  <w:r>
                    <w:rPr>
                      <w:rFonts w:ascii="Calibri"/>
                      <w:spacing w:val="-3"/>
                      <w:sz w:val="13"/>
                    </w:rPr>
                    <w:t>GDP </w:t>
                  </w:r>
                  <w:r>
                    <w:rPr>
                      <w:rFonts w:ascii="Calibri"/>
                      <w:sz w:val="13"/>
                    </w:rPr>
                    <w:t>decline in the first year, followed by </w:t>
                  </w:r>
                  <w:r>
                    <w:rPr>
                      <w:rFonts w:ascii="Calibri"/>
                      <w:spacing w:val="-3"/>
                      <w:sz w:val="13"/>
                    </w:rPr>
                    <w:t>0.5% </w:t>
                  </w:r>
                  <w:r>
                    <w:rPr>
                      <w:rFonts w:ascii="Calibri"/>
                      <w:sz w:val="13"/>
                    </w:rPr>
                    <w:t>and </w:t>
                  </w:r>
                  <w:r>
                    <w:rPr>
                      <w:rFonts w:ascii="Calibri"/>
                      <w:spacing w:val="-3"/>
                      <w:sz w:val="13"/>
                    </w:rPr>
                    <w:t>2.0% GDP </w:t>
                  </w:r>
                  <w:r>
                    <w:rPr>
                      <w:rFonts w:ascii="Calibri"/>
                      <w:sz w:val="13"/>
                    </w:rPr>
                    <w:t>growth in Years 2 and </w:t>
                  </w:r>
                  <w:r>
                    <w:rPr>
                      <w:rFonts w:ascii="Calibri"/>
                      <w:spacing w:val="-3"/>
                      <w:sz w:val="13"/>
                    </w:rPr>
                    <w:t>3, </w:t>
                  </w:r>
                  <w:r>
                    <w:rPr>
                      <w:rFonts w:ascii="Calibri"/>
                      <w:sz w:val="13"/>
                    </w:rPr>
                    <w:t>respectively. Expenditures are assumed to grow at a </w:t>
                  </w:r>
                  <w:r>
                    <w:rPr>
                      <w:rFonts w:ascii="Calibri"/>
                      <w:spacing w:val="-3"/>
                      <w:sz w:val="13"/>
                    </w:rPr>
                    <w:t>2.0% </w:t>
                  </w:r>
                  <w:r>
                    <w:rPr>
                      <w:rFonts w:ascii="Calibri"/>
                      <w:sz w:val="13"/>
                    </w:rPr>
                    <w:t>rate of inflation. Inherent budget flexibility is the analyst's assessment of the issuer's </w:t>
                  </w:r>
                  <w:r>
                    <w:rPr>
                      <w:rFonts w:ascii="Calibri"/>
                      <w:spacing w:val="2"/>
                      <w:sz w:val="13"/>
                    </w:rPr>
                    <w:t>abilityto </w:t>
                  </w:r>
                  <w:r>
                    <w:rPr>
                      <w:rFonts w:ascii="Calibri"/>
                      <w:sz w:val="13"/>
                    </w:rPr>
                    <w:t>deal </w:t>
                  </w:r>
                  <w:r>
                    <w:rPr>
                      <w:rFonts w:ascii="Calibri"/>
                      <w:spacing w:val="-3"/>
                      <w:sz w:val="13"/>
                    </w:rPr>
                    <w:t>with </w:t>
                  </w:r>
                  <w:r>
                    <w:rPr>
                      <w:rFonts w:ascii="Calibri"/>
                      <w:sz w:val="13"/>
                    </w:rPr>
                    <w:t>fiscal stress through tax and spending policy choices, and determines the multiples used to calculate the reserve safety margin. </w:t>
                  </w:r>
                  <w:r>
                    <w:rPr>
                      <w:rFonts w:ascii="Calibri"/>
                      <w:spacing w:val="2"/>
                      <w:sz w:val="13"/>
                    </w:rPr>
                    <w:t>Forfurtherdetails, </w:t>
                  </w:r>
                  <w:r>
                    <w:rPr>
                      <w:rFonts w:ascii="Calibri"/>
                      <w:sz w:val="13"/>
                    </w:rPr>
                    <w:t>please see Fitch's </w:t>
                  </w:r>
                  <w:r>
                    <w:rPr>
                      <w:rFonts w:ascii="Calibri"/>
                      <w:spacing w:val="-3"/>
                      <w:sz w:val="13"/>
                    </w:rPr>
                    <w:t>US </w:t>
                  </w:r>
                  <w:r>
                    <w:rPr>
                      <w:rFonts w:ascii="Calibri"/>
                      <w:sz w:val="13"/>
                    </w:rPr>
                    <w:t>Tax-Supported Rating Criteria.</w:t>
                  </w:r>
                </w:p>
              </w:txbxContent>
            </v:textbox>
            <v:stroke dashstyle="solid"/>
            <w10:wrap type="topAndBottom"/>
          </v:shape>
        </w:pict>
      </w:r>
    </w:p>
    <w:p>
      <w:pPr>
        <w:spacing w:after="0"/>
        <w:rPr>
          <w:rFonts w:ascii="Calibri"/>
          <w:sz w:val="13"/>
        </w:rPr>
        <w:sectPr>
          <w:pgSz w:w="12240" w:h="15840"/>
          <w:pgMar w:header="0" w:footer="793" w:top="1240" w:bottom="980" w:left="0" w:right="0"/>
        </w:sect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spacing w:before="3" w:after="1"/>
        <w:rPr>
          <w:rFonts w:ascii="Calibri"/>
          <w:sz w:val="19"/>
        </w:rPr>
      </w:pPr>
    </w:p>
    <w:p>
      <w:pPr>
        <w:pStyle w:val="BodyText"/>
        <w:ind w:left="3457"/>
        <w:rPr>
          <w:rFonts w:ascii="Calibri"/>
          <w:sz w:val="20"/>
        </w:rPr>
      </w:pPr>
      <w:r>
        <w:rPr>
          <w:rFonts w:ascii="Calibri"/>
          <w:position w:val="0"/>
          <w:sz w:val="20"/>
        </w:rPr>
        <w:pict>
          <v:shape style="width:400.3pt;height:49.5pt;mso-position-horizontal-relative:char;mso-position-vertical-relative:line" type="#_x0000_t202" filled="false" stroked="true" strokeweight=".75pt" strokecolor="#000000">
            <w10:anchorlock/>
            <v:textbox inset="0,0,0,0">
              <w:txbxContent>
                <w:p>
                  <w:pPr>
                    <w:pStyle w:val="BodyText"/>
                    <w:spacing w:before="9"/>
                    <w:rPr>
                      <w:rFonts w:ascii="Calibri"/>
                      <w:sz w:val="24"/>
                    </w:rPr>
                  </w:pPr>
                </w:p>
                <w:p>
                  <w:pPr>
                    <w:pStyle w:val="BodyText"/>
                    <w:spacing w:line="300" w:lineRule="auto"/>
                    <w:ind w:left="144"/>
                  </w:pPr>
                  <w:r>
                    <w:rPr/>
                    <w:t>The ratings above were solicited and assigned or maintained at the request of the rated entity/Issuer or a related third party. Any exceptions follow below.</w:t>
                  </w:r>
                </w:p>
              </w:txbxContent>
            </v:textbox>
            <v:stroke dashstyle="solid"/>
          </v:shape>
        </w:pict>
      </w:r>
      <w:r>
        <w:rPr>
          <w:rFonts w:ascii="Calibri"/>
          <w:position w:val="0"/>
          <w:sz w:val="20"/>
        </w:rPr>
      </w:r>
    </w:p>
    <w:p>
      <w:pPr>
        <w:pStyle w:val="BodyText"/>
        <w:spacing w:before="4"/>
        <w:rPr>
          <w:rFonts w:ascii="Calibri"/>
          <w:sz w:val="27"/>
        </w:rPr>
      </w:pPr>
    </w:p>
    <w:p>
      <w:pPr>
        <w:tabs>
          <w:tab w:pos="4439" w:val="left" w:leader="none"/>
          <w:tab w:pos="5834" w:val="left" w:leader="none"/>
          <w:tab w:pos="6631" w:val="left" w:leader="none"/>
          <w:tab w:pos="8107" w:val="left" w:leader="none"/>
          <w:tab w:pos="8786" w:val="left" w:leader="none"/>
          <w:tab w:pos="10154" w:val="left" w:leader="none"/>
          <w:tab w:pos="10968" w:val="left" w:leader="none"/>
        </w:tabs>
        <w:spacing w:line="208" w:lineRule="auto" w:before="115"/>
        <w:ind w:left="3463" w:right="900" w:firstLine="0"/>
        <w:jc w:val="both"/>
        <w:rPr>
          <w:sz w:val="16"/>
        </w:rPr>
      </w:pPr>
      <w:r>
        <w:rPr>
          <w:spacing w:val="-5"/>
          <w:sz w:val="16"/>
        </w:rPr>
        <w:t>ALL </w:t>
      </w:r>
      <w:r>
        <w:rPr>
          <w:spacing w:val="-8"/>
          <w:sz w:val="16"/>
        </w:rPr>
        <w:t>FITCH CREDIT RATINGS </w:t>
      </w:r>
      <w:r>
        <w:rPr>
          <w:spacing w:val="-6"/>
          <w:sz w:val="16"/>
        </w:rPr>
        <w:t>ARE </w:t>
      </w:r>
      <w:r>
        <w:rPr>
          <w:spacing w:val="-8"/>
          <w:sz w:val="16"/>
        </w:rPr>
        <w:t>SUBJECT </w:t>
      </w:r>
      <w:r>
        <w:rPr>
          <w:spacing w:val="-4"/>
          <w:sz w:val="16"/>
        </w:rPr>
        <w:t>TO </w:t>
      </w:r>
      <w:r>
        <w:rPr>
          <w:spacing w:val="-8"/>
          <w:sz w:val="16"/>
        </w:rPr>
        <w:t>CERTAIN </w:t>
      </w:r>
      <w:r>
        <w:rPr>
          <w:spacing w:val="-9"/>
          <w:sz w:val="16"/>
        </w:rPr>
        <w:t>LIMITATIONS </w:t>
      </w:r>
      <w:r>
        <w:rPr>
          <w:spacing w:val="-6"/>
          <w:sz w:val="16"/>
        </w:rPr>
        <w:t>AND </w:t>
      </w:r>
      <w:r>
        <w:rPr>
          <w:spacing w:val="-9"/>
          <w:sz w:val="16"/>
        </w:rPr>
        <w:t>DISCLAIMERS </w:t>
      </w:r>
      <w:r>
        <w:rPr>
          <w:spacing w:val="-8"/>
          <w:sz w:val="16"/>
        </w:rPr>
        <w:t>PLEASE </w:t>
      </w:r>
      <w:r>
        <w:rPr>
          <w:spacing w:val="-7"/>
          <w:sz w:val="16"/>
        </w:rPr>
        <w:t>READ THESE</w:t>
        <w:tab/>
      </w:r>
      <w:r>
        <w:rPr>
          <w:spacing w:val="-9"/>
          <w:sz w:val="16"/>
        </w:rPr>
        <w:t>LIMITATIONS</w:t>
        <w:tab/>
      </w:r>
      <w:r>
        <w:rPr>
          <w:spacing w:val="-6"/>
          <w:sz w:val="16"/>
        </w:rPr>
        <w:t>AND</w:t>
        <w:tab/>
      </w:r>
      <w:r>
        <w:rPr>
          <w:spacing w:val="-9"/>
          <w:sz w:val="16"/>
        </w:rPr>
        <w:t>DISCLAIMERS</w:t>
        <w:tab/>
      </w:r>
      <w:r>
        <w:rPr>
          <w:spacing w:val="-5"/>
          <w:sz w:val="16"/>
        </w:rPr>
        <w:t>BY</w:t>
        <w:tab/>
      </w:r>
      <w:r>
        <w:rPr>
          <w:spacing w:val="-9"/>
          <w:sz w:val="16"/>
        </w:rPr>
        <w:t>FOLLOWING</w:t>
        <w:tab/>
      </w:r>
      <w:r>
        <w:rPr>
          <w:spacing w:val="-7"/>
          <w:sz w:val="16"/>
        </w:rPr>
        <w:t>THIS</w:t>
        <w:tab/>
      </w:r>
      <w:r>
        <w:rPr>
          <w:spacing w:val="-12"/>
          <w:sz w:val="16"/>
        </w:rPr>
        <w:t>LINK: </w:t>
      </w:r>
      <w:hyperlink r:id="rId15">
        <w:r>
          <w:rPr>
            <w:color w:val="0000FF"/>
            <w:spacing w:val="-9"/>
            <w:sz w:val="16"/>
          </w:rPr>
          <w:t>HTTPS://FITCHRATINGS.COM/UNDERSTANDINGCREDITRATINGS. </w:t>
        </w:r>
      </w:hyperlink>
      <w:r>
        <w:rPr>
          <w:spacing w:val="-4"/>
          <w:sz w:val="16"/>
        </w:rPr>
        <w:t>IN </w:t>
      </w:r>
      <w:r>
        <w:rPr>
          <w:spacing w:val="-8"/>
          <w:sz w:val="16"/>
        </w:rPr>
        <w:t>ADDITION, RATING </w:t>
      </w:r>
      <w:r>
        <w:rPr>
          <w:spacing w:val="-9"/>
          <w:sz w:val="16"/>
        </w:rPr>
        <w:t>DEFINITIONS </w:t>
      </w:r>
      <w:r>
        <w:rPr>
          <w:spacing w:val="-6"/>
          <w:sz w:val="16"/>
        </w:rPr>
        <w:t>AND </w:t>
      </w:r>
      <w:r>
        <w:rPr>
          <w:spacing w:val="-10"/>
          <w:sz w:val="16"/>
        </w:rPr>
        <w:t>THE </w:t>
      </w:r>
      <w:r>
        <w:rPr>
          <w:spacing w:val="-8"/>
          <w:sz w:val="16"/>
        </w:rPr>
        <w:t>TERMS </w:t>
      </w:r>
      <w:r>
        <w:rPr>
          <w:spacing w:val="-5"/>
          <w:sz w:val="16"/>
        </w:rPr>
        <w:t>OF </w:t>
      </w:r>
      <w:r>
        <w:rPr>
          <w:spacing w:val="-7"/>
          <w:sz w:val="16"/>
        </w:rPr>
        <w:t>USE  </w:t>
      </w:r>
      <w:r>
        <w:rPr>
          <w:spacing w:val="-5"/>
          <w:sz w:val="16"/>
        </w:rPr>
        <w:t>OF </w:t>
      </w:r>
      <w:r>
        <w:rPr>
          <w:spacing w:val="-7"/>
          <w:sz w:val="16"/>
        </w:rPr>
        <w:t>SUCH</w:t>
      </w:r>
      <w:r>
        <w:rPr>
          <w:spacing w:val="30"/>
          <w:sz w:val="16"/>
        </w:rPr>
        <w:t> </w:t>
      </w:r>
      <w:r>
        <w:rPr>
          <w:spacing w:val="-8"/>
          <w:sz w:val="16"/>
        </w:rPr>
        <w:t>RATINGS </w:t>
      </w:r>
      <w:r>
        <w:rPr>
          <w:spacing w:val="-6"/>
          <w:sz w:val="16"/>
        </w:rPr>
        <w:t>ARE </w:t>
      </w:r>
      <w:r>
        <w:rPr>
          <w:spacing w:val="-8"/>
          <w:sz w:val="16"/>
        </w:rPr>
        <w:t>AVAILABLE </w:t>
      </w:r>
      <w:r>
        <w:rPr>
          <w:spacing w:val="-4"/>
          <w:sz w:val="16"/>
        </w:rPr>
        <w:t>ON </w:t>
      </w:r>
      <w:r>
        <w:rPr>
          <w:spacing w:val="-7"/>
          <w:sz w:val="16"/>
        </w:rPr>
        <w:t>THE  </w:t>
      </w:r>
      <w:r>
        <w:rPr>
          <w:spacing w:val="-8"/>
          <w:sz w:val="16"/>
        </w:rPr>
        <w:t>AGENCY'S PUBLIC </w:t>
      </w:r>
      <w:r>
        <w:rPr>
          <w:spacing w:val="-4"/>
          <w:sz w:val="16"/>
        </w:rPr>
        <w:t>WEB </w:t>
      </w:r>
      <w:r>
        <w:rPr>
          <w:spacing w:val="-7"/>
          <w:sz w:val="16"/>
        </w:rPr>
        <w:t>SITE  </w:t>
      </w:r>
      <w:r>
        <w:rPr>
          <w:spacing w:val="-5"/>
          <w:sz w:val="16"/>
        </w:rPr>
        <w:t>AT </w:t>
      </w:r>
      <w:hyperlink r:id="rId16">
        <w:r>
          <w:rPr>
            <w:color w:val="0000FF"/>
            <w:spacing w:val="-9"/>
            <w:sz w:val="16"/>
          </w:rPr>
          <w:t>WWW.FITCHRATINGS.COM. </w:t>
        </w:r>
      </w:hyperlink>
      <w:r>
        <w:rPr>
          <w:spacing w:val="-8"/>
          <w:sz w:val="16"/>
        </w:rPr>
        <w:t>PUBLISHED RATINGS, </w:t>
      </w:r>
      <w:r>
        <w:rPr>
          <w:spacing w:val="-9"/>
          <w:sz w:val="16"/>
        </w:rPr>
        <w:t>CRITERIA, </w:t>
      </w:r>
      <w:r>
        <w:rPr>
          <w:spacing w:val="-6"/>
          <w:sz w:val="16"/>
        </w:rPr>
        <w:t>AND </w:t>
      </w:r>
      <w:r>
        <w:rPr>
          <w:spacing w:val="-9"/>
          <w:sz w:val="16"/>
        </w:rPr>
        <w:t>METHODOLOGIES </w:t>
      </w:r>
      <w:r>
        <w:rPr>
          <w:spacing w:val="-6"/>
          <w:sz w:val="16"/>
        </w:rPr>
        <w:t>ARE </w:t>
      </w:r>
      <w:r>
        <w:rPr>
          <w:spacing w:val="-8"/>
          <w:sz w:val="16"/>
        </w:rPr>
        <w:t>AVAILABLE FROM </w:t>
      </w:r>
      <w:r>
        <w:rPr>
          <w:spacing w:val="-7"/>
          <w:sz w:val="16"/>
        </w:rPr>
        <w:t>THIS SITE </w:t>
      </w:r>
      <w:r>
        <w:rPr>
          <w:spacing w:val="-5"/>
          <w:sz w:val="16"/>
        </w:rPr>
        <w:t>AT </w:t>
      </w:r>
      <w:r>
        <w:rPr>
          <w:spacing w:val="-6"/>
          <w:sz w:val="16"/>
        </w:rPr>
        <w:t>ALL </w:t>
      </w:r>
      <w:r>
        <w:rPr>
          <w:spacing w:val="-8"/>
          <w:sz w:val="16"/>
        </w:rPr>
        <w:t>TIMES. FITCH'S </w:t>
      </w:r>
      <w:r>
        <w:rPr>
          <w:spacing w:val="-7"/>
          <w:sz w:val="16"/>
        </w:rPr>
        <w:t>CODE </w:t>
      </w:r>
      <w:r>
        <w:rPr>
          <w:spacing w:val="-5"/>
          <w:sz w:val="16"/>
        </w:rPr>
        <w:t>OF </w:t>
      </w:r>
      <w:r>
        <w:rPr>
          <w:spacing w:val="-9"/>
          <w:sz w:val="16"/>
        </w:rPr>
        <w:t>CONDUCT, CONFIDENTIALITY, CONFLICTS </w:t>
      </w:r>
      <w:r>
        <w:rPr>
          <w:spacing w:val="-4"/>
          <w:sz w:val="16"/>
        </w:rPr>
        <w:t>OF </w:t>
      </w:r>
      <w:r>
        <w:rPr>
          <w:spacing w:val="-8"/>
          <w:sz w:val="16"/>
        </w:rPr>
        <w:t>INTEREST, AFFILIATE FIREWALL, </w:t>
      </w:r>
      <w:r>
        <w:rPr>
          <w:spacing w:val="-9"/>
          <w:sz w:val="16"/>
        </w:rPr>
        <w:t>COMPLIANCE, </w:t>
      </w:r>
      <w:r>
        <w:rPr>
          <w:spacing w:val="-6"/>
          <w:sz w:val="16"/>
        </w:rPr>
        <w:t>AND </w:t>
      </w:r>
      <w:r>
        <w:rPr>
          <w:spacing w:val="-8"/>
          <w:sz w:val="16"/>
        </w:rPr>
        <w:t>OTHER </w:t>
      </w:r>
      <w:r>
        <w:rPr>
          <w:spacing w:val="-9"/>
          <w:sz w:val="16"/>
        </w:rPr>
        <w:t>RELEVANT </w:t>
      </w:r>
      <w:r>
        <w:rPr>
          <w:spacing w:val="-8"/>
          <w:sz w:val="16"/>
        </w:rPr>
        <w:t>POLICIES </w:t>
      </w:r>
      <w:r>
        <w:rPr>
          <w:spacing w:val="-6"/>
          <w:sz w:val="16"/>
        </w:rPr>
        <w:t>AND </w:t>
      </w:r>
      <w:r>
        <w:rPr>
          <w:spacing w:val="-9"/>
          <w:sz w:val="16"/>
        </w:rPr>
        <w:t>PROCEDURES </w:t>
      </w:r>
      <w:r>
        <w:rPr>
          <w:spacing w:val="-6"/>
          <w:sz w:val="16"/>
        </w:rPr>
        <w:t>ARE </w:t>
      </w:r>
      <w:r>
        <w:rPr>
          <w:spacing w:val="-9"/>
          <w:sz w:val="16"/>
        </w:rPr>
        <w:t>ALSO </w:t>
      </w:r>
      <w:r>
        <w:rPr>
          <w:spacing w:val="-8"/>
          <w:sz w:val="16"/>
        </w:rPr>
        <w:t>AVAILABLE </w:t>
      </w:r>
      <w:r>
        <w:rPr>
          <w:spacing w:val="-7"/>
          <w:sz w:val="16"/>
        </w:rPr>
        <w:t>FROM THE CODE </w:t>
      </w:r>
      <w:r>
        <w:rPr>
          <w:spacing w:val="-4"/>
          <w:sz w:val="16"/>
        </w:rPr>
        <w:t>OF </w:t>
      </w:r>
      <w:r>
        <w:rPr>
          <w:spacing w:val="-8"/>
          <w:sz w:val="16"/>
        </w:rPr>
        <w:t>CONDUCT SECTION </w:t>
      </w:r>
      <w:r>
        <w:rPr>
          <w:spacing w:val="-5"/>
          <w:sz w:val="16"/>
        </w:rPr>
        <w:t>OF </w:t>
      </w:r>
      <w:r>
        <w:rPr>
          <w:spacing w:val="-7"/>
          <w:sz w:val="16"/>
        </w:rPr>
        <w:t>THIS SITE. </w:t>
      </w:r>
      <w:r>
        <w:rPr>
          <w:spacing w:val="-8"/>
          <w:sz w:val="16"/>
        </w:rPr>
        <w:t>FITCH </w:t>
      </w:r>
      <w:r>
        <w:rPr>
          <w:spacing w:val="-7"/>
          <w:sz w:val="16"/>
        </w:rPr>
        <w:t>MAY </w:t>
      </w:r>
      <w:r>
        <w:rPr>
          <w:spacing w:val="-8"/>
          <w:sz w:val="16"/>
        </w:rPr>
        <w:t>HAVE PROVIDED ANOTHER </w:t>
      </w:r>
      <w:r>
        <w:rPr>
          <w:spacing w:val="-9"/>
          <w:sz w:val="16"/>
        </w:rPr>
        <w:t>PERMISSIBLE </w:t>
      </w:r>
      <w:r>
        <w:rPr>
          <w:spacing w:val="-8"/>
          <w:sz w:val="16"/>
        </w:rPr>
        <w:t>SERVICE </w:t>
      </w:r>
      <w:r>
        <w:rPr>
          <w:spacing w:val="-5"/>
          <w:sz w:val="16"/>
        </w:rPr>
        <w:t>TO </w:t>
      </w:r>
      <w:r>
        <w:rPr>
          <w:spacing w:val="-7"/>
          <w:sz w:val="16"/>
        </w:rPr>
        <w:t>THE </w:t>
      </w:r>
      <w:r>
        <w:rPr>
          <w:spacing w:val="-8"/>
          <w:sz w:val="16"/>
        </w:rPr>
        <w:t>RATED ENTITY </w:t>
      </w:r>
      <w:r>
        <w:rPr>
          <w:spacing w:val="-4"/>
          <w:sz w:val="16"/>
        </w:rPr>
        <w:t>OR </w:t>
      </w:r>
      <w:r>
        <w:rPr>
          <w:spacing w:val="-7"/>
          <w:sz w:val="16"/>
        </w:rPr>
        <w:t>ITS </w:t>
      </w:r>
      <w:r>
        <w:rPr>
          <w:spacing w:val="-8"/>
          <w:sz w:val="16"/>
        </w:rPr>
        <w:t>RELATED </w:t>
      </w:r>
      <w:r>
        <w:rPr>
          <w:spacing w:val="-7"/>
          <w:sz w:val="16"/>
        </w:rPr>
        <w:t>THIRD </w:t>
      </w:r>
      <w:r>
        <w:rPr>
          <w:spacing w:val="-8"/>
          <w:sz w:val="16"/>
        </w:rPr>
        <w:t>PARTIES. DETAILS </w:t>
      </w:r>
      <w:r>
        <w:rPr>
          <w:spacing w:val="-5"/>
          <w:sz w:val="16"/>
        </w:rPr>
        <w:t>OF </w:t>
      </w:r>
      <w:r>
        <w:rPr>
          <w:spacing w:val="-7"/>
          <w:sz w:val="16"/>
        </w:rPr>
        <w:t>THIS </w:t>
      </w:r>
      <w:r>
        <w:rPr>
          <w:spacing w:val="-8"/>
          <w:sz w:val="16"/>
        </w:rPr>
        <w:t>SERVICE </w:t>
      </w:r>
      <w:r>
        <w:rPr>
          <w:spacing w:val="-6"/>
          <w:sz w:val="16"/>
        </w:rPr>
        <w:t>FOR </w:t>
      </w:r>
      <w:r>
        <w:rPr>
          <w:spacing w:val="-8"/>
          <w:sz w:val="16"/>
        </w:rPr>
        <w:t>RATINGS </w:t>
      </w:r>
      <w:r>
        <w:rPr>
          <w:spacing w:val="-6"/>
          <w:sz w:val="16"/>
        </w:rPr>
        <w:t>FOR </w:t>
      </w:r>
      <w:r>
        <w:rPr>
          <w:spacing w:val="-7"/>
          <w:sz w:val="16"/>
        </w:rPr>
        <w:t>WHICH THE LEAD </w:t>
      </w:r>
      <w:r>
        <w:rPr>
          <w:spacing w:val="-8"/>
          <w:sz w:val="16"/>
        </w:rPr>
        <w:t>ANALYST </w:t>
      </w:r>
      <w:r>
        <w:rPr>
          <w:spacing w:val="-5"/>
          <w:sz w:val="16"/>
        </w:rPr>
        <w:t>IS </w:t>
      </w:r>
      <w:r>
        <w:rPr>
          <w:spacing w:val="-7"/>
          <w:sz w:val="16"/>
        </w:rPr>
        <w:t>BASED </w:t>
      </w:r>
      <w:r>
        <w:rPr>
          <w:spacing w:val="-4"/>
          <w:sz w:val="16"/>
        </w:rPr>
        <w:t>IN AN </w:t>
      </w:r>
      <w:r>
        <w:rPr>
          <w:spacing w:val="-9"/>
          <w:sz w:val="16"/>
        </w:rPr>
        <w:t>EU-REGISTERED </w:t>
      </w:r>
      <w:r>
        <w:rPr>
          <w:spacing w:val="-8"/>
          <w:sz w:val="16"/>
        </w:rPr>
        <w:t>ENTITY </w:t>
      </w:r>
      <w:r>
        <w:rPr>
          <w:spacing w:val="-6"/>
          <w:sz w:val="16"/>
        </w:rPr>
        <w:t>CAN </w:t>
      </w:r>
      <w:r>
        <w:rPr>
          <w:spacing w:val="-5"/>
          <w:sz w:val="16"/>
        </w:rPr>
        <w:t>BE </w:t>
      </w:r>
      <w:r>
        <w:rPr>
          <w:spacing w:val="-8"/>
          <w:sz w:val="16"/>
        </w:rPr>
        <w:t>FOUND </w:t>
      </w:r>
      <w:r>
        <w:rPr>
          <w:spacing w:val="-4"/>
          <w:sz w:val="16"/>
        </w:rPr>
        <w:t>ON </w:t>
      </w:r>
      <w:r>
        <w:rPr>
          <w:spacing w:val="-7"/>
          <w:sz w:val="16"/>
        </w:rPr>
        <w:t>THE</w:t>
      </w:r>
      <w:r>
        <w:rPr>
          <w:spacing w:val="-15"/>
          <w:sz w:val="16"/>
        </w:rPr>
        <w:t> </w:t>
      </w:r>
      <w:r>
        <w:rPr>
          <w:spacing w:val="-8"/>
          <w:sz w:val="16"/>
        </w:rPr>
        <w:t>ENTITY</w:t>
      </w:r>
      <w:r>
        <w:rPr>
          <w:spacing w:val="-18"/>
          <w:sz w:val="16"/>
        </w:rPr>
        <w:t> </w:t>
      </w:r>
      <w:r>
        <w:rPr>
          <w:spacing w:val="-8"/>
          <w:sz w:val="16"/>
        </w:rPr>
        <w:t>SUMMARY</w:t>
      </w:r>
      <w:r>
        <w:rPr>
          <w:spacing w:val="-14"/>
          <w:sz w:val="16"/>
        </w:rPr>
        <w:t> </w:t>
      </w:r>
      <w:r>
        <w:rPr>
          <w:spacing w:val="-7"/>
          <w:sz w:val="16"/>
        </w:rPr>
        <w:t>PAGE</w:t>
      </w:r>
      <w:r>
        <w:rPr>
          <w:spacing w:val="-15"/>
          <w:sz w:val="16"/>
        </w:rPr>
        <w:t> </w:t>
      </w:r>
      <w:r>
        <w:rPr>
          <w:spacing w:val="-6"/>
          <w:sz w:val="16"/>
        </w:rPr>
        <w:t>FOR</w:t>
      </w:r>
      <w:r>
        <w:rPr>
          <w:spacing w:val="-16"/>
          <w:sz w:val="16"/>
        </w:rPr>
        <w:t> </w:t>
      </w:r>
      <w:r>
        <w:rPr>
          <w:spacing w:val="-7"/>
          <w:sz w:val="16"/>
        </w:rPr>
        <w:t>THIS</w:t>
      </w:r>
      <w:r>
        <w:rPr>
          <w:spacing w:val="-18"/>
          <w:sz w:val="16"/>
        </w:rPr>
        <w:t> </w:t>
      </w:r>
      <w:r>
        <w:rPr>
          <w:spacing w:val="-8"/>
          <w:sz w:val="16"/>
        </w:rPr>
        <w:t>ISSUER</w:t>
      </w:r>
      <w:r>
        <w:rPr>
          <w:spacing w:val="-16"/>
          <w:sz w:val="16"/>
        </w:rPr>
        <w:t> </w:t>
      </w:r>
      <w:r>
        <w:rPr>
          <w:spacing w:val="-4"/>
          <w:sz w:val="16"/>
        </w:rPr>
        <w:t>ON</w:t>
      </w:r>
      <w:r>
        <w:rPr>
          <w:spacing w:val="-19"/>
          <w:sz w:val="16"/>
        </w:rPr>
        <w:t> </w:t>
      </w:r>
      <w:r>
        <w:rPr>
          <w:spacing w:val="-7"/>
          <w:sz w:val="16"/>
        </w:rPr>
        <w:t>THE</w:t>
      </w:r>
      <w:r>
        <w:rPr>
          <w:spacing w:val="-15"/>
          <w:sz w:val="16"/>
        </w:rPr>
        <w:t> </w:t>
      </w:r>
      <w:r>
        <w:rPr>
          <w:spacing w:val="-8"/>
          <w:sz w:val="16"/>
        </w:rPr>
        <w:t>FITCH</w:t>
      </w:r>
      <w:r>
        <w:rPr>
          <w:spacing w:val="-21"/>
          <w:sz w:val="16"/>
        </w:rPr>
        <w:t> </w:t>
      </w:r>
      <w:r>
        <w:rPr>
          <w:spacing w:val="-9"/>
          <w:sz w:val="16"/>
        </w:rPr>
        <w:t>WEBSITE.</w:t>
      </w:r>
    </w:p>
    <w:p>
      <w:pPr>
        <w:spacing w:line="208" w:lineRule="auto" w:before="61"/>
        <w:ind w:left="3463" w:right="902" w:firstLine="0"/>
        <w:jc w:val="both"/>
        <w:rPr>
          <w:sz w:val="16"/>
        </w:rPr>
      </w:pPr>
      <w:r>
        <w:rPr>
          <w:spacing w:val="-8"/>
          <w:sz w:val="16"/>
        </w:rPr>
        <w:t>Copyright </w:t>
      </w:r>
      <w:r>
        <w:rPr>
          <w:sz w:val="16"/>
        </w:rPr>
        <w:t>© </w:t>
      </w:r>
      <w:r>
        <w:rPr>
          <w:spacing w:val="-7"/>
          <w:sz w:val="16"/>
        </w:rPr>
        <w:t>2018 </w:t>
      </w:r>
      <w:r>
        <w:rPr>
          <w:spacing w:val="-4"/>
          <w:sz w:val="16"/>
        </w:rPr>
        <w:t>by </w:t>
      </w:r>
      <w:r>
        <w:rPr>
          <w:spacing w:val="-7"/>
          <w:sz w:val="16"/>
        </w:rPr>
        <w:t>Fitch </w:t>
      </w:r>
      <w:r>
        <w:rPr>
          <w:spacing w:val="-8"/>
          <w:sz w:val="16"/>
        </w:rPr>
        <w:t>Ratings, Inc., Fitch Ratings Ltd. </w:t>
      </w:r>
      <w:r>
        <w:rPr>
          <w:spacing w:val="-7"/>
          <w:sz w:val="16"/>
        </w:rPr>
        <w:t>and </w:t>
      </w:r>
      <w:r>
        <w:rPr>
          <w:spacing w:val="-6"/>
          <w:sz w:val="16"/>
        </w:rPr>
        <w:t>its </w:t>
      </w:r>
      <w:r>
        <w:rPr>
          <w:spacing w:val="-8"/>
          <w:sz w:val="16"/>
        </w:rPr>
        <w:t>subsidiaries. </w:t>
      </w:r>
      <w:r>
        <w:rPr>
          <w:spacing w:val="-4"/>
          <w:sz w:val="16"/>
        </w:rPr>
        <w:t>33 </w:t>
      </w:r>
      <w:r>
        <w:rPr>
          <w:spacing w:val="-8"/>
          <w:sz w:val="16"/>
        </w:rPr>
        <w:t>Whitehall Street, </w:t>
      </w:r>
      <w:r>
        <w:rPr>
          <w:spacing w:val="-7"/>
          <w:sz w:val="16"/>
        </w:rPr>
        <w:t>NY, </w:t>
      </w:r>
      <w:r>
        <w:rPr>
          <w:spacing w:val="-6"/>
          <w:sz w:val="16"/>
        </w:rPr>
        <w:t>NY </w:t>
      </w:r>
      <w:r>
        <w:rPr>
          <w:spacing w:val="-9"/>
          <w:sz w:val="16"/>
        </w:rPr>
        <w:t>10004. </w:t>
      </w:r>
      <w:r>
        <w:rPr>
          <w:spacing w:val="-8"/>
          <w:sz w:val="16"/>
        </w:rPr>
        <w:t>Telephone: </w:t>
      </w:r>
      <w:r>
        <w:rPr>
          <w:spacing w:val="-9"/>
          <w:sz w:val="16"/>
        </w:rPr>
        <w:t>1-800-753-4824, </w:t>
      </w:r>
      <w:r>
        <w:rPr>
          <w:spacing w:val="-7"/>
          <w:sz w:val="16"/>
        </w:rPr>
        <w:t>(212) </w:t>
      </w:r>
      <w:r>
        <w:rPr>
          <w:spacing w:val="-9"/>
          <w:sz w:val="16"/>
        </w:rPr>
        <w:t>908-0500. </w:t>
      </w:r>
      <w:r>
        <w:rPr>
          <w:spacing w:val="-7"/>
          <w:sz w:val="16"/>
        </w:rPr>
        <w:t>Fax: (212) </w:t>
      </w:r>
      <w:r>
        <w:rPr>
          <w:spacing w:val="-8"/>
          <w:sz w:val="16"/>
        </w:rPr>
        <w:t>480-4435. Reproduction </w:t>
      </w:r>
      <w:r>
        <w:rPr>
          <w:spacing w:val="-6"/>
          <w:sz w:val="16"/>
        </w:rPr>
        <w:t>or </w:t>
      </w:r>
      <w:r>
        <w:rPr>
          <w:spacing w:val="-9"/>
          <w:sz w:val="16"/>
        </w:rPr>
        <w:t>retransmission </w:t>
      </w:r>
      <w:r>
        <w:rPr>
          <w:spacing w:val="-4"/>
          <w:sz w:val="16"/>
        </w:rPr>
        <w:t>in </w:t>
      </w:r>
      <w:r>
        <w:rPr>
          <w:spacing w:val="-7"/>
          <w:sz w:val="16"/>
        </w:rPr>
        <w:t>whole </w:t>
      </w:r>
      <w:r>
        <w:rPr>
          <w:spacing w:val="-4"/>
          <w:sz w:val="16"/>
        </w:rPr>
        <w:t>or </w:t>
      </w:r>
      <w:r>
        <w:rPr>
          <w:spacing w:val="-5"/>
          <w:sz w:val="16"/>
        </w:rPr>
        <w:t>in </w:t>
      </w:r>
      <w:r>
        <w:rPr>
          <w:spacing w:val="-7"/>
          <w:sz w:val="16"/>
        </w:rPr>
        <w:t>part </w:t>
      </w:r>
      <w:r>
        <w:rPr>
          <w:spacing w:val="-5"/>
          <w:sz w:val="16"/>
        </w:rPr>
        <w:t>is </w:t>
      </w:r>
      <w:r>
        <w:rPr>
          <w:spacing w:val="-8"/>
          <w:sz w:val="16"/>
        </w:rPr>
        <w:t>prohibited except </w:t>
      </w:r>
      <w:r>
        <w:rPr>
          <w:spacing w:val="-4"/>
          <w:sz w:val="16"/>
        </w:rPr>
        <w:t>by </w:t>
      </w:r>
      <w:r>
        <w:rPr>
          <w:spacing w:val="-9"/>
          <w:sz w:val="16"/>
        </w:rPr>
        <w:t>permission. </w:t>
      </w:r>
      <w:r>
        <w:rPr>
          <w:spacing w:val="-6"/>
          <w:sz w:val="16"/>
        </w:rPr>
        <w:t>All </w:t>
      </w:r>
      <w:r>
        <w:rPr>
          <w:spacing w:val="-8"/>
          <w:sz w:val="16"/>
        </w:rPr>
        <w:t>rights reserved. </w:t>
      </w:r>
      <w:r>
        <w:rPr>
          <w:spacing w:val="-4"/>
          <w:sz w:val="16"/>
        </w:rPr>
        <w:t>In </w:t>
      </w:r>
      <w:r>
        <w:rPr>
          <w:spacing w:val="-8"/>
          <w:sz w:val="16"/>
        </w:rPr>
        <w:t>issuing </w:t>
      </w:r>
      <w:r>
        <w:rPr>
          <w:spacing w:val="-7"/>
          <w:sz w:val="16"/>
        </w:rPr>
        <w:t>and </w:t>
      </w:r>
      <w:r>
        <w:rPr>
          <w:spacing w:val="-8"/>
          <w:sz w:val="16"/>
        </w:rPr>
        <w:t>maintaining </w:t>
      </w:r>
      <w:r>
        <w:rPr>
          <w:spacing w:val="-7"/>
          <w:sz w:val="16"/>
        </w:rPr>
        <w:t>its </w:t>
      </w:r>
      <w:r>
        <w:rPr>
          <w:spacing w:val="-8"/>
          <w:sz w:val="16"/>
        </w:rPr>
        <w:t>ratings </w:t>
      </w:r>
      <w:r>
        <w:rPr>
          <w:spacing w:val="-7"/>
          <w:sz w:val="16"/>
        </w:rPr>
        <w:t>and </w:t>
      </w:r>
      <w:r>
        <w:rPr>
          <w:spacing w:val="-4"/>
          <w:sz w:val="16"/>
        </w:rPr>
        <w:t>in </w:t>
      </w:r>
      <w:r>
        <w:rPr>
          <w:spacing w:val="-8"/>
          <w:sz w:val="16"/>
        </w:rPr>
        <w:t>making other reports (including forecast </w:t>
      </w:r>
      <w:r>
        <w:rPr>
          <w:spacing w:val="-9"/>
          <w:sz w:val="16"/>
        </w:rPr>
        <w:t>information), </w:t>
      </w:r>
      <w:r>
        <w:rPr>
          <w:spacing w:val="-7"/>
          <w:sz w:val="16"/>
        </w:rPr>
        <w:t>Fitch </w:t>
      </w:r>
      <w:r>
        <w:rPr>
          <w:spacing w:val="-8"/>
          <w:sz w:val="16"/>
        </w:rPr>
        <w:t>relies </w:t>
      </w:r>
      <w:r>
        <w:rPr>
          <w:spacing w:val="-6"/>
          <w:sz w:val="16"/>
        </w:rPr>
        <w:t>on </w:t>
      </w:r>
      <w:r>
        <w:rPr>
          <w:spacing w:val="-8"/>
          <w:sz w:val="16"/>
        </w:rPr>
        <w:t>factual information </w:t>
      </w:r>
      <w:r>
        <w:rPr>
          <w:spacing w:val="-5"/>
          <w:sz w:val="16"/>
        </w:rPr>
        <w:t>it </w:t>
      </w:r>
      <w:r>
        <w:rPr>
          <w:spacing w:val="-8"/>
          <w:sz w:val="16"/>
        </w:rPr>
        <w:t>receives from issuers </w:t>
      </w:r>
      <w:r>
        <w:rPr>
          <w:spacing w:val="-6"/>
          <w:sz w:val="16"/>
        </w:rPr>
        <w:t>and </w:t>
      </w:r>
      <w:r>
        <w:rPr>
          <w:spacing w:val="-9"/>
          <w:sz w:val="16"/>
        </w:rPr>
        <w:t>underwriters </w:t>
      </w:r>
      <w:r>
        <w:rPr>
          <w:spacing w:val="-6"/>
          <w:sz w:val="16"/>
        </w:rPr>
        <w:t>and </w:t>
      </w:r>
      <w:r>
        <w:rPr>
          <w:spacing w:val="-8"/>
          <w:sz w:val="16"/>
        </w:rPr>
        <w:t>from </w:t>
      </w:r>
      <w:r>
        <w:rPr>
          <w:spacing w:val="-9"/>
          <w:sz w:val="16"/>
        </w:rPr>
        <w:t>other </w:t>
      </w:r>
      <w:r>
        <w:rPr>
          <w:spacing w:val="-8"/>
          <w:sz w:val="16"/>
        </w:rPr>
        <w:t>sources Fitch believes </w:t>
      </w:r>
      <w:r>
        <w:rPr>
          <w:spacing w:val="-4"/>
          <w:sz w:val="16"/>
        </w:rPr>
        <w:t>to be </w:t>
      </w:r>
      <w:r>
        <w:rPr>
          <w:spacing w:val="-8"/>
          <w:sz w:val="16"/>
        </w:rPr>
        <w:t>credible. </w:t>
      </w:r>
      <w:r>
        <w:rPr>
          <w:spacing w:val="-7"/>
          <w:sz w:val="16"/>
        </w:rPr>
        <w:t>Fitch </w:t>
      </w:r>
      <w:r>
        <w:rPr>
          <w:spacing w:val="-8"/>
          <w:sz w:val="16"/>
        </w:rPr>
        <w:t>conducts </w:t>
      </w:r>
      <w:r>
        <w:rPr>
          <w:sz w:val="16"/>
        </w:rPr>
        <w:t>a </w:t>
      </w:r>
      <w:r>
        <w:rPr>
          <w:spacing w:val="-8"/>
          <w:sz w:val="16"/>
        </w:rPr>
        <w:t>reasonable investigation </w:t>
      </w:r>
      <w:r>
        <w:rPr>
          <w:spacing w:val="-6"/>
          <w:sz w:val="16"/>
        </w:rPr>
        <w:t>of </w:t>
      </w:r>
      <w:r>
        <w:rPr>
          <w:spacing w:val="-5"/>
          <w:sz w:val="16"/>
        </w:rPr>
        <w:t>the </w:t>
      </w:r>
      <w:r>
        <w:rPr>
          <w:spacing w:val="-8"/>
          <w:sz w:val="16"/>
        </w:rPr>
        <w:t>factual </w:t>
      </w:r>
      <w:r>
        <w:rPr>
          <w:spacing w:val="-9"/>
          <w:sz w:val="16"/>
        </w:rPr>
        <w:t>information </w:t>
      </w:r>
      <w:r>
        <w:rPr>
          <w:spacing w:val="-7"/>
          <w:sz w:val="16"/>
        </w:rPr>
        <w:t>relied upon </w:t>
      </w:r>
      <w:r>
        <w:rPr>
          <w:spacing w:val="-4"/>
          <w:sz w:val="16"/>
        </w:rPr>
        <w:t>by </w:t>
      </w:r>
      <w:r>
        <w:rPr>
          <w:spacing w:val="-5"/>
          <w:sz w:val="16"/>
        </w:rPr>
        <w:t>it </w:t>
      </w:r>
      <w:r>
        <w:rPr>
          <w:spacing w:val="-4"/>
          <w:sz w:val="16"/>
        </w:rPr>
        <w:t>in </w:t>
      </w:r>
      <w:r>
        <w:rPr>
          <w:spacing w:val="-8"/>
          <w:sz w:val="16"/>
        </w:rPr>
        <w:t>accordance</w:t>
      </w:r>
      <w:r>
        <w:rPr>
          <w:spacing w:val="-10"/>
          <w:sz w:val="16"/>
        </w:rPr>
        <w:t> </w:t>
      </w:r>
      <w:r>
        <w:rPr>
          <w:spacing w:val="-7"/>
          <w:sz w:val="16"/>
        </w:rPr>
        <w:t>with</w:t>
      </w:r>
      <w:r>
        <w:rPr>
          <w:spacing w:val="-13"/>
          <w:sz w:val="16"/>
        </w:rPr>
        <w:t> </w:t>
      </w:r>
      <w:r>
        <w:rPr>
          <w:spacing w:val="-7"/>
          <w:sz w:val="16"/>
        </w:rPr>
        <w:t>its</w:t>
      </w:r>
      <w:r>
        <w:rPr>
          <w:spacing w:val="-8"/>
          <w:sz w:val="16"/>
        </w:rPr>
        <w:t> ratings</w:t>
      </w:r>
      <w:r>
        <w:rPr>
          <w:spacing w:val="-13"/>
          <w:sz w:val="16"/>
        </w:rPr>
        <w:t> </w:t>
      </w:r>
      <w:r>
        <w:rPr>
          <w:spacing w:val="-8"/>
          <w:sz w:val="16"/>
        </w:rPr>
        <w:t>methodology,</w:t>
      </w:r>
      <w:r>
        <w:rPr>
          <w:spacing w:val="-11"/>
          <w:sz w:val="16"/>
        </w:rPr>
        <w:t> </w:t>
      </w:r>
      <w:r>
        <w:rPr>
          <w:spacing w:val="-6"/>
          <w:sz w:val="16"/>
        </w:rPr>
        <w:t>and</w:t>
      </w:r>
      <w:r>
        <w:rPr>
          <w:spacing w:val="-13"/>
          <w:sz w:val="16"/>
        </w:rPr>
        <w:t> </w:t>
      </w:r>
      <w:r>
        <w:rPr>
          <w:spacing w:val="-8"/>
          <w:sz w:val="16"/>
        </w:rPr>
        <w:t>obtains</w:t>
      </w:r>
      <w:r>
        <w:rPr>
          <w:spacing w:val="-10"/>
          <w:sz w:val="16"/>
        </w:rPr>
        <w:t> </w:t>
      </w:r>
      <w:r>
        <w:rPr>
          <w:spacing w:val="-8"/>
          <w:sz w:val="16"/>
        </w:rPr>
        <w:t>reasonable</w:t>
      </w:r>
      <w:r>
        <w:rPr>
          <w:spacing w:val="-10"/>
          <w:sz w:val="16"/>
        </w:rPr>
        <w:t> </w:t>
      </w:r>
      <w:r>
        <w:rPr>
          <w:spacing w:val="-9"/>
          <w:sz w:val="16"/>
        </w:rPr>
        <w:t>verification</w:t>
      </w:r>
      <w:r>
        <w:rPr>
          <w:spacing w:val="-13"/>
          <w:sz w:val="16"/>
        </w:rPr>
        <w:t> </w:t>
      </w:r>
      <w:r>
        <w:rPr>
          <w:spacing w:val="-6"/>
          <w:sz w:val="16"/>
        </w:rPr>
        <w:t>of</w:t>
      </w:r>
      <w:r>
        <w:rPr>
          <w:spacing w:val="-10"/>
          <w:sz w:val="16"/>
        </w:rPr>
        <w:t> </w:t>
      </w:r>
      <w:r>
        <w:rPr>
          <w:spacing w:val="-7"/>
          <w:sz w:val="16"/>
        </w:rPr>
        <w:t>that</w:t>
      </w:r>
      <w:r>
        <w:rPr>
          <w:spacing w:val="-11"/>
          <w:sz w:val="16"/>
        </w:rPr>
        <w:t> </w:t>
      </w:r>
      <w:r>
        <w:rPr>
          <w:spacing w:val="-8"/>
          <w:sz w:val="16"/>
        </w:rPr>
        <w:t>information</w:t>
      </w:r>
      <w:r>
        <w:rPr>
          <w:spacing w:val="-15"/>
          <w:sz w:val="16"/>
        </w:rPr>
        <w:t> </w:t>
      </w:r>
      <w:r>
        <w:rPr>
          <w:spacing w:val="-7"/>
          <w:sz w:val="16"/>
        </w:rPr>
        <w:t>from</w:t>
      </w:r>
      <w:r>
        <w:rPr>
          <w:spacing w:val="-12"/>
          <w:sz w:val="16"/>
        </w:rPr>
        <w:t> </w:t>
      </w:r>
      <w:r>
        <w:rPr>
          <w:spacing w:val="-8"/>
          <w:sz w:val="16"/>
        </w:rPr>
        <w:t>independent</w:t>
      </w:r>
      <w:r>
        <w:rPr>
          <w:spacing w:val="-11"/>
          <w:sz w:val="16"/>
        </w:rPr>
        <w:t> </w:t>
      </w:r>
      <w:r>
        <w:rPr>
          <w:spacing w:val="-8"/>
          <w:sz w:val="16"/>
        </w:rPr>
        <w:t>sources,</w:t>
      </w:r>
      <w:r>
        <w:rPr>
          <w:spacing w:val="-10"/>
          <w:sz w:val="16"/>
        </w:rPr>
        <w:t> </w:t>
      </w:r>
      <w:r>
        <w:rPr>
          <w:spacing w:val="-5"/>
          <w:sz w:val="16"/>
        </w:rPr>
        <w:t>to the </w:t>
      </w:r>
      <w:r>
        <w:rPr>
          <w:spacing w:val="-8"/>
          <w:sz w:val="16"/>
        </w:rPr>
        <w:t>extent </w:t>
      </w:r>
      <w:r>
        <w:rPr>
          <w:spacing w:val="-7"/>
          <w:sz w:val="16"/>
        </w:rPr>
        <w:t>such </w:t>
      </w:r>
      <w:r>
        <w:rPr>
          <w:spacing w:val="-8"/>
          <w:sz w:val="16"/>
        </w:rPr>
        <w:t>sources </w:t>
      </w:r>
      <w:r>
        <w:rPr>
          <w:spacing w:val="-6"/>
          <w:sz w:val="16"/>
        </w:rPr>
        <w:t>are </w:t>
      </w:r>
      <w:r>
        <w:rPr>
          <w:spacing w:val="-8"/>
          <w:sz w:val="16"/>
        </w:rPr>
        <w:t>available </w:t>
      </w:r>
      <w:r>
        <w:rPr>
          <w:spacing w:val="-6"/>
          <w:sz w:val="16"/>
        </w:rPr>
        <w:t>for </w:t>
      </w:r>
      <w:r>
        <w:rPr>
          <w:sz w:val="16"/>
        </w:rPr>
        <w:t>a </w:t>
      </w:r>
      <w:r>
        <w:rPr>
          <w:spacing w:val="-7"/>
          <w:sz w:val="16"/>
        </w:rPr>
        <w:t>given </w:t>
      </w:r>
      <w:r>
        <w:rPr>
          <w:spacing w:val="-8"/>
          <w:sz w:val="16"/>
        </w:rPr>
        <w:t>security </w:t>
      </w:r>
      <w:r>
        <w:rPr>
          <w:spacing w:val="-6"/>
          <w:sz w:val="16"/>
        </w:rPr>
        <w:t>or </w:t>
      </w:r>
      <w:r>
        <w:rPr>
          <w:spacing w:val="-5"/>
          <w:sz w:val="16"/>
        </w:rPr>
        <w:t>in </w:t>
      </w:r>
      <w:r>
        <w:rPr>
          <w:sz w:val="16"/>
        </w:rPr>
        <w:t>a </w:t>
      </w:r>
      <w:r>
        <w:rPr>
          <w:spacing w:val="-7"/>
          <w:sz w:val="16"/>
        </w:rPr>
        <w:t>given </w:t>
      </w:r>
      <w:r>
        <w:rPr>
          <w:spacing w:val="-9"/>
          <w:sz w:val="16"/>
        </w:rPr>
        <w:t>jurisdiction. </w:t>
      </w:r>
      <w:r>
        <w:rPr>
          <w:spacing w:val="-6"/>
          <w:sz w:val="16"/>
        </w:rPr>
        <w:t>The </w:t>
      </w:r>
      <w:r>
        <w:rPr>
          <w:spacing w:val="-7"/>
          <w:sz w:val="16"/>
        </w:rPr>
        <w:t>manner </w:t>
      </w:r>
      <w:r>
        <w:rPr>
          <w:spacing w:val="-6"/>
          <w:sz w:val="16"/>
        </w:rPr>
        <w:t>of </w:t>
      </w:r>
      <w:r>
        <w:rPr>
          <w:spacing w:val="-8"/>
          <w:sz w:val="16"/>
        </w:rPr>
        <w:t>Fitch’s factual </w:t>
      </w:r>
      <w:r>
        <w:rPr>
          <w:spacing w:val="-10"/>
          <w:sz w:val="16"/>
        </w:rPr>
        <w:t>investigation </w:t>
      </w:r>
      <w:r>
        <w:rPr>
          <w:spacing w:val="-6"/>
          <w:sz w:val="16"/>
        </w:rPr>
        <w:t>and</w:t>
      </w:r>
      <w:r>
        <w:rPr>
          <w:spacing w:val="-11"/>
          <w:sz w:val="16"/>
        </w:rPr>
        <w:t> </w:t>
      </w:r>
      <w:r>
        <w:rPr>
          <w:spacing w:val="-6"/>
          <w:sz w:val="16"/>
        </w:rPr>
        <w:t>the</w:t>
      </w:r>
      <w:r>
        <w:rPr>
          <w:spacing w:val="-11"/>
          <w:sz w:val="16"/>
        </w:rPr>
        <w:t> </w:t>
      </w:r>
      <w:r>
        <w:rPr>
          <w:spacing w:val="-7"/>
          <w:sz w:val="16"/>
        </w:rPr>
        <w:t>scope</w:t>
      </w:r>
      <w:r>
        <w:rPr>
          <w:spacing w:val="-11"/>
          <w:sz w:val="16"/>
        </w:rPr>
        <w:t> </w:t>
      </w:r>
      <w:r>
        <w:rPr>
          <w:spacing w:val="-4"/>
          <w:sz w:val="16"/>
        </w:rPr>
        <w:t>of</w:t>
      </w:r>
      <w:r>
        <w:rPr>
          <w:spacing w:val="-12"/>
          <w:sz w:val="16"/>
        </w:rPr>
        <w:t> </w:t>
      </w:r>
      <w:r>
        <w:rPr>
          <w:spacing w:val="-5"/>
          <w:sz w:val="16"/>
        </w:rPr>
        <w:t>the</w:t>
      </w:r>
      <w:r>
        <w:rPr>
          <w:spacing w:val="-14"/>
          <w:sz w:val="16"/>
        </w:rPr>
        <w:t> </w:t>
      </w:r>
      <w:r>
        <w:rPr>
          <w:spacing w:val="-8"/>
          <w:sz w:val="16"/>
        </w:rPr>
        <w:t>third-party</w:t>
      </w:r>
      <w:r>
        <w:rPr>
          <w:spacing w:val="-12"/>
          <w:sz w:val="16"/>
        </w:rPr>
        <w:t> </w:t>
      </w:r>
      <w:r>
        <w:rPr>
          <w:spacing w:val="-8"/>
          <w:sz w:val="16"/>
        </w:rPr>
        <w:t>verification</w:t>
      </w:r>
      <w:r>
        <w:rPr>
          <w:spacing w:val="-11"/>
          <w:sz w:val="16"/>
        </w:rPr>
        <w:t> </w:t>
      </w:r>
      <w:r>
        <w:rPr>
          <w:spacing w:val="-5"/>
          <w:sz w:val="16"/>
        </w:rPr>
        <w:t>it</w:t>
      </w:r>
      <w:r>
        <w:rPr>
          <w:spacing w:val="-9"/>
          <w:sz w:val="16"/>
        </w:rPr>
        <w:t> </w:t>
      </w:r>
      <w:r>
        <w:rPr>
          <w:spacing w:val="-8"/>
          <w:sz w:val="16"/>
        </w:rPr>
        <w:t>obtains</w:t>
      </w:r>
      <w:r>
        <w:rPr>
          <w:spacing w:val="-7"/>
          <w:sz w:val="16"/>
        </w:rPr>
        <w:t> will</w:t>
      </w:r>
      <w:r>
        <w:rPr>
          <w:spacing w:val="-10"/>
          <w:sz w:val="16"/>
        </w:rPr>
        <w:t> </w:t>
      </w:r>
      <w:r>
        <w:rPr>
          <w:spacing w:val="-7"/>
          <w:sz w:val="16"/>
        </w:rPr>
        <w:t>vary</w:t>
      </w:r>
      <w:r>
        <w:rPr>
          <w:spacing w:val="-11"/>
          <w:sz w:val="16"/>
        </w:rPr>
        <w:t> </w:t>
      </w:r>
      <w:r>
        <w:rPr>
          <w:spacing w:val="-8"/>
          <w:sz w:val="16"/>
        </w:rPr>
        <w:t>depending</w:t>
      </w:r>
      <w:r>
        <w:rPr>
          <w:spacing w:val="-11"/>
          <w:sz w:val="16"/>
        </w:rPr>
        <w:t> </w:t>
      </w:r>
      <w:r>
        <w:rPr>
          <w:spacing w:val="-4"/>
          <w:sz w:val="16"/>
        </w:rPr>
        <w:t>on</w:t>
      </w:r>
      <w:r>
        <w:rPr>
          <w:spacing w:val="-11"/>
          <w:sz w:val="16"/>
        </w:rPr>
        <w:t> </w:t>
      </w:r>
      <w:r>
        <w:rPr>
          <w:spacing w:val="-6"/>
          <w:sz w:val="16"/>
        </w:rPr>
        <w:t>the</w:t>
      </w:r>
      <w:r>
        <w:rPr>
          <w:spacing w:val="-9"/>
          <w:sz w:val="16"/>
        </w:rPr>
        <w:t> </w:t>
      </w:r>
      <w:r>
        <w:rPr>
          <w:spacing w:val="-8"/>
          <w:sz w:val="16"/>
        </w:rPr>
        <w:t>nature</w:t>
      </w:r>
      <w:r>
        <w:rPr>
          <w:spacing w:val="-9"/>
          <w:sz w:val="16"/>
        </w:rPr>
        <w:t> </w:t>
      </w:r>
      <w:r>
        <w:rPr>
          <w:spacing w:val="-6"/>
          <w:sz w:val="16"/>
        </w:rPr>
        <w:t>of</w:t>
      </w:r>
      <w:r>
        <w:rPr>
          <w:spacing w:val="-10"/>
          <w:sz w:val="16"/>
        </w:rPr>
        <w:t> </w:t>
      </w:r>
      <w:r>
        <w:rPr>
          <w:spacing w:val="-5"/>
          <w:sz w:val="16"/>
        </w:rPr>
        <w:t>the</w:t>
      </w:r>
      <w:r>
        <w:rPr>
          <w:spacing w:val="-11"/>
          <w:sz w:val="16"/>
        </w:rPr>
        <w:t> </w:t>
      </w:r>
      <w:r>
        <w:rPr>
          <w:spacing w:val="-8"/>
          <w:sz w:val="16"/>
        </w:rPr>
        <w:t>rated</w:t>
      </w:r>
      <w:r>
        <w:rPr>
          <w:spacing w:val="-11"/>
          <w:sz w:val="16"/>
        </w:rPr>
        <w:t> </w:t>
      </w:r>
      <w:r>
        <w:rPr>
          <w:spacing w:val="-8"/>
          <w:sz w:val="16"/>
        </w:rPr>
        <w:t>security</w:t>
      </w:r>
      <w:r>
        <w:rPr>
          <w:spacing w:val="-12"/>
          <w:sz w:val="16"/>
        </w:rPr>
        <w:t> </w:t>
      </w:r>
      <w:r>
        <w:rPr>
          <w:spacing w:val="-6"/>
          <w:sz w:val="16"/>
        </w:rPr>
        <w:t>and</w:t>
      </w:r>
      <w:r>
        <w:rPr>
          <w:spacing w:val="-11"/>
          <w:sz w:val="16"/>
        </w:rPr>
        <w:t> </w:t>
      </w:r>
      <w:r>
        <w:rPr>
          <w:spacing w:val="-7"/>
          <w:sz w:val="16"/>
        </w:rPr>
        <w:t>its</w:t>
      </w:r>
      <w:r>
        <w:rPr>
          <w:spacing w:val="-9"/>
          <w:sz w:val="16"/>
        </w:rPr>
        <w:t> </w:t>
      </w:r>
      <w:r>
        <w:rPr>
          <w:spacing w:val="-8"/>
          <w:sz w:val="16"/>
        </w:rPr>
        <w:t>issuer,</w:t>
      </w:r>
      <w:r>
        <w:rPr>
          <w:spacing w:val="-12"/>
          <w:sz w:val="16"/>
        </w:rPr>
        <w:t> </w:t>
      </w:r>
      <w:r>
        <w:rPr>
          <w:spacing w:val="-6"/>
          <w:sz w:val="16"/>
        </w:rPr>
        <w:t>the </w:t>
      </w:r>
      <w:r>
        <w:rPr>
          <w:spacing w:val="-8"/>
          <w:sz w:val="16"/>
        </w:rPr>
        <w:t>requirements </w:t>
      </w:r>
      <w:r>
        <w:rPr>
          <w:spacing w:val="-6"/>
          <w:sz w:val="16"/>
        </w:rPr>
        <w:t>and </w:t>
      </w:r>
      <w:r>
        <w:rPr>
          <w:spacing w:val="-9"/>
          <w:sz w:val="16"/>
        </w:rPr>
        <w:t>practices </w:t>
      </w:r>
      <w:r>
        <w:rPr>
          <w:spacing w:val="-4"/>
          <w:sz w:val="16"/>
        </w:rPr>
        <w:t>in </w:t>
      </w:r>
      <w:r>
        <w:rPr>
          <w:spacing w:val="-5"/>
          <w:sz w:val="16"/>
        </w:rPr>
        <w:t>the </w:t>
      </w:r>
      <w:r>
        <w:rPr>
          <w:spacing w:val="-9"/>
          <w:sz w:val="16"/>
        </w:rPr>
        <w:t>jurisdiction </w:t>
      </w:r>
      <w:r>
        <w:rPr>
          <w:spacing w:val="-4"/>
          <w:sz w:val="16"/>
        </w:rPr>
        <w:t>in </w:t>
      </w:r>
      <w:r>
        <w:rPr>
          <w:spacing w:val="-8"/>
          <w:sz w:val="16"/>
        </w:rPr>
        <w:t>which </w:t>
      </w:r>
      <w:r>
        <w:rPr>
          <w:spacing w:val="-5"/>
          <w:sz w:val="16"/>
        </w:rPr>
        <w:t>the </w:t>
      </w:r>
      <w:r>
        <w:rPr>
          <w:spacing w:val="-8"/>
          <w:sz w:val="16"/>
        </w:rPr>
        <w:t>rated security </w:t>
      </w:r>
      <w:r>
        <w:rPr>
          <w:spacing w:val="-5"/>
          <w:sz w:val="16"/>
        </w:rPr>
        <w:t>is </w:t>
      </w:r>
      <w:r>
        <w:rPr>
          <w:spacing w:val="-8"/>
          <w:sz w:val="16"/>
        </w:rPr>
        <w:t>offered </w:t>
      </w:r>
      <w:r>
        <w:rPr>
          <w:spacing w:val="-7"/>
          <w:sz w:val="16"/>
        </w:rPr>
        <w:t>and </w:t>
      </w:r>
      <w:r>
        <w:rPr>
          <w:spacing w:val="-6"/>
          <w:sz w:val="16"/>
        </w:rPr>
        <w:t>sold </w:t>
      </w:r>
      <w:r>
        <w:rPr>
          <w:spacing w:val="-8"/>
          <w:sz w:val="16"/>
        </w:rPr>
        <w:t>and/or </w:t>
      </w:r>
      <w:r>
        <w:rPr>
          <w:spacing w:val="-6"/>
          <w:sz w:val="16"/>
        </w:rPr>
        <w:t>the </w:t>
      </w:r>
      <w:r>
        <w:rPr>
          <w:spacing w:val="-8"/>
          <w:sz w:val="16"/>
        </w:rPr>
        <w:t>issuer </w:t>
      </w:r>
      <w:r>
        <w:rPr>
          <w:spacing w:val="-5"/>
          <w:sz w:val="16"/>
        </w:rPr>
        <w:t>is </w:t>
      </w:r>
      <w:r>
        <w:rPr>
          <w:spacing w:val="-8"/>
          <w:sz w:val="16"/>
        </w:rPr>
        <w:t>located, </w:t>
      </w:r>
      <w:r>
        <w:rPr>
          <w:spacing w:val="-5"/>
          <w:sz w:val="16"/>
        </w:rPr>
        <w:t>the </w:t>
      </w:r>
      <w:r>
        <w:rPr>
          <w:spacing w:val="-8"/>
          <w:sz w:val="16"/>
        </w:rPr>
        <w:t>availability </w:t>
      </w:r>
      <w:r>
        <w:rPr>
          <w:spacing w:val="-6"/>
          <w:sz w:val="16"/>
        </w:rPr>
        <w:t>and </w:t>
      </w:r>
      <w:r>
        <w:rPr>
          <w:spacing w:val="-8"/>
          <w:sz w:val="16"/>
        </w:rPr>
        <w:t>nature </w:t>
      </w:r>
      <w:r>
        <w:rPr>
          <w:spacing w:val="-6"/>
          <w:sz w:val="16"/>
        </w:rPr>
        <w:t>of </w:t>
      </w:r>
      <w:r>
        <w:rPr>
          <w:spacing w:val="-8"/>
          <w:sz w:val="16"/>
        </w:rPr>
        <w:t>relevant public </w:t>
      </w:r>
      <w:r>
        <w:rPr>
          <w:spacing w:val="-9"/>
          <w:sz w:val="16"/>
        </w:rPr>
        <w:t>information, </w:t>
      </w:r>
      <w:r>
        <w:rPr>
          <w:spacing w:val="-8"/>
          <w:sz w:val="16"/>
        </w:rPr>
        <w:t>access </w:t>
      </w:r>
      <w:r>
        <w:rPr>
          <w:spacing w:val="-4"/>
          <w:sz w:val="16"/>
        </w:rPr>
        <w:t>to </w:t>
      </w:r>
      <w:r>
        <w:rPr>
          <w:spacing w:val="-5"/>
          <w:sz w:val="16"/>
        </w:rPr>
        <w:t>the </w:t>
      </w:r>
      <w:r>
        <w:rPr>
          <w:spacing w:val="-8"/>
          <w:sz w:val="16"/>
        </w:rPr>
        <w:t>management </w:t>
      </w:r>
      <w:r>
        <w:rPr>
          <w:spacing w:val="-4"/>
          <w:sz w:val="16"/>
        </w:rPr>
        <w:t>of </w:t>
      </w:r>
      <w:r>
        <w:rPr>
          <w:spacing w:val="-6"/>
          <w:sz w:val="16"/>
        </w:rPr>
        <w:t>the </w:t>
      </w:r>
      <w:r>
        <w:rPr>
          <w:spacing w:val="-8"/>
          <w:sz w:val="16"/>
        </w:rPr>
        <w:t>issuer </w:t>
      </w:r>
      <w:r>
        <w:rPr>
          <w:spacing w:val="-6"/>
          <w:sz w:val="16"/>
        </w:rPr>
        <w:t>and </w:t>
      </w:r>
      <w:r>
        <w:rPr>
          <w:spacing w:val="-7"/>
          <w:sz w:val="16"/>
        </w:rPr>
        <w:t>its </w:t>
      </w:r>
      <w:r>
        <w:rPr>
          <w:spacing w:val="-8"/>
          <w:sz w:val="16"/>
        </w:rPr>
        <w:t>advisers, </w:t>
      </w:r>
      <w:r>
        <w:rPr>
          <w:spacing w:val="-5"/>
          <w:sz w:val="16"/>
        </w:rPr>
        <w:t>the </w:t>
      </w:r>
      <w:r>
        <w:rPr>
          <w:spacing w:val="-9"/>
          <w:sz w:val="16"/>
        </w:rPr>
        <w:t>availability </w:t>
      </w:r>
      <w:r>
        <w:rPr>
          <w:spacing w:val="-4"/>
          <w:sz w:val="16"/>
        </w:rPr>
        <w:t>of </w:t>
      </w:r>
      <w:r>
        <w:rPr>
          <w:spacing w:val="-9"/>
          <w:sz w:val="16"/>
        </w:rPr>
        <w:t>pre-existing </w:t>
      </w:r>
      <w:r>
        <w:rPr>
          <w:spacing w:val="-8"/>
          <w:sz w:val="16"/>
        </w:rPr>
        <w:t>third-party </w:t>
      </w:r>
      <w:r>
        <w:rPr>
          <w:spacing w:val="-9"/>
          <w:sz w:val="16"/>
        </w:rPr>
        <w:t>verifications </w:t>
      </w:r>
      <w:r>
        <w:rPr>
          <w:spacing w:val="-6"/>
          <w:sz w:val="16"/>
        </w:rPr>
        <w:t>such as </w:t>
      </w:r>
      <w:r>
        <w:rPr>
          <w:spacing w:val="-8"/>
          <w:sz w:val="16"/>
        </w:rPr>
        <w:t>audit reports, </w:t>
      </w:r>
      <w:r>
        <w:rPr>
          <w:spacing w:val="-9"/>
          <w:sz w:val="16"/>
        </w:rPr>
        <w:t>agreed-upon procedures </w:t>
      </w:r>
      <w:r>
        <w:rPr>
          <w:spacing w:val="-8"/>
          <w:sz w:val="16"/>
        </w:rPr>
        <w:t>letters, </w:t>
      </w:r>
      <w:r>
        <w:rPr>
          <w:spacing w:val="-9"/>
          <w:sz w:val="16"/>
        </w:rPr>
        <w:t>appraisals, </w:t>
      </w:r>
      <w:r>
        <w:rPr>
          <w:spacing w:val="-8"/>
          <w:sz w:val="16"/>
        </w:rPr>
        <w:t>actuarial reports, engineering reports, legal opinions </w:t>
      </w:r>
      <w:r>
        <w:rPr>
          <w:spacing w:val="-7"/>
          <w:sz w:val="16"/>
        </w:rPr>
        <w:t>and </w:t>
      </w:r>
      <w:r>
        <w:rPr>
          <w:spacing w:val="-8"/>
          <w:sz w:val="16"/>
        </w:rPr>
        <w:t>other reports provided </w:t>
      </w:r>
      <w:r>
        <w:rPr>
          <w:spacing w:val="-4"/>
          <w:sz w:val="16"/>
        </w:rPr>
        <w:t>by </w:t>
      </w:r>
      <w:r>
        <w:rPr>
          <w:spacing w:val="-7"/>
          <w:sz w:val="16"/>
        </w:rPr>
        <w:t>third </w:t>
      </w:r>
      <w:r>
        <w:rPr>
          <w:spacing w:val="-8"/>
          <w:sz w:val="16"/>
        </w:rPr>
        <w:t>parties, </w:t>
      </w:r>
      <w:r>
        <w:rPr>
          <w:spacing w:val="-5"/>
          <w:sz w:val="16"/>
        </w:rPr>
        <w:t>the </w:t>
      </w:r>
      <w:r>
        <w:rPr>
          <w:spacing w:val="-9"/>
          <w:sz w:val="16"/>
        </w:rPr>
        <w:t>availability </w:t>
      </w:r>
      <w:r>
        <w:rPr>
          <w:spacing w:val="-6"/>
          <w:sz w:val="16"/>
        </w:rPr>
        <w:t>of </w:t>
      </w:r>
      <w:r>
        <w:rPr>
          <w:spacing w:val="-8"/>
          <w:sz w:val="16"/>
        </w:rPr>
        <w:t>independent </w:t>
      </w:r>
      <w:r>
        <w:rPr>
          <w:spacing w:val="-7"/>
          <w:sz w:val="16"/>
        </w:rPr>
        <w:t>and </w:t>
      </w:r>
      <w:r>
        <w:rPr>
          <w:spacing w:val="-8"/>
          <w:sz w:val="16"/>
        </w:rPr>
        <w:t>competent third-party verification sources </w:t>
      </w:r>
      <w:r>
        <w:rPr>
          <w:spacing w:val="-7"/>
          <w:sz w:val="16"/>
        </w:rPr>
        <w:t>with </w:t>
      </w:r>
      <w:r>
        <w:rPr>
          <w:spacing w:val="-8"/>
          <w:sz w:val="16"/>
        </w:rPr>
        <w:t>respect </w:t>
      </w:r>
      <w:r>
        <w:rPr>
          <w:spacing w:val="-5"/>
          <w:sz w:val="16"/>
        </w:rPr>
        <w:t>to the </w:t>
      </w:r>
      <w:r>
        <w:rPr>
          <w:spacing w:val="-8"/>
          <w:sz w:val="16"/>
        </w:rPr>
        <w:t>particular security </w:t>
      </w:r>
      <w:r>
        <w:rPr>
          <w:spacing w:val="-4"/>
          <w:sz w:val="16"/>
        </w:rPr>
        <w:t>or in </w:t>
      </w:r>
      <w:r>
        <w:rPr>
          <w:spacing w:val="-5"/>
          <w:sz w:val="16"/>
        </w:rPr>
        <w:t>the </w:t>
      </w:r>
      <w:r>
        <w:rPr>
          <w:spacing w:val="-8"/>
          <w:sz w:val="16"/>
        </w:rPr>
        <w:t>particular jurisdiction </w:t>
      </w:r>
      <w:r>
        <w:rPr>
          <w:spacing w:val="-6"/>
          <w:sz w:val="16"/>
        </w:rPr>
        <w:t>of </w:t>
      </w:r>
      <w:r>
        <w:rPr>
          <w:spacing w:val="-5"/>
          <w:sz w:val="16"/>
        </w:rPr>
        <w:t>the </w:t>
      </w:r>
      <w:r>
        <w:rPr>
          <w:spacing w:val="-8"/>
          <w:sz w:val="16"/>
        </w:rPr>
        <w:t>issuer, </w:t>
      </w:r>
      <w:r>
        <w:rPr>
          <w:spacing w:val="-6"/>
          <w:sz w:val="16"/>
        </w:rPr>
        <w:t>and </w:t>
      </w:r>
      <w:r>
        <w:rPr>
          <w:sz w:val="16"/>
        </w:rPr>
        <w:t>a </w:t>
      </w:r>
      <w:r>
        <w:rPr>
          <w:spacing w:val="-8"/>
          <w:sz w:val="16"/>
        </w:rPr>
        <w:t>variety </w:t>
      </w:r>
      <w:r>
        <w:rPr>
          <w:spacing w:val="-4"/>
          <w:sz w:val="16"/>
        </w:rPr>
        <w:t>of </w:t>
      </w:r>
      <w:r>
        <w:rPr>
          <w:spacing w:val="-8"/>
          <w:sz w:val="16"/>
        </w:rPr>
        <w:t>other factors. Users </w:t>
      </w:r>
      <w:r>
        <w:rPr>
          <w:spacing w:val="-6"/>
          <w:sz w:val="16"/>
        </w:rPr>
        <w:t>of </w:t>
      </w:r>
      <w:r>
        <w:rPr>
          <w:spacing w:val="-8"/>
          <w:sz w:val="16"/>
        </w:rPr>
        <w:t>Fitch’s ratings </w:t>
      </w:r>
      <w:r>
        <w:rPr>
          <w:spacing w:val="-7"/>
          <w:sz w:val="16"/>
        </w:rPr>
        <w:t>and </w:t>
      </w:r>
      <w:r>
        <w:rPr>
          <w:spacing w:val="-8"/>
          <w:sz w:val="16"/>
        </w:rPr>
        <w:t>reports should </w:t>
      </w:r>
      <w:r>
        <w:rPr>
          <w:spacing w:val="-9"/>
          <w:sz w:val="16"/>
        </w:rPr>
        <w:t>understand </w:t>
      </w:r>
      <w:r>
        <w:rPr>
          <w:spacing w:val="-7"/>
          <w:sz w:val="16"/>
        </w:rPr>
        <w:t>that </w:t>
      </w:r>
      <w:r>
        <w:rPr>
          <w:spacing w:val="-8"/>
          <w:sz w:val="16"/>
        </w:rPr>
        <w:t>neither </w:t>
      </w:r>
      <w:r>
        <w:rPr>
          <w:spacing w:val="-6"/>
          <w:sz w:val="16"/>
        </w:rPr>
        <w:t>an </w:t>
      </w:r>
      <w:r>
        <w:rPr>
          <w:spacing w:val="-8"/>
          <w:sz w:val="16"/>
        </w:rPr>
        <w:t>enhanced factual </w:t>
      </w:r>
      <w:r>
        <w:rPr>
          <w:spacing w:val="-9"/>
          <w:sz w:val="16"/>
        </w:rPr>
        <w:t>investigation </w:t>
      </w:r>
      <w:r>
        <w:rPr>
          <w:spacing w:val="-7"/>
          <w:sz w:val="16"/>
        </w:rPr>
        <w:t>nor </w:t>
      </w:r>
      <w:r>
        <w:rPr>
          <w:spacing w:val="-6"/>
          <w:sz w:val="16"/>
        </w:rPr>
        <w:t>any </w:t>
      </w:r>
      <w:r>
        <w:rPr>
          <w:spacing w:val="-8"/>
          <w:sz w:val="16"/>
        </w:rPr>
        <w:t>third-party </w:t>
      </w:r>
      <w:r>
        <w:rPr>
          <w:spacing w:val="-9"/>
          <w:sz w:val="16"/>
        </w:rPr>
        <w:t>verification </w:t>
      </w:r>
      <w:r>
        <w:rPr>
          <w:spacing w:val="-6"/>
          <w:sz w:val="16"/>
        </w:rPr>
        <w:t>can </w:t>
      </w:r>
      <w:r>
        <w:rPr>
          <w:spacing w:val="-8"/>
          <w:sz w:val="16"/>
        </w:rPr>
        <w:t>ensure </w:t>
      </w:r>
      <w:r>
        <w:rPr>
          <w:spacing w:val="-7"/>
          <w:sz w:val="16"/>
        </w:rPr>
        <w:t>that </w:t>
      </w:r>
      <w:r>
        <w:rPr>
          <w:spacing w:val="-6"/>
          <w:sz w:val="16"/>
        </w:rPr>
        <w:t>all of the </w:t>
      </w:r>
      <w:r>
        <w:rPr>
          <w:spacing w:val="-8"/>
          <w:sz w:val="16"/>
        </w:rPr>
        <w:t>information </w:t>
      </w:r>
      <w:r>
        <w:rPr>
          <w:spacing w:val="-7"/>
          <w:sz w:val="16"/>
        </w:rPr>
        <w:t>Fitch </w:t>
      </w:r>
      <w:r>
        <w:rPr>
          <w:spacing w:val="-8"/>
          <w:sz w:val="16"/>
        </w:rPr>
        <w:t>relies </w:t>
      </w:r>
      <w:r>
        <w:rPr>
          <w:spacing w:val="-4"/>
          <w:sz w:val="16"/>
        </w:rPr>
        <w:t>on in </w:t>
      </w:r>
      <w:r>
        <w:rPr>
          <w:spacing w:val="-8"/>
          <w:sz w:val="16"/>
        </w:rPr>
        <w:t>connection </w:t>
      </w:r>
      <w:r>
        <w:rPr>
          <w:spacing w:val="-7"/>
          <w:sz w:val="16"/>
        </w:rPr>
        <w:t>with </w:t>
      </w:r>
      <w:r>
        <w:rPr>
          <w:sz w:val="16"/>
        </w:rPr>
        <w:t>a </w:t>
      </w:r>
      <w:r>
        <w:rPr>
          <w:spacing w:val="-8"/>
          <w:sz w:val="16"/>
        </w:rPr>
        <w:t>rating </w:t>
      </w:r>
      <w:r>
        <w:rPr>
          <w:spacing w:val="-4"/>
          <w:sz w:val="16"/>
        </w:rPr>
        <w:t>or </w:t>
      </w:r>
      <w:r>
        <w:rPr>
          <w:sz w:val="16"/>
        </w:rPr>
        <w:t>a </w:t>
      </w:r>
      <w:r>
        <w:rPr>
          <w:spacing w:val="-8"/>
          <w:sz w:val="16"/>
        </w:rPr>
        <w:t>report </w:t>
      </w:r>
      <w:r>
        <w:rPr>
          <w:spacing w:val="-7"/>
          <w:sz w:val="16"/>
        </w:rPr>
        <w:t>will </w:t>
      </w:r>
      <w:r>
        <w:rPr>
          <w:spacing w:val="-6"/>
          <w:sz w:val="16"/>
        </w:rPr>
        <w:t>be </w:t>
      </w:r>
      <w:r>
        <w:rPr>
          <w:spacing w:val="-8"/>
          <w:sz w:val="16"/>
        </w:rPr>
        <w:t>accurate</w:t>
      </w:r>
      <w:r>
        <w:rPr>
          <w:spacing w:val="-14"/>
          <w:sz w:val="16"/>
        </w:rPr>
        <w:t> </w:t>
      </w:r>
      <w:r>
        <w:rPr>
          <w:spacing w:val="-6"/>
          <w:sz w:val="16"/>
        </w:rPr>
        <w:t>and</w:t>
      </w:r>
      <w:r>
        <w:rPr>
          <w:spacing w:val="-16"/>
          <w:sz w:val="16"/>
        </w:rPr>
        <w:t> </w:t>
      </w:r>
      <w:r>
        <w:rPr>
          <w:spacing w:val="-8"/>
          <w:sz w:val="16"/>
        </w:rPr>
        <w:t>complete. </w:t>
      </w:r>
      <w:r>
        <w:rPr>
          <w:spacing w:val="-9"/>
          <w:sz w:val="16"/>
        </w:rPr>
        <w:t>Ultimately,</w:t>
      </w:r>
      <w:r>
        <w:rPr>
          <w:spacing w:val="-12"/>
          <w:sz w:val="16"/>
        </w:rPr>
        <w:t> </w:t>
      </w:r>
      <w:r>
        <w:rPr>
          <w:spacing w:val="-6"/>
          <w:sz w:val="16"/>
        </w:rPr>
        <w:t>the</w:t>
      </w:r>
      <w:r>
        <w:rPr>
          <w:spacing w:val="-13"/>
          <w:sz w:val="16"/>
        </w:rPr>
        <w:t> </w:t>
      </w:r>
      <w:r>
        <w:rPr>
          <w:spacing w:val="-8"/>
          <w:sz w:val="16"/>
        </w:rPr>
        <w:t>issuer</w:t>
      </w:r>
      <w:r>
        <w:rPr>
          <w:spacing w:val="-13"/>
          <w:sz w:val="16"/>
        </w:rPr>
        <w:t> </w:t>
      </w:r>
      <w:r>
        <w:rPr>
          <w:spacing w:val="-6"/>
          <w:sz w:val="16"/>
        </w:rPr>
        <w:t>and</w:t>
      </w:r>
      <w:r>
        <w:rPr>
          <w:spacing w:val="-14"/>
          <w:sz w:val="16"/>
        </w:rPr>
        <w:t> </w:t>
      </w:r>
      <w:r>
        <w:rPr>
          <w:spacing w:val="-7"/>
          <w:sz w:val="16"/>
        </w:rPr>
        <w:t>its</w:t>
      </w:r>
      <w:r>
        <w:rPr>
          <w:spacing w:val="-11"/>
          <w:sz w:val="16"/>
        </w:rPr>
        <w:t> </w:t>
      </w:r>
      <w:r>
        <w:rPr>
          <w:spacing w:val="-8"/>
          <w:sz w:val="16"/>
        </w:rPr>
        <w:t>advisers</w:t>
      </w:r>
      <w:r>
        <w:rPr>
          <w:spacing w:val="-11"/>
          <w:sz w:val="16"/>
        </w:rPr>
        <w:t> </w:t>
      </w:r>
      <w:r>
        <w:rPr>
          <w:spacing w:val="-6"/>
          <w:sz w:val="16"/>
        </w:rPr>
        <w:t>are</w:t>
      </w:r>
      <w:r>
        <w:rPr>
          <w:spacing w:val="-13"/>
          <w:sz w:val="16"/>
        </w:rPr>
        <w:t> </w:t>
      </w:r>
      <w:r>
        <w:rPr>
          <w:spacing w:val="-8"/>
          <w:sz w:val="16"/>
        </w:rPr>
        <w:t>responsible</w:t>
      </w:r>
      <w:r>
        <w:rPr>
          <w:spacing w:val="-14"/>
          <w:sz w:val="16"/>
        </w:rPr>
        <w:t> </w:t>
      </w:r>
      <w:r>
        <w:rPr>
          <w:spacing w:val="-6"/>
          <w:sz w:val="16"/>
        </w:rPr>
        <w:t>for</w:t>
      </w:r>
      <w:r>
        <w:rPr>
          <w:spacing w:val="-13"/>
          <w:sz w:val="16"/>
        </w:rPr>
        <w:t> </w:t>
      </w:r>
      <w:r>
        <w:rPr>
          <w:spacing w:val="-6"/>
          <w:sz w:val="16"/>
        </w:rPr>
        <w:t>the</w:t>
      </w:r>
      <w:r>
        <w:rPr>
          <w:spacing w:val="-10"/>
          <w:sz w:val="16"/>
        </w:rPr>
        <w:t> </w:t>
      </w:r>
      <w:r>
        <w:rPr>
          <w:spacing w:val="-8"/>
          <w:sz w:val="16"/>
        </w:rPr>
        <w:t>accuracy</w:t>
      </w:r>
      <w:r>
        <w:rPr>
          <w:spacing w:val="-13"/>
          <w:sz w:val="16"/>
        </w:rPr>
        <w:t> </w:t>
      </w:r>
      <w:r>
        <w:rPr>
          <w:spacing w:val="-6"/>
          <w:sz w:val="16"/>
        </w:rPr>
        <w:t>of</w:t>
      </w:r>
      <w:r>
        <w:rPr>
          <w:spacing w:val="-12"/>
          <w:sz w:val="16"/>
        </w:rPr>
        <w:t> </w:t>
      </w:r>
      <w:r>
        <w:rPr>
          <w:spacing w:val="-6"/>
          <w:sz w:val="16"/>
        </w:rPr>
        <w:t>the</w:t>
      </w:r>
      <w:r>
        <w:rPr>
          <w:spacing w:val="-13"/>
          <w:sz w:val="16"/>
        </w:rPr>
        <w:t> </w:t>
      </w:r>
      <w:r>
        <w:rPr>
          <w:spacing w:val="-8"/>
          <w:sz w:val="16"/>
        </w:rPr>
        <w:t>information</w:t>
      </w:r>
      <w:r>
        <w:rPr>
          <w:spacing w:val="-13"/>
          <w:sz w:val="16"/>
        </w:rPr>
        <w:t> </w:t>
      </w:r>
      <w:r>
        <w:rPr>
          <w:spacing w:val="-7"/>
          <w:sz w:val="16"/>
        </w:rPr>
        <w:t>they</w:t>
      </w:r>
      <w:r>
        <w:rPr>
          <w:spacing w:val="-11"/>
          <w:sz w:val="16"/>
        </w:rPr>
        <w:t> </w:t>
      </w:r>
      <w:r>
        <w:rPr>
          <w:spacing w:val="-9"/>
          <w:sz w:val="16"/>
        </w:rPr>
        <w:t>provide </w:t>
      </w:r>
      <w:r>
        <w:rPr>
          <w:spacing w:val="-4"/>
          <w:sz w:val="16"/>
        </w:rPr>
        <w:t>to</w:t>
      </w:r>
      <w:r>
        <w:rPr>
          <w:spacing w:val="-11"/>
          <w:sz w:val="16"/>
        </w:rPr>
        <w:t> </w:t>
      </w:r>
      <w:r>
        <w:rPr>
          <w:spacing w:val="-7"/>
          <w:sz w:val="16"/>
        </w:rPr>
        <w:t>Fitch</w:t>
      </w:r>
      <w:r>
        <w:rPr>
          <w:spacing w:val="-9"/>
          <w:sz w:val="16"/>
        </w:rPr>
        <w:t> </w:t>
      </w:r>
      <w:r>
        <w:rPr>
          <w:spacing w:val="-7"/>
          <w:sz w:val="16"/>
        </w:rPr>
        <w:t>and</w:t>
      </w:r>
      <w:r>
        <w:rPr>
          <w:spacing w:val="-10"/>
          <w:sz w:val="16"/>
        </w:rPr>
        <w:t> </w:t>
      </w:r>
      <w:r>
        <w:rPr>
          <w:spacing w:val="-4"/>
          <w:sz w:val="16"/>
        </w:rPr>
        <w:t>to</w:t>
      </w:r>
      <w:r>
        <w:rPr>
          <w:spacing w:val="-11"/>
          <w:sz w:val="16"/>
        </w:rPr>
        <w:t> </w:t>
      </w:r>
      <w:r>
        <w:rPr>
          <w:spacing w:val="-6"/>
          <w:sz w:val="16"/>
        </w:rPr>
        <w:t>the</w:t>
      </w:r>
      <w:r>
        <w:rPr>
          <w:spacing w:val="-11"/>
          <w:sz w:val="16"/>
        </w:rPr>
        <w:t> </w:t>
      </w:r>
      <w:r>
        <w:rPr>
          <w:spacing w:val="-8"/>
          <w:sz w:val="16"/>
        </w:rPr>
        <w:t>market</w:t>
      </w:r>
      <w:r>
        <w:rPr>
          <w:spacing w:val="-9"/>
          <w:sz w:val="16"/>
        </w:rPr>
        <w:t> </w:t>
      </w:r>
      <w:r>
        <w:rPr>
          <w:spacing w:val="-5"/>
          <w:sz w:val="16"/>
        </w:rPr>
        <w:t>in</w:t>
      </w:r>
      <w:r>
        <w:rPr>
          <w:spacing w:val="-9"/>
          <w:sz w:val="16"/>
        </w:rPr>
        <w:t> </w:t>
      </w:r>
      <w:r>
        <w:rPr>
          <w:spacing w:val="-8"/>
          <w:sz w:val="16"/>
        </w:rPr>
        <w:t>offering</w:t>
      </w:r>
      <w:r>
        <w:rPr>
          <w:spacing w:val="-10"/>
          <w:sz w:val="16"/>
        </w:rPr>
        <w:t> </w:t>
      </w:r>
      <w:r>
        <w:rPr>
          <w:spacing w:val="-9"/>
          <w:sz w:val="16"/>
        </w:rPr>
        <w:t>documents</w:t>
      </w:r>
      <w:r>
        <w:rPr>
          <w:spacing w:val="-7"/>
          <w:sz w:val="16"/>
        </w:rPr>
        <w:t> and</w:t>
      </w:r>
      <w:r>
        <w:rPr>
          <w:spacing w:val="-8"/>
          <w:sz w:val="16"/>
        </w:rPr>
        <w:t> other</w:t>
      </w:r>
      <w:r>
        <w:rPr>
          <w:spacing w:val="-9"/>
          <w:sz w:val="16"/>
        </w:rPr>
        <w:t> </w:t>
      </w:r>
      <w:r>
        <w:rPr>
          <w:spacing w:val="-8"/>
          <w:sz w:val="16"/>
        </w:rPr>
        <w:t>reports.</w:t>
      </w:r>
      <w:r>
        <w:rPr>
          <w:spacing w:val="-9"/>
          <w:sz w:val="16"/>
        </w:rPr>
        <w:t> </w:t>
      </w:r>
      <w:r>
        <w:rPr>
          <w:spacing w:val="-4"/>
          <w:sz w:val="16"/>
        </w:rPr>
        <w:t>In</w:t>
      </w:r>
      <w:r>
        <w:rPr>
          <w:spacing w:val="-11"/>
          <w:sz w:val="16"/>
        </w:rPr>
        <w:t> </w:t>
      </w:r>
      <w:r>
        <w:rPr>
          <w:spacing w:val="-8"/>
          <w:sz w:val="16"/>
        </w:rPr>
        <w:t>issuing</w:t>
      </w:r>
      <w:r>
        <w:rPr>
          <w:spacing w:val="-11"/>
          <w:sz w:val="16"/>
        </w:rPr>
        <w:t> </w:t>
      </w:r>
      <w:r>
        <w:rPr>
          <w:spacing w:val="-7"/>
          <w:sz w:val="16"/>
        </w:rPr>
        <w:t>its</w:t>
      </w:r>
      <w:r>
        <w:rPr>
          <w:spacing w:val="-6"/>
          <w:sz w:val="16"/>
        </w:rPr>
        <w:t> </w:t>
      </w:r>
      <w:r>
        <w:rPr>
          <w:spacing w:val="-8"/>
          <w:sz w:val="16"/>
        </w:rPr>
        <w:t>ratings </w:t>
      </w:r>
      <w:r>
        <w:rPr>
          <w:spacing w:val="-6"/>
          <w:sz w:val="16"/>
        </w:rPr>
        <w:t>and</w:t>
      </w:r>
      <w:r>
        <w:rPr>
          <w:spacing w:val="-11"/>
          <w:sz w:val="16"/>
        </w:rPr>
        <w:t> </w:t>
      </w:r>
      <w:r>
        <w:rPr>
          <w:spacing w:val="-7"/>
          <w:sz w:val="16"/>
        </w:rPr>
        <w:t>its</w:t>
      </w:r>
      <w:r>
        <w:rPr>
          <w:spacing w:val="-10"/>
          <w:sz w:val="16"/>
        </w:rPr>
        <w:t> </w:t>
      </w:r>
      <w:r>
        <w:rPr>
          <w:spacing w:val="-8"/>
          <w:sz w:val="16"/>
        </w:rPr>
        <w:t>reports,</w:t>
      </w:r>
      <w:r>
        <w:rPr>
          <w:spacing w:val="-9"/>
          <w:sz w:val="16"/>
        </w:rPr>
        <w:t> </w:t>
      </w:r>
      <w:r>
        <w:rPr>
          <w:spacing w:val="-7"/>
          <w:sz w:val="16"/>
        </w:rPr>
        <w:t>Fitch</w:t>
      </w:r>
      <w:r>
        <w:rPr>
          <w:spacing w:val="-11"/>
          <w:sz w:val="16"/>
        </w:rPr>
        <w:t> </w:t>
      </w:r>
      <w:r>
        <w:rPr>
          <w:spacing w:val="-7"/>
          <w:sz w:val="16"/>
        </w:rPr>
        <w:t>must</w:t>
      </w:r>
      <w:r>
        <w:rPr>
          <w:spacing w:val="-6"/>
          <w:sz w:val="16"/>
        </w:rPr>
        <w:t> </w:t>
      </w:r>
      <w:r>
        <w:rPr>
          <w:spacing w:val="-7"/>
          <w:sz w:val="16"/>
        </w:rPr>
        <w:t>rely</w:t>
      </w:r>
      <w:r>
        <w:rPr>
          <w:spacing w:val="-10"/>
          <w:sz w:val="16"/>
        </w:rPr>
        <w:t> </w:t>
      </w:r>
      <w:r>
        <w:rPr>
          <w:spacing w:val="-5"/>
          <w:sz w:val="16"/>
        </w:rPr>
        <w:t>on</w:t>
      </w:r>
      <w:r>
        <w:rPr>
          <w:spacing w:val="-10"/>
          <w:sz w:val="16"/>
        </w:rPr>
        <w:t> the </w:t>
      </w:r>
      <w:r>
        <w:rPr>
          <w:spacing w:val="-7"/>
          <w:sz w:val="16"/>
        </w:rPr>
        <w:t>work </w:t>
      </w:r>
      <w:r>
        <w:rPr>
          <w:spacing w:val="-6"/>
          <w:sz w:val="16"/>
        </w:rPr>
        <w:t>of </w:t>
      </w:r>
      <w:r>
        <w:rPr>
          <w:spacing w:val="-8"/>
          <w:sz w:val="16"/>
        </w:rPr>
        <w:t>experts, including independent auditors </w:t>
      </w:r>
      <w:r>
        <w:rPr>
          <w:spacing w:val="-7"/>
          <w:sz w:val="16"/>
        </w:rPr>
        <w:t>with </w:t>
      </w:r>
      <w:r>
        <w:rPr>
          <w:spacing w:val="-8"/>
          <w:sz w:val="16"/>
        </w:rPr>
        <w:t>respect </w:t>
      </w:r>
      <w:r>
        <w:rPr>
          <w:spacing w:val="-4"/>
          <w:sz w:val="16"/>
        </w:rPr>
        <w:t>to </w:t>
      </w:r>
      <w:r>
        <w:rPr>
          <w:spacing w:val="-8"/>
          <w:sz w:val="16"/>
        </w:rPr>
        <w:t>financial statements </w:t>
      </w:r>
      <w:r>
        <w:rPr>
          <w:spacing w:val="-6"/>
          <w:sz w:val="16"/>
        </w:rPr>
        <w:t>and </w:t>
      </w:r>
      <w:r>
        <w:rPr>
          <w:spacing w:val="-8"/>
          <w:sz w:val="16"/>
        </w:rPr>
        <w:t>attorneys </w:t>
      </w:r>
      <w:r>
        <w:rPr>
          <w:spacing w:val="-7"/>
          <w:sz w:val="16"/>
        </w:rPr>
        <w:t>with </w:t>
      </w:r>
      <w:r>
        <w:rPr>
          <w:spacing w:val="-8"/>
          <w:sz w:val="16"/>
        </w:rPr>
        <w:t>respect </w:t>
      </w:r>
      <w:r>
        <w:rPr>
          <w:spacing w:val="-4"/>
          <w:sz w:val="16"/>
        </w:rPr>
        <w:t>to </w:t>
      </w:r>
      <w:r>
        <w:rPr>
          <w:spacing w:val="-7"/>
          <w:sz w:val="16"/>
        </w:rPr>
        <w:t>legal </w:t>
      </w:r>
      <w:r>
        <w:rPr>
          <w:spacing w:val="-10"/>
          <w:sz w:val="16"/>
        </w:rPr>
        <w:t>and </w:t>
      </w:r>
      <w:r>
        <w:rPr>
          <w:spacing w:val="-5"/>
          <w:sz w:val="16"/>
        </w:rPr>
        <w:t>tax </w:t>
      </w:r>
      <w:r>
        <w:rPr>
          <w:spacing w:val="-8"/>
          <w:sz w:val="16"/>
        </w:rPr>
        <w:t>matters. Further, ratings </w:t>
      </w:r>
      <w:r>
        <w:rPr>
          <w:spacing w:val="-7"/>
          <w:sz w:val="16"/>
        </w:rPr>
        <w:t>and </w:t>
      </w:r>
      <w:r>
        <w:rPr>
          <w:spacing w:val="-8"/>
          <w:sz w:val="16"/>
        </w:rPr>
        <w:t>forecasts </w:t>
      </w:r>
      <w:r>
        <w:rPr>
          <w:spacing w:val="-6"/>
          <w:sz w:val="16"/>
        </w:rPr>
        <w:t>of </w:t>
      </w:r>
      <w:r>
        <w:rPr>
          <w:spacing w:val="-8"/>
          <w:sz w:val="16"/>
        </w:rPr>
        <w:t>financial </w:t>
      </w:r>
      <w:r>
        <w:rPr>
          <w:spacing w:val="-7"/>
          <w:sz w:val="16"/>
        </w:rPr>
        <w:t>and </w:t>
      </w:r>
      <w:r>
        <w:rPr>
          <w:spacing w:val="-8"/>
          <w:sz w:val="16"/>
        </w:rPr>
        <w:t>other </w:t>
      </w:r>
      <w:r>
        <w:rPr>
          <w:spacing w:val="-9"/>
          <w:sz w:val="16"/>
        </w:rPr>
        <w:t>information </w:t>
      </w:r>
      <w:r>
        <w:rPr>
          <w:spacing w:val="-7"/>
          <w:sz w:val="16"/>
        </w:rPr>
        <w:t>are </w:t>
      </w:r>
      <w:r>
        <w:rPr>
          <w:spacing w:val="-8"/>
          <w:sz w:val="16"/>
        </w:rPr>
        <w:t>inherently forward-looking </w:t>
      </w:r>
      <w:r>
        <w:rPr>
          <w:spacing w:val="-6"/>
          <w:sz w:val="16"/>
        </w:rPr>
        <w:t>and </w:t>
      </w:r>
      <w:r>
        <w:rPr>
          <w:spacing w:val="-9"/>
          <w:sz w:val="16"/>
        </w:rPr>
        <w:t>embody </w:t>
      </w:r>
      <w:r>
        <w:rPr>
          <w:spacing w:val="-8"/>
          <w:sz w:val="16"/>
        </w:rPr>
        <w:t>assumptions </w:t>
      </w:r>
      <w:r>
        <w:rPr>
          <w:spacing w:val="-6"/>
          <w:sz w:val="16"/>
        </w:rPr>
        <w:t>and </w:t>
      </w:r>
      <w:r>
        <w:rPr>
          <w:spacing w:val="-9"/>
          <w:sz w:val="16"/>
        </w:rPr>
        <w:t>predictions </w:t>
      </w:r>
      <w:r>
        <w:rPr>
          <w:spacing w:val="-8"/>
          <w:sz w:val="16"/>
        </w:rPr>
        <w:t>about </w:t>
      </w:r>
      <w:r>
        <w:rPr>
          <w:spacing w:val="-7"/>
          <w:sz w:val="16"/>
        </w:rPr>
        <w:t>future </w:t>
      </w:r>
      <w:r>
        <w:rPr>
          <w:spacing w:val="-8"/>
          <w:sz w:val="16"/>
        </w:rPr>
        <w:t>events </w:t>
      </w:r>
      <w:r>
        <w:rPr>
          <w:spacing w:val="-7"/>
          <w:sz w:val="16"/>
        </w:rPr>
        <w:t>that </w:t>
      </w:r>
      <w:r>
        <w:rPr>
          <w:spacing w:val="-4"/>
          <w:sz w:val="16"/>
        </w:rPr>
        <w:t>by </w:t>
      </w:r>
      <w:r>
        <w:rPr>
          <w:spacing w:val="-7"/>
          <w:sz w:val="16"/>
        </w:rPr>
        <w:t>their </w:t>
      </w:r>
      <w:r>
        <w:rPr>
          <w:spacing w:val="-8"/>
          <w:sz w:val="16"/>
        </w:rPr>
        <w:t>nature </w:t>
      </w:r>
      <w:r>
        <w:rPr>
          <w:spacing w:val="-7"/>
          <w:sz w:val="16"/>
        </w:rPr>
        <w:t>cannot </w:t>
      </w:r>
      <w:r>
        <w:rPr>
          <w:spacing w:val="-4"/>
          <w:sz w:val="16"/>
        </w:rPr>
        <w:t>be </w:t>
      </w:r>
      <w:r>
        <w:rPr>
          <w:spacing w:val="-8"/>
          <w:sz w:val="16"/>
        </w:rPr>
        <w:t>verified </w:t>
      </w:r>
      <w:r>
        <w:rPr>
          <w:spacing w:val="-6"/>
          <w:sz w:val="16"/>
        </w:rPr>
        <w:t>as </w:t>
      </w:r>
      <w:r>
        <w:rPr>
          <w:spacing w:val="-8"/>
          <w:sz w:val="16"/>
        </w:rPr>
        <w:t>facts. </w:t>
      </w:r>
      <w:r>
        <w:rPr>
          <w:spacing w:val="-5"/>
          <w:sz w:val="16"/>
        </w:rPr>
        <w:t>As </w:t>
      </w:r>
      <w:r>
        <w:rPr>
          <w:sz w:val="16"/>
        </w:rPr>
        <w:t>a </w:t>
      </w:r>
      <w:r>
        <w:rPr>
          <w:spacing w:val="-8"/>
          <w:sz w:val="16"/>
        </w:rPr>
        <w:t>result, despite </w:t>
      </w:r>
      <w:r>
        <w:rPr>
          <w:spacing w:val="-6"/>
          <w:sz w:val="16"/>
        </w:rPr>
        <w:t>any </w:t>
      </w:r>
      <w:r>
        <w:rPr>
          <w:spacing w:val="-8"/>
          <w:sz w:val="16"/>
        </w:rPr>
        <w:t>verification </w:t>
      </w:r>
      <w:r>
        <w:rPr>
          <w:spacing w:val="-6"/>
          <w:sz w:val="16"/>
        </w:rPr>
        <w:t>of </w:t>
      </w:r>
      <w:r>
        <w:rPr>
          <w:spacing w:val="-8"/>
          <w:sz w:val="16"/>
        </w:rPr>
        <w:t>current facts, ratings </w:t>
      </w:r>
      <w:r>
        <w:rPr>
          <w:spacing w:val="-7"/>
          <w:sz w:val="16"/>
        </w:rPr>
        <w:t>and </w:t>
      </w:r>
      <w:r>
        <w:rPr>
          <w:spacing w:val="-8"/>
          <w:sz w:val="16"/>
        </w:rPr>
        <w:t>forecasts </w:t>
      </w:r>
      <w:r>
        <w:rPr>
          <w:spacing w:val="-6"/>
          <w:sz w:val="16"/>
        </w:rPr>
        <w:t>can be </w:t>
      </w:r>
      <w:r>
        <w:rPr>
          <w:spacing w:val="-8"/>
          <w:sz w:val="16"/>
        </w:rPr>
        <w:t>affected </w:t>
      </w:r>
      <w:r>
        <w:rPr>
          <w:spacing w:val="-4"/>
          <w:sz w:val="16"/>
        </w:rPr>
        <w:t>by </w:t>
      </w:r>
      <w:r>
        <w:rPr>
          <w:spacing w:val="-8"/>
          <w:sz w:val="16"/>
        </w:rPr>
        <w:t>future events </w:t>
      </w:r>
      <w:r>
        <w:rPr>
          <w:spacing w:val="-4"/>
          <w:sz w:val="16"/>
        </w:rPr>
        <w:t>or </w:t>
      </w:r>
      <w:r>
        <w:rPr>
          <w:spacing w:val="-9"/>
          <w:sz w:val="16"/>
        </w:rPr>
        <w:t>conditions </w:t>
      </w:r>
      <w:r>
        <w:rPr>
          <w:spacing w:val="-7"/>
          <w:sz w:val="16"/>
        </w:rPr>
        <w:t>that were not </w:t>
      </w:r>
      <w:r>
        <w:rPr>
          <w:spacing w:val="-8"/>
          <w:sz w:val="16"/>
        </w:rPr>
        <w:t>anticipated </w:t>
      </w:r>
      <w:r>
        <w:rPr>
          <w:spacing w:val="-11"/>
          <w:sz w:val="16"/>
        </w:rPr>
        <w:t>at </w:t>
      </w:r>
      <w:r>
        <w:rPr>
          <w:spacing w:val="-5"/>
          <w:sz w:val="16"/>
        </w:rPr>
        <w:t>the</w:t>
      </w:r>
      <w:r>
        <w:rPr>
          <w:spacing w:val="-19"/>
          <w:sz w:val="16"/>
        </w:rPr>
        <w:t> </w:t>
      </w:r>
      <w:r>
        <w:rPr>
          <w:spacing w:val="-6"/>
          <w:sz w:val="16"/>
        </w:rPr>
        <w:t>time</w:t>
      </w:r>
      <w:r>
        <w:rPr>
          <w:spacing w:val="-19"/>
          <w:sz w:val="16"/>
        </w:rPr>
        <w:t> </w:t>
      </w:r>
      <w:r>
        <w:rPr>
          <w:sz w:val="16"/>
        </w:rPr>
        <w:t>a</w:t>
      </w:r>
      <w:r>
        <w:rPr>
          <w:spacing w:val="-17"/>
          <w:sz w:val="16"/>
        </w:rPr>
        <w:t> </w:t>
      </w:r>
      <w:r>
        <w:rPr>
          <w:spacing w:val="-8"/>
          <w:sz w:val="16"/>
        </w:rPr>
        <w:t>rating</w:t>
      </w:r>
      <w:r>
        <w:rPr>
          <w:spacing w:val="-17"/>
          <w:sz w:val="16"/>
        </w:rPr>
        <w:t> </w:t>
      </w:r>
      <w:r>
        <w:rPr>
          <w:spacing w:val="-4"/>
          <w:sz w:val="16"/>
        </w:rPr>
        <w:t>or</w:t>
      </w:r>
      <w:r>
        <w:rPr>
          <w:spacing w:val="-17"/>
          <w:sz w:val="16"/>
        </w:rPr>
        <w:t> </w:t>
      </w:r>
      <w:r>
        <w:rPr>
          <w:spacing w:val="-8"/>
          <w:sz w:val="16"/>
        </w:rPr>
        <w:t>forecast</w:t>
      </w:r>
      <w:r>
        <w:rPr>
          <w:spacing w:val="-15"/>
          <w:sz w:val="16"/>
        </w:rPr>
        <w:t> </w:t>
      </w:r>
      <w:r>
        <w:rPr>
          <w:spacing w:val="-7"/>
          <w:sz w:val="16"/>
        </w:rPr>
        <w:t>was</w:t>
      </w:r>
      <w:r>
        <w:rPr>
          <w:spacing w:val="-16"/>
          <w:sz w:val="16"/>
        </w:rPr>
        <w:t> </w:t>
      </w:r>
      <w:r>
        <w:rPr>
          <w:spacing w:val="-8"/>
          <w:sz w:val="16"/>
        </w:rPr>
        <w:t>issued</w:t>
      </w:r>
      <w:r>
        <w:rPr>
          <w:spacing w:val="-14"/>
          <w:sz w:val="16"/>
        </w:rPr>
        <w:t> </w:t>
      </w:r>
      <w:r>
        <w:rPr>
          <w:spacing w:val="-4"/>
          <w:sz w:val="16"/>
        </w:rPr>
        <w:t>or</w:t>
      </w:r>
      <w:r>
        <w:rPr>
          <w:spacing w:val="-19"/>
          <w:sz w:val="16"/>
        </w:rPr>
        <w:t> </w:t>
      </w:r>
      <w:r>
        <w:rPr>
          <w:spacing w:val="-8"/>
          <w:sz w:val="16"/>
        </w:rPr>
        <w:t>affirmed.</w:t>
      </w:r>
    </w:p>
    <w:p>
      <w:pPr>
        <w:spacing w:line="208" w:lineRule="auto" w:before="57"/>
        <w:ind w:left="3463" w:right="902" w:firstLine="0"/>
        <w:jc w:val="both"/>
        <w:rPr>
          <w:sz w:val="16"/>
        </w:rPr>
      </w:pPr>
      <w:r>
        <w:rPr>
          <w:spacing w:val="-6"/>
          <w:sz w:val="16"/>
        </w:rPr>
        <w:t>The </w:t>
      </w:r>
      <w:r>
        <w:rPr>
          <w:spacing w:val="-8"/>
          <w:sz w:val="16"/>
        </w:rPr>
        <w:t>information </w:t>
      </w:r>
      <w:r>
        <w:rPr>
          <w:spacing w:val="-4"/>
          <w:sz w:val="16"/>
        </w:rPr>
        <w:t>in </w:t>
      </w:r>
      <w:r>
        <w:rPr>
          <w:spacing w:val="-7"/>
          <w:sz w:val="16"/>
        </w:rPr>
        <w:t>this </w:t>
      </w:r>
      <w:r>
        <w:rPr>
          <w:spacing w:val="-8"/>
          <w:sz w:val="16"/>
        </w:rPr>
        <w:t>report </w:t>
      </w:r>
      <w:r>
        <w:rPr>
          <w:spacing w:val="-5"/>
          <w:sz w:val="16"/>
        </w:rPr>
        <w:t>is </w:t>
      </w:r>
      <w:r>
        <w:rPr>
          <w:spacing w:val="-8"/>
          <w:sz w:val="16"/>
        </w:rPr>
        <w:t>provided </w:t>
      </w:r>
      <w:r>
        <w:rPr>
          <w:spacing w:val="-7"/>
          <w:sz w:val="16"/>
        </w:rPr>
        <w:t>“as </w:t>
      </w:r>
      <w:r>
        <w:rPr>
          <w:spacing w:val="-6"/>
          <w:sz w:val="16"/>
        </w:rPr>
        <w:t>is” </w:t>
      </w:r>
      <w:r>
        <w:rPr>
          <w:spacing w:val="-9"/>
          <w:sz w:val="16"/>
        </w:rPr>
        <w:t>without </w:t>
      </w:r>
      <w:r>
        <w:rPr>
          <w:spacing w:val="-6"/>
          <w:sz w:val="16"/>
        </w:rPr>
        <w:t>any </w:t>
      </w:r>
      <w:r>
        <w:rPr>
          <w:spacing w:val="-9"/>
          <w:sz w:val="16"/>
        </w:rPr>
        <w:t>representation </w:t>
      </w:r>
      <w:r>
        <w:rPr>
          <w:spacing w:val="-4"/>
          <w:sz w:val="16"/>
        </w:rPr>
        <w:t>or </w:t>
      </w:r>
      <w:r>
        <w:rPr>
          <w:spacing w:val="-8"/>
          <w:sz w:val="16"/>
        </w:rPr>
        <w:t>warranty </w:t>
      </w:r>
      <w:r>
        <w:rPr>
          <w:spacing w:val="-6"/>
          <w:sz w:val="16"/>
        </w:rPr>
        <w:t>of any </w:t>
      </w:r>
      <w:r>
        <w:rPr>
          <w:spacing w:val="-7"/>
          <w:sz w:val="16"/>
        </w:rPr>
        <w:t>kind, </w:t>
      </w:r>
      <w:r>
        <w:rPr>
          <w:spacing w:val="-6"/>
          <w:sz w:val="16"/>
        </w:rPr>
        <w:t>and </w:t>
      </w:r>
      <w:r>
        <w:rPr>
          <w:spacing w:val="-7"/>
          <w:sz w:val="16"/>
        </w:rPr>
        <w:t>Fitch does </w:t>
      </w:r>
      <w:r>
        <w:rPr>
          <w:spacing w:val="-8"/>
          <w:sz w:val="16"/>
        </w:rPr>
        <w:t>not represent</w:t>
      </w:r>
      <w:r>
        <w:rPr>
          <w:spacing w:val="-11"/>
          <w:sz w:val="16"/>
        </w:rPr>
        <w:t> </w:t>
      </w:r>
      <w:r>
        <w:rPr>
          <w:spacing w:val="-4"/>
          <w:sz w:val="16"/>
        </w:rPr>
        <w:t>or</w:t>
      </w:r>
      <w:r>
        <w:rPr>
          <w:spacing w:val="-11"/>
          <w:sz w:val="16"/>
        </w:rPr>
        <w:t> </w:t>
      </w:r>
      <w:r>
        <w:rPr>
          <w:spacing w:val="-8"/>
          <w:sz w:val="16"/>
        </w:rPr>
        <w:t>warrant</w:t>
      </w:r>
      <w:r>
        <w:rPr>
          <w:spacing w:val="-12"/>
          <w:sz w:val="16"/>
        </w:rPr>
        <w:t> </w:t>
      </w:r>
      <w:r>
        <w:rPr>
          <w:spacing w:val="-7"/>
          <w:sz w:val="16"/>
        </w:rPr>
        <w:t>that</w:t>
      </w:r>
      <w:r>
        <w:rPr>
          <w:spacing w:val="-12"/>
          <w:sz w:val="16"/>
        </w:rPr>
        <w:t> </w:t>
      </w:r>
      <w:r>
        <w:rPr>
          <w:spacing w:val="-5"/>
          <w:sz w:val="16"/>
        </w:rPr>
        <w:t>the</w:t>
      </w:r>
      <w:r>
        <w:rPr>
          <w:spacing w:val="-12"/>
          <w:sz w:val="16"/>
        </w:rPr>
        <w:t> </w:t>
      </w:r>
      <w:r>
        <w:rPr>
          <w:spacing w:val="-8"/>
          <w:sz w:val="16"/>
        </w:rPr>
        <w:t>report</w:t>
      </w:r>
      <w:r>
        <w:rPr>
          <w:spacing w:val="-10"/>
          <w:sz w:val="16"/>
        </w:rPr>
        <w:t> </w:t>
      </w:r>
      <w:r>
        <w:rPr>
          <w:spacing w:val="-4"/>
          <w:sz w:val="16"/>
        </w:rPr>
        <w:t>or</w:t>
      </w:r>
      <w:r>
        <w:rPr>
          <w:spacing w:val="-14"/>
          <w:sz w:val="16"/>
        </w:rPr>
        <w:t> </w:t>
      </w:r>
      <w:r>
        <w:rPr>
          <w:spacing w:val="-6"/>
          <w:sz w:val="16"/>
        </w:rPr>
        <w:t>any</w:t>
      </w:r>
      <w:r>
        <w:rPr>
          <w:spacing w:val="-13"/>
          <w:sz w:val="16"/>
        </w:rPr>
        <w:t> </w:t>
      </w:r>
      <w:r>
        <w:rPr>
          <w:spacing w:val="-4"/>
          <w:sz w:val="16"/>
        </w:rPr>
        <w:t>of</w:t>
      </w:r>
      <w:r>
        <w:rPr>
          <w:spacing w:val="-12"/>
          <w:sz w:val="16"/>
        </w:rPr>
        <w:t> </w:t>
      </w:r>
      <w:r>
        <w:rPr>
          <w:spacing w:val="-6"/>
          <w:sz w:val="16"/>
        </w:rPr>
        <w:t>its</w:t>
      </w:r>
      <w:r>
        <w:rPr>
          <w:spacing w:val="-12"/>
          <w:sz w:val="16"/>
        </w:rPr>
        <w:t> </w:t>
      </w:r>
      <w:r>
        <w:rPr>
          <w:spacing w:val="-8"/>
          <w:sz w:val="16"/>
        </w:rPr>
        <w:t>contents</w:t>
      </w:r>
      <w:r>
        <w:rPr>
          <w:spacing w:val="-10"/>
          <w:sz w:val="16"/>
        </w:rPr>
        <w:t> </w:t>
      </w:r>
      <w:r>
        <w:rPr>
          <w:spacing w:val="-7"/>
          <w:sz w:val="16"/>
        </w:rPr>
        <w:t>will</w:t>
      </w:r>
      <w:r>
        <w:rPr>
          <w:spacing w:val="-14"/>
          <w:sz w:val="16"/>
        </w:rPr>
        <w:t> </w:t>
      </w:r>
      <w:r>
        <w:rPr>
          <w:spacing w:val="-7"/>
          <w:sz w:val="16"/>
        </w:rPr>
        <w:t>meet</w:t>
      </w:r>
      <w:r>
        <w:rPr>
          <w:spacing w:val="-10"/>
          <w:sz w:val="16"/>
        </w:rPr>
        <w:t> </w:t>
      </w:r>
      <w:r>
        <w:rPr>
          <w:spacing w:val="-6"/>
          <w:sz w:val="16"/>
        </w:rPr>
        <w:t>any</w:t>
      </w:r>
      <w:r>
        <w:rPr>
          <w:spacing w:val="-12"/>
          <w:sz w:val="16"/>
        </w:rPr>
        <w:t> </w:t>
      </w:r>
      <w:r>
        <w:rPr>
          <w:spacing w:val="-6"/>
          <w:sz w:val="16"/>
        </w:rPr>
        <w:t>of</w:t>
      </w:r>
      <w:r>
        <w:rPr>
          <w:spacing w:val="-12"/>
          <w:sz w:val="16"/>
        </w:rPr>
        <w:t> </w:t>
      </w:r>
      <w:r>
        <w:rPr>
          <w:spacing w:val="-5"/>
          <w:sz w:val="16"/>
        </w:rPr>
        <w:t>the</w:t>
      </w:r>
      <w:r>
        <w:rPr>
          <w:spacing w:val="-15"/>
          <w:sz w:val="16"/>
        </w:rPr>
        <w:t> </w:t>
      </w:r>
      <w:r>
        <w:rPr>
          <w:spacing w:val="-8"/>
          <w:sz w:val="16"/>
        </w:rPr>
        <w:t>requirements</w:t>
      </w:r>
      <w:r>
        <w:rPr>
          <w:spacing w:val="-10"/>
          <w:sz w:val="16"/>
        </w:rPr>
        <w:t> </w:t>
      </w:r>
      <w:r>
        <w:rPr>
          <w:spacing w:val="-6"/>
          <w:sz w:val="16"/>
        </w:rPr>
        <w:t>of</w:t>
      </w:r>
      <w:r>
        <w:rPr>
          <w:spacing w:val="-10"/>
          <w:sz w:val="16"/>
        </w:rPr>
        <w:t> </w:t>
      </w:r>
      <w:r>
        <w:rPr>
          <w:sz w:val="16"/>
        </w:rPr>
        <w:t>a</w:t>
      </w:r>
      <w:r>
        <w:rPr>
          <w:spacing w:val="-11"/>
          <w:sz w:val="16"/>
        </w:rPr>
        <w:t> </w:t>
      </w:r>
      <w:r>
        <w:rPr>
          <w:spacing w:val="-8"/>
          <w:sz w:val="16"/>
        </w:rPr>
        <w:t>recipient</w:t>
      </w:r>
      <w:r>
        <w:rPr>
          <w:spacing w:val="-11"/>
          <w:sz w:val="16"/>
        </w:rPr>
        <w:t> </w:t>
      </w:r>
      <w:r>
        <w:rPr>
          <w:spacing w:val="-6"/>
          <w:sz w:val="16"/>
        </w:rPr>
        <w:t>of</w:t>
      </w:r>
      <w:r>
        <w:rPr>
          <w:spacing w:val="-12"/>
          <w:sz w:val="16"/>
        </w:rPr>
        <w:t> </w:t>
      </w:r>
      <w:r>
        <w:rPr>
          <w:spacing w:val="-5"/>
          <w:sz w:val="16"/>
        </w:rPr>
        <w:t>the</w:t>
      </w:r>
      <w:r>
        <w:rPr>
          <w:spacing w:val="-11"/>
          <w:sz w:val="16"/>
        </w:rPr>
        <w:t> </w:t>
      </w:r>
      <w:r>
        <w:rPr>
          <w:spacing w:val="-8"/>
          <w:sz w:val="16"/>
        </w:rPr>
        <w:t>report.</w:t>
      </w:r>
      <w:r>
        <w:rPr>
          <w:spacing w:val="-10"/>
          <w:sz w:val="16"/>
        </w:rPr>
        <w:t> </w:t>
      </w:r>
      <w:r>
        <w:rPr>
          <w:sz w:val="16"/>
        </w:rPr>
        <w:t>A</w:t>
      </w:r>
      <w:r>
        <w:rPr>
          <w:spacing w:val="-11"/>
          <w:sz w:val="16"/>
        </w:rPr>
        <w:t> </w:t>
      </w:r>
      <w:r>
        <w:rPr>
          <w:spacing w:val="-7"/>
          <w:sz w:val="16"/>
        </w:rPr>
        <w:t>Fitch rating</w:t>
      </w:r>
      <w:r>
        <w:rPr>
          <w:spacing w:val="-11"/>
          <w:sz w:val="16"/>
        </w:rPr>
        <w:t> </w:t>
      </w:r>
      <w:r>
        <w:rPr>
          <w:spacing w:val="-5"/>
          <w:sz w:val="16"/>
        </w:rPr>
        <w:t>is</w:t>
      </w:r>
      <w:r>
        <w:rPr>
          <w:spacing w:val="-9"/>
          <w:sz w:val="16"/>
        </w:rPr>
        <w:t> </w:t>
      </w:r>
      <w:r>
        <w:rPr>
          <w:spacing w:val="-4"/>
          <w:sz w:val="16"/>
        </w:rPr>
        <w:t>an</w:t>
      </w:r>
      <w:r>
        <w:rPr>
          <w:spacing w:val="-11"/>
          <w:sz w:val="16"/>
        </w:rPr>
        <w:t> </w:t>
      </w:r>
      <w:r>
        <w:rPr>
          <w:spacing w:val="-8"/>
          <w:sz w:val="16"/>
        </w:rPr>
        <w:t>opinion </w:t>
      </w:r>
      <w:r>
        <w:rPr>
          <w:spacing w:val="-6"/>
          <w:sz w:val="16"/>
        </w:rPr>
        <w:t>as</w:t>
      </w:r>
      <w:r>
        <w:rPr>
          <w:spacing w:val="-8"/>
          <w:sz w:val="16"/>
        </w:rPr>
        <w:t> </w:t>
      </w:r>
      <w:r>
        <w:rPr>
          <w:spacing w:val="-5"/>
          <w:sz w:val="16"/>
        </w:rPr>
        <w:t>to</w:t>
      </w:r>
      <w:r>
        <w:rPr>
          <w:spacing w:val="-10"/>
          <w:sz w:val="16"/>
        </w:rPr>
        <w:t> </w:t>
      </w:r>
      <w:r>
        <w:rPr>
          <w:spacing w:val="-5"/>
          <w:sz w:val="16"/>
        </w:rPr>
        <w:t>the</w:t>
      </w:r>
      <w:r>
        <w:rPr>
          <w:spacing w:val="-14"/>
          <w:sz w:val="16"/>
        </w:rPr>
        <w:t> </w:t>
      </w:r>
      <w:r>
        <w:rPr>
          <w:spacing w:val="-9"/>
          <w:sz w:val="16"/>
        </w:rPr>
        <w:t>creditworthiness</w:t>
      </w:r>
      <w:r>
        <w:rPr>
          <w:spacing w:val="-8"/>
          <w:sz w:val="16"/>
        </w:rPr>
        <w:t> </w:t>
      </w:r>
      <w:r>
        <w:rPr>
          <w:spacing w:val="-6"/>
          <w:sz w:val="16"/>
        </w:rPr>
        <w:t>of </w:t>
      </w:r>
      <w:r>
        <w:rPr>
          <w:sz w:val="16"/>
        </w:rPr>
        <w:t>a</w:t>
      </w:r>
      <w:r>
        <w:rPr>
          <w:spacing w:val="-14"/>
          <w:sz w:val="16"/>
        </w:rPr>
        <w:t> </w:t>
      </w:r>
      <w:r>
        <w:rPr>
          <w:spacing w:val="-8"/>
          <w:sz w:val="16"/>
        </w:rPr>
        <w:t>security.</w:t>
      </w:r>
      <w:r>
        <w:rPr>
          <w:spacing w:val="-9"/>
          <w:sz w:val="16"/>
        </w:rPr>
        <w:t> </w:t>
      </w:r>
      <w:r>
        <w:rPr>
          <w:spacing w:val="-7"/>
          <w:sz w:val="16"/>
        </w:rPr>
        <w:t>This</w:t>
      </w:r>
      <w:r>
        <w:rPr>
          <w:spacing w:val="-9"/>
          <w:sz w:val="16"/>
        </w:rPr>
        <w:t> </w:t>
      </w:r>
      <w:r>
        <w:rPr>
          <w:spacing w:val="-8"/>
          <w:sz w:val="16"/>
        </w:rPr>
        <w:t>opinion</w:t>
      </w:r>
      <w:r>
        <w:rPr>
          <w:spacing w:val="-9"/>
          <w:sz w:val="16"/>
        </w:rPr>
        <w:t> </w:t>
      </w:r>
      <w:r>
        <w:rPr>
          <w:spacing w:val="-7"/>
          <w:sz w:val="16"/>
        </w:rPr>
        <w:t>and</w:t>
      </w:r>
      <w:r>
        <w:rPr>
          <w:spacing w:val="-8"/>
          <w:sz w:val="16"/>
        </w:rPr>
        <w:t> reports</w:t>
      </w:r>
      <w:r>
        <w:rPr>
          <w:spacing w:val="-9"/>
          <w:sz w:val="16"/>
        </w:rPr>
        <w:t> </w:t>
      </w:r>
      <w:r>
        <w:rPr>
          <w:spacing w:val="-7"/>
          <w:sz w:val="16"/>
        </w:rPr>
        <w:t>made</w:t>
      </w:r>
      <w:r>
        <w:rPr>
          <w:spacing w:val="-8"/>
          <w:sz w:val="16"/>
        </w:rPr>
        <w:t> </w:t>
      </w:r>
      <w:r>
        <w:rPr>
          <w:spacing w:val="-4"/>
          <w:sz w:val="16"/>
        </w:rPr>
        <w:t>by</w:t>
      </w:r>
      <w:r>
        <w:rPr>
          <w:spacing w:val="-12"/>
          <w:sz w:val="16"/>
        </w:rPr>
        <w:t> </w:t>
      </w:r>
      <w:r>
        <w:rPr>
          <w:spacing w:val="-7"/>
          <w:sz w:val="16"/>
        </w:rPr>
        <w:t>Fitch</w:t>
      </w:r>
      <w:r>
        <w:rPr>
          <w:spacing w:val="-8"/>
          <w:sz w:val="16"/>
        </w:rPr>
        <w:t> </w:t>
      </w:r>
      <w:r>
        <w:rPr>
          <w:spacing w:val="-7"/>
          <w:sz w:val="16"/>
        </w:rPr>
        <w:t>are</w:t>
      </w:r>
      <w:r>
        <w:rPr>
          <w:spacing w:val="-8"/>
          <w:sz w:val="16"/>
        </w:rPr>
        <w:t> based</w:t>
      </w:r>
      <w:r>
        <w:rPr>
          <w:spacing w:val="-10"/>
          <w:sz w:val="16"/>
        </w:rPr>
        <w:t> </w:t>
      </w:r>
      <w:r>
        <w:rPr>
          <w:spacing w:val="-4"/>
          <w:sz w:val="16"/>
        </w:rPr>
        <w:t>on</w:t>
      </w:r>
      <w:r>
        <w:rPr>
          <w:spacing w:val="-11"/>
          <w:sz w:val="16"/>
        </w:rPr>
        <w:t> </w:t>
      </w:r>
      <w:r>
        <w:rPr>
          <w:spacing w:val="-9"/>
          <w:sz w:val="16"/>
        </w:rPr>
        <w:t>established </w:t>
      </w:r>
      <w:r>
        <w:rPr>
          <w:spacing w:val="-8"/>
          <w:sz w:val="16"/>
        </w:rPr>
        <w:t>criteria</w:t>
      </w:r>
      <w:r>
        <w:rPr>
          <w:spacing w:val="-10"/>
          <w:sz w:val="16"/>
        </w:rPr>
        <w:t> </w:t>
      </w:r>
      <w:r>
        <w:rPr>
          <w:spacing w:val="-7"/>
          <w:sz w:val="16"/>
        </w:rPr>
        <w:t>and</w:t>
      </w:r>
      <w:r>
        <w:rPr>
          <w:spacing w:val="-13"/>
          <w:sz w:val="16"/>
        </w:rPr>
        <w:t> </w:t>
      </w:r>
      <w:r>
        <w:rPr>
          <w:spacing w:val="-9"/>
          <w:sz w:val="16"/>
        </w:rPr>
        <w:t>methodologies</w:t>
      </w:r>
      <w:r>
        <w:rPr>
          <w:spacing w:val="-10"/>
          <w:sz w:val="16"/>
        </w:rPr>
        <w:t> </w:t>
      </w:r>
      <w:r>
        <w:rPr>
          <w:spacing w:val="-7"/>
          <w:sz w:val="16"/>
        </w:rPr>
        <w:t>that</w:t>
      </w:r>
      <w:r>
        <w:rPr>
          <w:spacing w:val="-11"/>
          <w:sz w:val="16"/>
        </w:rPr>
        <w:t> </w:t>
      </w:r>
      <w:r>
        <w:rPr>
          <w:spacing w:val="-7"/>
          <w:sz w:val="16"/>
        </w:rPr>
        <w:t>Fitch</w:t>
      </w:r>
      <w:r>
        <w:rPr>
          <w:spacing w:val="-13"/>
          <w:sz w:val="16"/>
        </w:rPr>
        <w:t> </w:t>
      </w:r>
      <w:r>
        <w:rPr>
          <w:spacing w:val="-5"/>
          <w:sz w:val="16"/>
        </w:rPr>
        <w:t>is</w:t>
      </w:r>
      <w:r>
        <w:rPr>
          <w:spacing w:val="-11"/>
          <w:sz w:val="16"/>
        </w:rPr>
        <w:t> </w:t>
      </w:r>
      <w:r>
        <w:rPr>
          <w:spacing w:val="-8"/>
          <w:sz w:val="16"/>
        </w:rPr>
        <w:t>continuously</w:t>
      </w:r>
      <w:r>
        <w:rPr>
          <w:spacing w:val="-10"/>
          <w:sz w:val="16"/>
        </w:rPr>
        <w:t> </w:t>
      </w:r>
      <w:r>
        <w:rPr>
          <w:spacing w:val="-8"/>
          <w:sz w:val="16"/>
        </w:rPr>
        <w:t>evaluating</w:t>
      </w:r>
      <w:r>
        <w:rPr>
          <w:spacing w:val="-13"/>
          <w:sz w:val="16"/>
        </w:rPr>
        <w:t> </w:t>
      </w:r>
      <w:r>
        <w:rPr>
          <w:spacing w:val="-6"/>
          <w:sz w:val="16"/>
        </w:rPr>
        <w:t>and</w:t>
      </w:r>
      <w:r>
        <w:rPr>
          <w:spacing w:val="-13"/>
          <w:sz w:val="16"/>
        </w:rPr>
        <w:t> </w:t>
      </w:r>
      <w:r>
        <w:rPr>
          <w:spacing w:val="-8"/>
          <w:sz w:val="16"/>
        </w:rPr>
        <w:t>updating.</w:t>
      </w:r>
      <w:r>
        <w:rPr>
          <w:spacing w:val="-11"/>
          <w:sz w:val="16"/>
        </w:rPr>
        <w:t> </w:t>
      </w:r>
      <w:r>
        <w:rPr>
          <w:spacing w:val="-8"/>
          <w:sz w:val="16"/>
        </w:rPr>
        <w:t>Therefore,</w:t>
      </w:r>
      <w:r>
        <w:rPr>
          <w:spacing w:val="-10"/>
          <w:sz w:val="16"/>
        </w:rPr>
        <w:t> </w:t>
      </w:r>
      <w:r>
        <w:rPr>
          <w:spacing w:val="-8"/>
          <w:sz w:val="16"/>
        </w:rPr>
        <w:t>ratings</w:t>
      </w:r>
      <w:r>
        <w:rPr>
          <w:spacing w:val="-9"/>
          <w:sz w:val="16"/>
        </w:rPr>
        <w:t> </w:t>
      </w:r>
      <w:r>
        <w:rPr>
          <w:spacing w:val="-7"/>
          <w:sz w:val="16"/>
        </w:rPr>
        <w:t>and</w:t>
      </w:r>
      <w:r>
        <w:rPr>
          <w:spacing w:val="-9"/>
          <w:sz w:val="16"/>
        </w:rPr>
        <w:t> </w:t>
      </w:r>
      <w:r>
        <w:rPr>
          <w:spacing w:val="-8"/>
          <w:sz w:val="16"/>
        </w:rPr>
        <w:t>reports </w:t>
      </w:r>
      <w:r>
        <w:rPr>
          <w:spacing w:val="-7"/>
          <w:sz w:val="16"/>
        </w:rPr>
        <w:t>are</w:t>
      </w:r>
      <w:r>
        <w:rPr>
          <w:spacing w:val="-13"/>
          <w:sz w:val="16"/>
        </w:rPr>
        <w:t> </w:t>
      </w:r>
      <w:r>
        <w:rPr>
          <w:spacing w:val="-5"/>
          <w:sz w:val="16"/>
        </w:rPr>
        <w:t>the</w:t>
      </w:r>
      <w:r>
        <w:rPr>
          <w:spacing w:val="-15"/>
          <w:sz w:val="16"/>
        </w:rPr>
        <w:t> </w:t>
      </w:r>
      <w:r>
        <w:rPr>
          <w:spacing w:val="-8"/>
          <w:sz w:val="16"/>
        </w:rPr>
        <w:t>collective </w:t>
      </w:r>
      <w:r>
        <w:rPr>
          <w:spacing w:val="-7"/>
          <w:sz w:val="16"/>
        </w:rPr>
        <w:t>work </w:t>
      </w:r>
      <w:r>
        <w:rPr>
          <w:spacing w:val="-8"/>
          <w:sz w:val="16"/>
        </w:rPr>
        <w:t>product </w:t>
      </w:r>
      <w:r>
        <w:rPr>
          <w:spacing w:val="-6"/>
          <w:sz w:val="16"/>
        </w:rPr>
        <w:t>of </w:t>
      </w:r>
      <w:r>
        <w:rPr>
          <w:spacing w:val="-7"/>
          <w:sz w:val="16"/>
        </w:rPr>
        <w:t>Fitch and </w:t>
      </w:r>
      <w:r>
        <w:rPr>
          <w:spacing w:val="-6"/>
          <w:sz w:val="16"/>
        </w:rPr>
        <w:t>no </w:t>
      </w:r>
      <w:r>
        <w:rPr>
          <w:spacing w:val="-8"/>
          <w:sz w:val="16"/>
        </w:rPr>
        <w:t>individual, </w:t>
      </w:r>
      <w:r>
        <w:rPr>
          <w:spacing w:val="-4"/>
          <w:sz w:val="16"/>
        </w:rPr>
        <w:t>or </w:t>
      </w:r>
      <w:r>
        <w:rPr>
          <w:spacing w:val="-7"/>
          <w:sz w:val="16"/>
        </w:rPr>
        <w:t>group </w:t>
      </w:r>
      <w:r>
        <w:rPr>
          <w:spacing w:val="-6"/>
          <w:sz w:val="16"/>
        </w:rPr>
        <w:t>of </w:t>
      </w:r>
      <w:r>
        <w:rPr>
          <w:spacing w:val="-8"/>
          <w:sz w:val="16"/>
        </w:rPr>
        <w:t>individuals, </w:t>
      </w:r>
      <w:r>
        <w:rPr>
          <w:spacing w:val="-5"/>
          <w:sz w:val="16"/>
        </w:rPr>
        <w:t>is </w:t>
      </w:r>
      <w:r>
        <w:rPr>
          <w:spacing w:val="-7"/>
          <w:sz w:val="16"/>
        </w:rPr>
        <w:t>solely </w:t>
      </w:r>
      <w:r>
        <w:rPr>
          <w:spacing w:val="-8"/>
          <w:sz w:val="16"/>
        </w:rPr>
        <w:t>responsible </w:t>
      </w:r>
      <w:r>
        <w:rPr>
          <w:spacing w:val="-5"/>
          <w:sz w:val="16"/>
        </w:rPr>
        <w:t>for </w:t>
      </w:r>
      <w:r>
        <w:rPr>
          <w:sz w:val="16"/>
        </w:rPr>
        <w:t>a </w:t>
      </w:r>
      <w:r>
        <w:rPr>
          <w:spacing w:val="-8"/>
          <w:sz w:val="16"/>
        </w:rPr>
        <w:t>rating </w:t>
      </w:r>
      <w:r>
        <w:rPr>
          <w:spacing w:val="-4"/>
          <w:sz w:val="16"/>
        </w:rPr>
        <w:t>or </w:t>
      </w:r>
      <w:r>
        <w:rPr>
          <w:sz w:val="16"/>
        </w:rPr>
        <w:t>a </w:t>
      </w:r>
      <w:r>
        <w:rPr>
          <w:spacing w:val="-8"/>
          <w:sz w:val="16"/>
        </w:rPr>
        <w:t>report. </w:t>
      </w:r>
      <w:r>
        <w:rPr>
          <w:spacing w:val="-6"/>
          <w:sz w:val="16"/>
        </w:rPr>
        <w:t>The </w:t>
      </w:r>
      <w:r>
        <w:rPr>
          <w:spacing w:val="-8"/>
          <w:sz w:val="16"/>
        </w:rPr>
        <w:t>rating </w:t>
      </w:r>
      <w:r>
        <w:rPr>
          <w:spacing w:val="-9"/>
          <w:sz w:val="16"/>
        </w:rPr>
        <w:t>does </w:t>
      </w:r>
      <w:r>
        <w:rPr>
          <w:spacing w:val="-6"/>
          <w:sz w:val="16"/>
        </w:rPr>
        <w:t>not </w:t>
      </w:r>
      <w:r>
        <w:rPr>
          <w:spacing w:val="-8"/>
          <w:sz w:val="16"/>
        </w:rPr>
        <w:t>address </w:t>
      </w:r>
      <w:r>
        <w:rPr>
          <w:spacing w:val="-5"/>
          <w:sz w:val="16"/>
        </w:rPr>
        <w:t>the </w:t>
      </w:r>
      <w:r>
        <w:rPr>
          <w:spacing w:val="-7"/>
          <w:sz w:val="16"/>
        </w:rPr>
        <w:t>risk </w:t>
      </w:r>
      <w:r>
        <w:rPr>
          <w:spacing w:val="-6"/>
          <w:sz w:val="16"/>
        </w:rPr>
        <w:t>of </w:t>
      </w:r>
      <w:r>
        <w:rPr>
          <w:spacing w:val="-7"/>
          <w:sz w:val="16"/>
        </w:rPr>
        <w:t>loss due </w:t>
      </w:r>
      <w:r>
        <w:rPr>
          <w:spacing w:val="-4"/>
          <w:sz w:val="16"/>
        </w:rPr>
        <w:t>to </w:t>
      </w:r>
      <w:r>
        <w:rPr>
          <w:spacing w:val="-8"/>
          <w:sz w:val="16"/>
        </w:rPr>
        <w:t>risks </w:t>
      </w:r>
      <w:r>
        <w:rPr>
          <w:spacing w:val="-7"/>
          <w:sz w:val="16"/>
        </w:rPr>
        <w:t>other than </w:t>
      </w:r>
      <w:r>
        <w:rPr>
          <w:spacing w:val="-8"/>
          <w:sz w:val="16"/>
        </w:rPr>
        <w:t>credit risk, unless </w:t>
      </w:r>
      <w:r>
        <w:rPr>
          <w:spacing w:val="-6"/>
          <w:sz w:val="16"/>
        </w:rPr>
        <w:t>such </w:t>
      </w:r>
      <w:r>
        <w:rPr>
          <w:spacing w:val="-7"/>
          <w:sz w:val="16"/>
        </w:rPr>
        <w:t>risk </w:t>
      </w:r>
      <w:r>
        <w:rPr>
          <w:spacing w:val="-5"/>
          <w:sz w:val="16"/>
        </w:rPr>
        <w:t>is </w:t>
      </w:r>
      <w:r>
        <w:rPr>
          <w:spacing w:val="-8"/>
          <w:sz w:val="16"/>
        </w:rPr>
        <w:t>specifically mentioned. </w:t>
      </w:r>
      <w:r>
        <w:rPr>
          <w:spacing w:val="-7"/>
          <w:sz w:val="16"/>
        </w:rPr>
        <w:t>Fitch </w:t>
      </w:r>
      <w:r>
        <w:rPr>
          <w:spacing w:val="-5"/>
          <w:sz w:val="16"/>
        </w:rPr>
        <w:t>is </w:t>
      </w:r>
      <w:r>
        <w:rPr>
          <w:spacing w:val="-7"/>
          <w:sz w:val="16"/>
        </w:rPr>
        <w:t>not </w:t>
      </w:r>
      <w:r>
        <w:rPr>
          <w:spacing w:val="-10"/>
          <w:sz w:val="16"/>
        </w:rPr>
        <w:t>engaged </w:t>
      </w:r>
      <w:r>
        <w:rPr>
          <w:spacing w:val="-4"/>
          <w:sz w:val="16"/>
        </w:rPr>
        <w:t>in </w:t>
      </w:r>
      <w:r>
        <w:rPr>
          <w:spacing w:val="-5"/>
          <w:sz w:val="16"/>
        </w:rPr>
        <w:t>the </w:t>
      </w:r>
      <w:r>
        <w:rPr>
          <w:spacing w:val="-7"/>
          <w:sz w:val="16"/>
        </w:rPr>
        <w:t>offer </w:t>
      </w:r>
      <w:r>
        <w:rPr>
          <w:spacing w:val="-4"/>
          <w:sz w:val="16"/>
        </w:rPr>
        <w:t>or </w:t>
      </w:r>
      <w:r>
        <w:rPr>
          <w:spacing w:val="-6"/>
          <w:sz w:val="16"/>
        </w:rPr>
        <w:t>sale of any </w:t>
      </w:r>
      <w:r>
        <w:rPr>
          <w:spacing w:val="-8"/>
          <w:sz w:val="16"/>
        </w:rPr>
        <w:t>security. </w:t>
      </w:r>
      <w:r>
        <w:rPr>
          <w:spacing w:val="-6"/>
          <w:sz w:val="16"/>
        </w:rPr>
        <w:t>All </w:t>
      </w:r>
      <w:r>
        <w:rPr>
          <w:spacing w:val="-7"/>
          <w:sz w:val="16"/>
        </w:rPr>
        <w:t>Fitch </w:t>
      </w:r>
      <w:r>
        <w:rPr>
          <w:spacing w:val="-8"/>
          <w:sz w:val="16"/>
        </w:rPr>
        <w:t>reports </w:t>
      </w:r>
      <w:r>
        <w:rPr>
          <w:spacing w:val="-7"/>
          <w:sz w:val="16"/>
        </w:rPr>
        <w:t>have </w:t>
      </w:r>
      <w:r>
        <w:rPr>
          <w:spacing w:val="-8"/>
          <w:sz w:val="16"/>
        </w:rPr>
        <w:t>shared </w:t>
      </w:r>
      <w:r>
        <w:rPr>
          <w:spacing w:val="-9"/>
          <w:sz w:val="16"/>
        </w:rPr>
        <w:t>authorship. </w:t>
      </w:r>
      <w:r>
        <w:rPr>
          <w:spacing w:val="-8"/>
          <w:sz w:val="16"/>
        </w:rPr>
        <w:t>Individuals identified </w:t>
      </w:r>
      <w:r>
        <w:rPr>
          <w:spacing w:val="-4"/>
          <w:sz w:val="16"/>
        </w:rPr>
        <w:t>in </w:t>
      </w:r>
      <w:r>
        <w:rPr>
          <w:sz w:val="16"/>
        </w:rPr>
        <w:t>a </w:t>
      </w:r>
      <w:r>
        <w:rPr>
          <w:spacing w:val="-7"/>
          <w:sz w:val="16"/>
        </w:rPr>
        <w:t>Fitch </w:t>
      </w:r>
      <w:r>
        <w:rPr>
          <w:spacing w:val="-8"/>
          <w:sz w:val="16"/>
        </w:rPr>
        <w:t>report were involved </w:t>
      </w:r>
      <w:r>
        <w:rPr>
          <w:spacing w:val="-6"/>
          <w:sz w:val="16"/>
        </w:rPr>
        <w:t>in, </w:t>
      </w:r>
      <w:r>
        <w:rPr>
          <w:spacing w:val="-7"/>
          <w:sz w:val="16"/>
        </w:rPr>
        <w:t>but </w:t>
      </w:r>
      <w:r>
        <w:rPr>
          <w:spacing w:val="-6"/>
          <w:sz w:val="16"/>
        </w:rPr>
        <w:t>are </w:t>
      </w:r>
      <w:r>
        <w:rPr>
          <w:spacing w:val="-7"/>
          <w:sz w:val="16"/>
        </w:rPr>
        <w:t>not solely </w:t>
      </w:r>
      <w:r>
        <w:rPr>
          <w:spacing w:val="-9"/>
          <w:sz w:val="16"/>
        </w:rPr>
        <w:t>responsible </w:t>
      </w:r>
      <w:r>
        <w:rPr>
          <w:spacing w:val="-7"/>
          <w:sz w:val="16"/>
        </w:rPr>
        <w:t>for, </w:t>
      </w:r>
      <w:r>
        <w:rPr>
          <w:spacing w:val="-6"/>
          <w:sz w:val="16"/>
        </w:rPr>
        <w:t>the </w:t>
      </w:r>
      <w:r>
        <w:rPr>
          <w:spacing w:val="-8"/>
          <w:sz w:val="16"/>
        </w:rPr>
        <w:t>opinions stated therein. </w:t>
      </w:r>
      <w:r>
        <w:rPr>
          <w:spacing w:val="-6"/>
          <w:sz w:val="16"/>
        </w:rPr>
        <w:t>The </w:t>
      </w:r>
      <w:r>
        <w:rPr>
          <w:spacing w:val="-8"/>
          <w:sz w:val="16"/>
        </w:rPr>
        <w:t>individuals </w:t>
      </w:r>
      <w:r>
        <w:rPr>
          <w:spacing w:val="-7"/>
          <w:sz w:val="16"/>
        </w:rPr>
        <w:t>are </w:t>
      </w:r>
      <w:r>
        <w:rPr>
          <w:spacing w:val="-8"/>
          <w:sz w:val="16"/>
        </w:rPr>
        <w:t>named </w:t>
      </w:r>
      <w:r>
        <w:rPr>
          <w:spacing w:val="-6"/>
          <w:sz w:val="16"/>
        </w:rPr>
        <w:t>for </w:t>
      </w:r>
      <w:r>
        <w:rPr>
          <w:spacing w:val="-8"/>
          <w:sz w:val="16"/>
        </w:rPr>
        <w:t>contact purposes </w:t>
      </w:r>
      <w:r>
        <w:rPr>
          <w:spacing w:val="-7"/>
          <w:sz w:val="16"/>
        </w:rPr>
        <w:t>only. </w:t>
      </w:r>
      <w:r>
        <w:rPr>
          <w:sz w:val="16"/>
        </w:rPr>
        <w:t>A </w:t>
      </w:r>
      <w:r>
        <w:rPr>
          <w:spacing w:val="-8"/>
          <w:sz w:val="16"/>
        </w:rPr>
        <w:t>report providing </w:t>
      </w:r>
      <w:r>
        <w:rPr>
          <w:sz w:val="16"/>
        </w:rPr>
        <w:t>a </w:t>
      </w:r>
      <w:r>
        <w:rPr>
          <w:spacing w:val="-7"/>
          <w:sz w:val="16"/>
        </w:rPr>
        <w:t>Fitch </w:t>
      </w:r>
      <w:r>
        <w:rPr>
          <w:spacing w:val="-8"/>
          <w:sz w:val="16"/>
        </w:rPr>
        <w:t>rating </w:t>
      </w:r>
      <w:r>
        <w:rPr>
          <w:spacing w:val="-5"/>
          <w:sz w:val="16"/>
        </w:rPr>
        <w:t>is </w:t>
      </w:r>
      <w:r>
        <w:rPr>
          <w:spacing w:val="-8"/>
          <w:sz w:val="16"/>
        </w:rPr>
        <w:t>neither </w:t>
      </w:r>
      <w:r>
        <w:rPr>
          <w:sz w:val="16"/>
        </w:rPr>
        <w:t>a </w:t>
      </w:r>
      <w:r>
        <w:rPr>
          <w:spacing w:val="-8"/>
          <w:sz w:val="16"/>
        </w:rPr>
        <w:t>prospectus </w:t>
      </w:r>
      <w:r>
        <w:rPr>
          <w:spacing w:val="-7"/>
          <w:sz w:val="16"/>
        </w:rPr>
        <w:t>nor </w:t>
      </w:r>
      <w:r>
        <w:rPr>
          <w:sz w:val="16"/>
        </w:rPr>
        <w:t>a </w:t>
      </w:r>
      <w:r>
        <w:rPr>
          <w:spacing w:val="-8"/>
          <w:sz w:val="16"/>
        </w:rPr>
        <w:t>substitute </w:t>
      </w:r>
      <w:r>
        <w:rPr>
          <w:spacing w:val="-5"/>
          <w:sz w:val="16"/>
        </w:rPr>
        <w:t>for </w:t>
      </w:r>
      <w:r>
        <w:rPr>
          <w:spacing w:val="-6"/>
          <w:sz w:val="16"/>
        </w:rPr>
        <w:t>the </w:t>
      </w:r>
      <w:r>
        <w:rPr>
          <w:spacing w:val="-8"/>
          <w:sz w:val="16"/>
        </w:rPr>
        <w:t>information </w:t>
      </w:r>
      <w:r>
        <w:rPr>
          <w:spacing w:val="-9"/>
          <w:sz w:val="16"/>
        </w:rPr>
        <w:t>assembled, </w:t>
      </w:r>
      <w:r>
        <w:rPr>
          <w:spacing w:val="-8"/>
          <w:sz w:val="16"/>
        </w:rPr>
        <w:t>verified </w:t>
      </w:r>
      <w:r>
        <w:rPr>
          <w:spacing w:val="-7"/>
          <w:sz w:val="16"/>
        </w:rPr>
        <w:t>and </w:t>
      </w:r>
      <w:r>
        <w:rPr>
          <w:spacing w:val="-8"/>
          <w:sz w:val="16"/>
        </w:rPr>
        <w:t>presented </w:t>
      </w:r>
      <w:r>
        <w:rPr>
          <w:spacing w:val="-4"/>
          <w:sz w:val="16"/>
        </w:rPr>
        <w:t>to </w:t>
      </w:r>
      <w:r>
        <w:rPr>
          <w:spacing w:val="-9"/>
          <w:sz w:val="16"/>
        </w:rPr>
        <w:t>investors </w:t>
      </w:r>
      <w:r>
        <w:rPr>
          <w:spacing w:val="-4"/>
          <w:sz w:val="16"/>
        </w:rPr>
        <w:t>by </w:t>
      </w:r>
      <w:r>
        <w:rPr>
          <w:spacing w:val="-5"/>
          <w:sz w:val="16"/>
        </w:rPr>
        <w:t>the </w:t>
      </w:r>
      <w:r>
        <w:rPr>
          <w:spacing w:val="-8"/>
          <w:sz w:val="16"/>
        </w:rPr>
        <w:t>issuer </w:t>
      </w:r>
      <w:r>
        <w:rPr>
          <w:spacing w:val="-7"/>
          <w:sz w:val="16"/>
        </w:rPr>
        <w:t>and its </w:t>
      </w:r>
      <w:r>
        <w:rPr>
          <w:spacing w:val="-8"/>
          <w:sz w:val="16"/>
        </w:rPr>
        <w:t>agents </w:t>
      </w:r>
      <w:r>
        <w:rPr>
          <w:spacing w:val="-5"/>
          <w:sz w:val="16"/>
        </w:rPr>
        <w:t>in </w:t>
      </w:r>
      <w:r>
        <w:rPr>
          <w:spacing w:val="-8"/>
          <w:sz w:val="16"/>
        </w:rPr>
        <w:t>connection </w:t>
      </w:r>
      <w:r>
        <w:rPr>
          <w:spacing w:val="-7"/>
          <w:sz w:val="16"/>
        </w:rPr>
        <w:t>with </w:t>
      </w:r>
      <w:r>
        <w:rPr>
          <w:spacing w:val="-6"/>
          <w:sz w:val="16"/>
        </w:rPr>
        <w:t>the </w:t>
      </w:r>
      <w:r>
        <w:rPr>
          <w:spacing w:val="-7"/>
          <w:sz w:val="16"/>
        </w:rPr>
        <w:t>sale </w:t>
      </w:r>
      <w:r>
        <w:rPr>
          <w:spacing w:val="-6"/>
          <w:sz w:val="16"/>
        </w:rPr>
        <w:t>of the </w:t>
      </w:r>
      <w:r>
        <w:rPr>
          <w:spacing w:val="-8"/>
          <w:sz w:val="16"/>
        </w:rPr>
        <w:t>securities. Ratings </w:t>
      </w:r>
      <w:r>
        <w:rPr>
          <w:spacing w:val="-5"/>
          <w:sz w:val="16"/>
        </w:rPr>
        <w:t>may </w:t>
      </w:r>
      <w:r>
        <w:rPr>
          <w:spacing w:val="-4"/>
          <w:sz w:val="16"/>
        </w:rPr>
        <w:t>be </w:t>
      </w:r>
      <w:r>
        <w:rPr>
          <w:spacing w:val="-7"/>
          <w:sz w:val="16"/>
        </w:rPr>
        <w:t>changed </w:t>
      </w:r>
      <w:r>
        <w:rPr>
          <w:spacing w:val="-8"/>
          <w:sz w:val="16"/>
        </w:rPr>
        <w:t>or withdrawn </w:t>
      </w:r>
      <w:r>
        <w:rPr>
          <w:spacing w:val="-6"/>
          <w:sz w:val="16"/>
        </w:rPr>
        <w:t>at </w:t>
      </w:r>
      <w:r>
        <w:rPr>
          <w:spacing w:val="-7"/>
          <w:sz w:val="16"/>
        </w:rPr>
        <w:t>any </w:t>
      </w:r>
      <w:r>
        <w:rPr>
          <w:spacing w:val="-6"/>
          <w:sz w:val="16"/>
        </w:rPr>
        <w:t>time for any </w:t>
      </w:r>
      <w:r>
        <w:rPr>
          <w:spacing w:val="-8"/>
          <w:sz w:val="16"/>
        </w:rPr>
        <w:t>reason </w:t>
      </w:r>
      <w:r>
        <w:rPr>
          <w:spacing w:val="-4"/>
          <w:sz w:val="16"/>
        </w:rPr>
        <w:t>in </w:t>
      </w:r>
      <w:r>
        <w:rPr>
          <w:spacing w:val="-5"/>
          <w:sz w:val="16"/>
        </w:rPr>
        <w:t>the </w:t>
      </w:r>
      <w:r>
        <w:rPr>
          <w:spacing w:val="-7"/>
          <w:sz w:val="16"/>
        </w:rPr>
        <w:t>sole </w:t>
      </w:r>
      <w:r>
        <w:rPr>
          <w:spacing w:val="-8"/>
          <w:sz w:val="16"/>
        </w:rPr>
        <w:t>discretion </w:t>
      </w:r>
      <w:r>
        <w:rPr>
          <w:spacing w:val="-6"/>
          <w:sz w:val="16"/>
        </w:rPr>
        <w:t>of </w:t>
      </w:r>
      <w:r>
        <w:rPr>
          <w:spacing w:val="-8"/>
          <w:sz w:val="16"/>
        </w:rPr>
        <w:t>Fitch. </w:t>
      </w:r>
      <w:r>
        <w:rPr>
          <w:spacing w:val="-7"/>
          <w:sz w:val="16"/>
        </w:rPr>
        <w:t>Fitch </w:t>
      </w:r>
      <w:r>
        <w:rPr>
          <w:spacing w:val="-8"/>
          <w:sz w:val="16"/>
        </w:rPr>
        <w:t>does </w:t>
      </w:r>
      <w:r>
        <w:rPr>
          <w:spacing w:val="-7"/>
          <w:sz w:val="16"/>
        </w:rPr>
        <w:t>not </w:t>
      </w:r>
      <w:r>
        <w:rPr>
          <w:spacing w:val="-8"/>
          <w:sz w:val="16"/>
        </w:rPr>
        <w:t>provide </w:t>
      </w:r>
      <w:r>
        <w:rPr>
          <w:spacing w:val="-9"/>
          <w:sz w:val="16"/>
        </w:rPr>
        <w:t>investment </w:t>
      </w:r>
      <w:r>
        <w:rPr>
          <w:spacing w:val="-8"/>
          <w:sz w:val="16"/>
        </w:rPr>
        <w:t>advice </w:t>
      </w:r>
      <w:r>
        <w:rPr>
          <w:spacing w:val="-6"/>
          <w:sz w:val="16"/>
        </w:rPr>
        <w:t>of any </w:t>
      </w:r>
      <w:r>
        <w:rPr>
          <w:spacing w:val="-7"/>
          <w:sz w:val="16"/>
        </w:rPr>
        <w:t>sort. </w:t>
      </w:r>
      <w:r>
        <w:rPr>
          <w:spacing w:val="-8"/>
          <w:sz w:val="16"/>
        </w:rPr>
        <w:t>Ratings </w:t>
      </w:r>
      <w:r>
        <w:rPr>
          <w:spacing w:val="-7"/>
          <w:sz w:val="16"/>
        </w:rPr>
        <w:t>are </w:t>
      </w:r>
      <w:r>
        <w:rPr>
          <w:spacing w:val="-8"/>
          <w:sz w:val="16"/>
        </w:rPr>
        <w:t>not </w:t>
      </w:r>
      <w:r>
        <w:rPr>
          <w:sz w:val="16"/>
        </w:rPr>
        <w:t>a </w:t>
      </w:r>
      <w:r>
        <w:rPr>
          <w:spacing w:val="-9"/>
          <w:sz w:val="16"/>
        </w:rPr>
        <w:t>recommendation </w:t>
      </w:r>
      <w:r>
        <w:rPr>
          <w:spacing w:val="-4"/>
          <w:sz w:val="16"/>
        </w:rPr>
        <w:t>to </w:t>
      </w:r>
      <w:r>
        <w:rPr>
          <w:spacing w:val="-7"/>
          <w:sz w:val="16"/>
        </w:rPr>
        <w:t>buy, sell, </w:t>
      </w:r>
      <w:r>
        <w:rPr>
          <w:spacing w:val="-4"/>
          <w:sz w:val="16"/>
        </w:rPr>
        <w:t>or </w:t>
      </w:r>
      <w:r>
        <w:rPr>
          <w:spacing w:val="-7"/>
          <w:sz w:val="16"/>
        </w:rPr>
        <w:t>hold </w:t>
      </w:r>
      <w:r>
        <w:rPr>
          <w:spacing w:val="-6"/>
          <w:sz w:val="16"/>
        </w:rPr>
        <w:t>any </w:t>
      </w:r>
      <w:r>
        <w:rPr>
          <w:spacing w:val="-8"/>
          <w:sz w:val="16"/>
        </w:rPr>
        <w:t>security. Ratings </w:t>
      </w:r>
      <w:r>
        <w:rPr>
          <w:spacing w:val="-4"/>
          <w:sz w:val="16"/>
        </w:rPr>
        <w:t>do </w:t>
      </w:r>
      <w:r>
        <w:rPr>
          <w:spacing w:val="-7"/>
          <w:sz w:val="16"/>
        </w:rPr>
        <w:t>not </w:t>
      </w:r>
      <w:r>
        <w:rPr>
          <w:spacing w:val="-8"/>
          <w:sz w:val="16"/>
        </w:rPr>
        <w:t>comment </w:t>
      </w:r>
      <w:r>
        <w:rPr>
          <w:spacing w:val="-4"/>
          <w:sz w:val="16"/>
        </w:rPr>
        <w:t>on </w:t>
      </w:r>
      <w:r>
        <w:rPr>
          <w:spacing w:val="-5"/>
          <w:sz w:val="16"/>
        </w:rPr>
        <w:t>the </w:t>
      </w:r>
      <w:r>
        <w:rPr>
          <w:spacing w:val="-8"/>
          <w:sz w:val="16"/>
        </w:rPr>
        <w:t>adequacy </w:t>
      </w:r>
      <w:r>
        <w:rPr>
          <w:spacing w:val="-4"/>
          <w:sz w:val="16"/>
        </w:rPr>
        <w:t>of </w:t>
      </w:r>
      <w:r>
        <w:rPr>
          <w:spacing w:val="-8"/>
          <w:sz w:val="16"/>
        </w:rPr>
        <w:t>market price,</w:t>
      </w:r>
      <w:r>
        <w:rPr>
          <w:spacing w:val="-12"/>
          <w:sz w:val="16"/>
        </w:rPr>
        <w:t> </w:t>
      </w:r>
      <w:r>
        <w:rPr>
          <w:spacing w:val="-6"/>
          <w:sz w:val="16"/>
        </w:rPr>
        <w:t>the</w:t>
      </w:r>
      <w:r>
        <w:rPr>
          <w:spacing w:val="-13"/>
          <w:sz w:val="16"/>
        </w:rPr>
        <w:t> </w:t>
      </w:r>
      <w:r>
        <w:rPr>
          <w:spacing w:val="-8"/>
          <w:sz w:val="16"/>
        </w:rPr>
        <w:t>suitability</w:t>
      </w:r>
      <w:r>
        <w:rPr>
          <w:spacing w:val="-14"/>
          <w:sz w:val="16"/>
        </w:rPr>
        <w:t> </w:t>
      </w:r>
      <w:r>
        <w:rPr>
          <w:spacing w:val="-6"/>
          <w:sz w:val="16"/>
        </w:rPr>
        <w:t>of</w:t>
      </w:r>
      <w:r>
        <w:rPr>
          <w:spacing w:val="-9"/>
          <w:sz w:val="16"/>
        </w:rPr>
        <w:t> </w:t>
      </w:r>
      <w:r>
        <w:rPr>
          <w:spacing w:val="-6"/>
          <w:sz w:val="16"/>
        </w:rPr>
        <w:t>any</w:t>
      </w:r>
      <w:r>
        <w:rPr>
          <w:spacing w:val="-13"/>
          <w:sz w:val="16"/>
        </w:rPr>
        <w:t> </w:t>
      </w:r>
      <w:r>
        <w:rPr>
          <w:spacing w:val="-8"/>
          <w:sz w:val="16"/>
        </w:rPr>
        <w:t>security</w:t>
      </w:r>
      <w:r>
        <w:rPr>
          <w:spacing w:val="-14"/>
          <w:sz w:val="16"/>
        </w:rPr>
        <w:t> </w:t>
      </w:r>
      <w:r>
        <w:rPr>
          <w:spacing w:val="-5"/>
          <w:sz w:val="16"/>
        </w:rPr>
        <w:t>for</w:t>
      </w:r>
      <w:r>
        <w:rPr>
          <w:spacing w:val="-16"/>
          <w:sz w:val="16"/>
        </w:rPr>
        <w:t> </w:t>
      </w:r>
      <w:r>
        <w:rPr>
          <w:sz w:val="16"/>
        </w:rPr>
        <w:t>a</w:t>
      </w:r>
      <w:r>
        <w:rPr>
          <w:spacing w:val="-10"/>
          <w:sz w:val="16"/>
        </w:rPr>
        <w:t> </w:t>
      </w:r>
      <w:r>
        <w:rPr>
          <w:spacing w:val="-8"/>
          <w:sz w:val="16"/>
        </w:rPr>
        <w:t>particular</w:t>
      </w:r>
      <w:r>
        <w:rPr>
          <w:spacing w:val="-10"/>
          <w:sz w:val="16"/>
        </w:rPr>
        <w:t> </w:t>
      </w:r>
      <w:r>
        <w:rPr>
          <w:spacing w:val="-9"/>
          <w:sz w:val="16"/>
        </w:rPr>
        <w:t>investor,</w:t>
      </w:r>
      <w:r>
        <w:rPr>
          <w:spacing w:val="-11"/>
          <w:sz w:val="16"/>
        </w:rPr>
        <w:t> </w:t>
      </w:r>
      <w:r>
        <w:rPr>
          <w:spacing w:val="-4"/>
          <w:sz w:val="16"/>
        </w:rPr>
        <w:t>or</w:t>
      </w:r>
      <w:r>
        <w:rPr>
          <w:spacing w:val="-14"/>
          <w:sz w:val="16"/>
        </w:rPr>
        <w:t> </w:t>
      </w:r>
      <w:r>
        <w:rPr>
          <w:spacing w:val="-5"/>
          <w:sz w:val="16"/>
        </w:rPr>
        <w:t>the</w:t>
      </w:r>
      <w:r>
        <w:rPr>
          <w:spacing w:val="-13"/>
          <w:sz w:val="16"/>
        </w:rPr>
        <w:t> </w:t>
      </w:r>
      <w:r>
        <w:rPr>
          <w:spacing w:val="-8"/>
          <w:sz w:val="16"/>
        </w:rPr>
        <w:t>tax-exempt</w:t>
      </w:r>
      <w:r>
        <w:rPr>
          <w:spacing w:val="-11"/>
          <w:sz w:val="16"/>
        </w:rPr>
        <w:t> </w:t>
      </w:r>
      <w:r>
        <w:rPr>
          <w:spacing w:val="-7"/>
          <w:sz w:val="16"/>
        </w:rPr>
        <w:t>nature</w:t>
      </w:r>
      <w:r>
        <w:rPr>
          <w:spacing w:val="-11"/>
          <w:sz w:val="16"/>
        </w:rPr>
        <w:t> </w:t>
      </w:r>
      <w:r>
        <w:rPr>
          <w:spacing w:val="-6"/>
          <w:sz w:val="16"/>
        </w:rPr>
        <w:t>or</w:t>
      </w:r>
      <w:r>
        <w:rPr>
          <w:spacing w:val="-13"/>
          <w:sz w:val="16"/>
        </w:rPr>
        <w:t> </w:t>
      </w:r>
      <w:r>
        <w:rPr>
          <w:spacing w:val="-8"/>
          <w:sz w:val="16"/>
        </w:rPr>
        <w:t>taxability</w:t>
      </w:r>
      <w:r>
        <w:rPr>
          <w:spacing w:val="-11"/>
          <w:sz w:val="16"/>
        </w:rPr>
        <w:t> </w:t>
      </w:r>
      <w:r>
        <w:rPr>
          <w:spacing w:val="-6"/>
          <w:sz w:val="16"/>
        </w:rPr>
        <w:t>of</w:t>
      </w:r>
      <w:r>
        <w:rPr>
          <w:spacing w:val="-12"/>
          <w:sz w:val="16"/>
        </w:rPr>
        <w:t> </w:t>
      </w:r>
      <w:r>
        <w:rPr>
          <w:spacing w:val="-8"/>
          <w:sz w:val="16"/>
        </w:rPr>
        <w:t>payments</w:t>
      </w:r>
      <w:r>
        <w:rPr>
          <w:spacing w:val="-11"/>
          <w:sz w:val="16"/>
        </w:rPr>
        <w:t> </w:t>
      </w:r>
      <w:r>
        <w:rPr>
          <w:spacing w:val="-7"/>
          <w:sz w:val="16"/>
        </w:rPr>
        <w:t>made</w:t>
      </w:r>
      <w:r>
        <w:rPr>
          <w:spacing w:val="-13"/>
          <w:sz w:val="16"/>
        </w:rPr>
        <w:t> </w:t>
      </w:r>
      <w:r>
        <w:rPr>
          <w:spacing w:val="-5"/>
          <w:sz w:val="16"/>
        </w:rPr>
        <w:t>in</w:t>
      </w:r>
      <w:r>
        <w:rPr>
          <w:spacing w:val="-11"/>
          <w:sz w:val="16"/>
        </w:rPr>
        <w:t> </w:t>
      </w:r>
      <w:r>
        <w:rPr>
          <w:spacing w:val="-8"/>
          <w:sz w:val="16"/>
        </w:rPr>
        <w:t>respect </w:t>
      </w:r>
      <w:r>
        <w:rPr>
          <w:spacing w:val="-4"/>
          <w:sz w:val="16"/>
        </w:rPr>
        <w:t>to </w:t>
      </w:r>
      <w:r>
        <w:rPr>
          <w:spacing w:val="-7"/>
          <w:sz w:val="16"/>
        </w:rPr>
        <w:t>any </w:t>
      </w:r>
      <w:r>
        <w:rPr>
          <w:spacing w:val="-8"/>
          <w:sz w:val="16"/>
        </w:rPr>
        <w:t>security. </w:t>
      </w:r>
      <w:r>
        <w:rPr>
          <w:spacing w:val="-7"/>
          <w:sz w:val="16"/>
        </w:rPr>
        <w:t>Fitch </w:t>
      </w:r>
      <w:r>
        <w:rPr>
          <w:spacing w:val="-8"/>
          <w:sz w:val="16"/>
        </w:rPr>
        <w:t>receives </w:t>
      </w:r>
      <w:r>
        <w:rPr>
          <w:spacing w:val="-7"/>
          <w:sz w:val="16"/>
        </w:rPr>
        <w:t>fees from </w:t>
      </w:r>
      <w:r>
        <w:rPr>
          <w:spacing w:val="-8"/>
          <w:sz w:val="16"/>
        </w:rPr>
        <w:t>issuers, insurers, </w:t>
      </w:r>
      <w:r>
        <w:rPr>
          <w:spacing w:val="-9"/>
          <w:sz w:val="16"/>
        </w:rPr>
        <w:t>guarantors, </w:t>
      </w:r>
      <w:r>
        <w:rPr>
          <w:spacing w:val="-7"/>
          <w:sz w:val="16"/>
        </w:rPr>
        <w:t>other </w:t>
      </w:r>
      <w:r>
        <w:rPr>
          <w:spacing w:val="-8"/>
          <w:sz w:val="16"/>
        </w:rPr>
        <w:t>obligors, </w:t>
      </w:r>
      <w:r>
        <w:rPr>
          <w:spacing w:val="-7"/>
          <w:sz w:val="16"/>
        </w:rPr>
        <w:t>and </w:t>
      </w:r>
      <w:r>
        <w:rPr>
          <w:spacing w:val="-9"/>
          <w:sz w:val="16"/>
        </w:rPr>
        <w:t>underwriters </w:t>
      </w:r>
      <w:r>
        <w:rPr>
          <w:spacing w:val="-5"/>
          <w:sz w:val="16"/>
        </w:rPr>
        <w:t>for </w:t>
      </w:r>
      <w:r>
        <w:rPr>
          <w:spacing w:val="-8"/>
          <w:sz w:val="16"/>
        </w:rPr>
        <w:t>rating securities. </w:t>
      </w:r>
      <w:r>
        <w:rPr>
          <w:spacing w:val="-6"/>
          <w:sz w:val="16"/>
        </w:rPr>
        <w:t>Such </w:t>
      </w:r>
      <w:r>
        <w:rPr>
          <w:spacing w:val="-7"/>
          <w:sz w:val="16"/>
        </w:rPr>
        <w:t>fees </w:t>
      </w:r>
      <w:r>
        <w:rPr>
          <w:spacing w:val="-8"/>
          <w:sz w:val="16"/>
        </w:rPr>
        <w:t>generally </w:t>
      </w:r>
      <w:r>
        <w:rPr>
          <w:spacing w:val="-7"/>
          <w:sz w:val="16"/>
        </w:rPr>
        <w:t>vary from </w:t>
      </w:r>
      <w:r>
        <w:rPr>
          <w:spacing w:val="-9"/>
          <w:sz w:val="16"/>
        </w:rPr>
        <w:t>US$1,000 </w:t>
      </w:r>
      <w:r>
        <w:rPr>
          <w:spacing w:val="-4"/>
          <w:sz w:val="16"/>
        </w:rPr>
        <w:t>to </w:t>
      </w:r>
      <w:r>
        <w:rPr>
          <w:spacing w:val="-9"/>
          <w:sz w:val="16"/>
        </w:rPr>
        <w:t>US$750,000 </w:t>
      </w:r>
      <w:r>
        <w:rPr>
          <w:spacing w:val="-7"/>
          <w:sz w:val="16"/>
        </w:rPr>
        <w:t>(or </w:t>
      </w:r>
      <w:r>
        <w:rPr>
          <w:spacing w:val="-5"/>
          <w:sz w:val="16"/>
        </w:rPr>
        <w:t>the </w:t>
      </w:r>
      <w:r>
        <w:rPr>
          <w:spacing w:val="-8"/>
          <w:sz w:val="16"/>
        </w:rPr>
        <w:t>applicable currency equivalent) </w:t>
      </w:r>
      <w:r>
        <w:rPr>
          <w:spacing w:val="-7"/>
          <w:sz w:val="16"/>
        </w:rPr>
        <w:t>per </w:t>
      </w:r>
      <w:r>
        <w:rPr>
          <w:spacing w:val="-8"/>
          <w:sz w:val="16"/>
        </w:rPr>
        <w:t>issue. </w:t>
      </w:r>
      <w:r>
        <w:rPr>
          <w:spacing w:val="-4"/>
          <w:sz w:val="16"/>
        </w:rPr>
        <w:t>In </w:t>
      </w:r>
      <w:r>
        <w:rPr>
          <w:spacing w:val="-8"/>
          <w:sz w:val="16"/>
        </w:rPr>
        <w:t>certain cases, </w:t>
      </w:r>
      <w:r>
        <w:rPr>
          <w:spacing w:val="-7"/>
          <w:sz w:val="16"/>
        </w:rPr>
        <w:t>Fitch will rate </w:t>
      </w:r>
      <w:r>
        <w:rPr>
          <w:spacing w:val="-6"/>
          <w:sz w:val="16"/>
        </w:rPr>
        <w:t>all </w:t>
      </w:r>
      <w:r>
        <w:rPr>
          <w:spacing w:val="-4"/>
          <w:sz w:val="16"/>
        </w:rPr>
        <w:t>or </w:t>
      </w:r>
      <w:r>
        <w:rPr>
          <w:sz w:val="16"/>
        </w:rPr>
        <w:t>a </w:t>
      </w:r>
      <w:r>
        <w:rPr>
          <w:spacing w:val="-8"/>
          <w:sz w:val="16"/>
        </w:rPr>
        <w:t>number </w:t>
      </w:r>
      <w:r>
        <w:rPr>
          <w:spacing w:val="-4"/>
          <w:sz w:val="16"/>
        </w:rPr>
        <w:t>of </w:t>
      </w:r>
      <w:r>
        <w:rPr>
          <w:spacing w:val="-8"/>
          <w:sz w:val="16"/>
        </w:rPr>
        <w:t>issues issued </w:t>
      </w:r>
      <w:r>
        <w:rPr>
          <w:spacing w:val="-4"/>
          <w:sz w:val="16"/>
        </w:rPr>
        <w:t>by </w:t>
      </w:r>
      <w:r>
        <w:rPr>
          <w:sz w:val="16"/>
        </w:rPr>
        <w:t>a </w:t>
      </w:r>
      <w:r>
        <w:rPr>
          <w:spacing w:val="-8"/>
          <w:sz w:val="16"/>
        </w:rPr>
        <w:t>particular issuer, </w:t>
      </w:r>
      <w:r>
        <w:rPr>
          <w:spacing w:val="-4"/>
          <w:sz w:val="16"/>
        </w:rPr>
        <w:t>or </w:t>
      </w:r>
      <w:r>
        <w:rPr>
          <w:spacing w:val="-8"/>
          <w:sz w:val="16"/>
        </w:rPr>
        <w:t>insured </w:t>
      </w:r>
      <w:r>
        <w:rPr>
          <w:spacing w:val="-4"/>
          <w:sz w:val="16"/>
        </w:rPr>
        <w:t>or </w:t>
      </w:r>
      <w:r>
        <w:rPr>
          <w:spacing w:val="-8"/>
          <w:sz w:val="16"/>
        </w:rPr>
        <w:t>guaranteed </w:t>
      </w:r>
      <w:r>
        <w:rPr>
          <w:spacing w:val="-4"/>
          <w:sz w:val="16"/>
        </w:rPr>
        <w:t>by </w:t>
      </w:r>
      <w:r>
        <w:rPr>
          <w:sz w:val="16"/>
        </w:rPr>
        <w:t>a </w:t>
      </w:r>
      <w:r>
        <w:rPr>
          <w:spacing w:val="-8"/>
          <w:sz w:val="16"/>
        </w:rPr>
        <w:t>particular insurer or guarantor, </w:t>
      </w:r>
      <w:r>
        <w:rPr>
          <w:spacing w:val="-6"/>
          <w:sz w:val="16"/>
        </w:rPr>
        <w:t>for </w:t>
      </w:r>
      <w:r>
        <w:rPr>
          <w:sz w:val="16"/>
        </w:rPr>
        <w:t>a </w:t>
      </w:r>
      <w:r>
        <w:rPr>
          <w:spacing w:val="-7"/>
          <w:sz w:val="16"/>
        </w:rPr>
        <w:t>single </w:t>
      </w:r>
      <w:r>
        <w:rPr>
          <w:spacing w:val="-8"/>
          <w:sz w:val="16"/>
        </w:rPr>
        <w:t>annual </w:t>
      </w:r>
      <w:r>
        <w:rPr>
          <w:spacing w:val="-7"/>
          <w:sz w:val="16"/>
        </w:rPr>
        <w:t>fee. Such fees are </w:t>
      </w:r>
      <w:r>
        <w:rPr>
          <w:spacing w:val="-8"/>
          <w:sz w:val="16"/>
        </w:rPr>
        <w:t>expected </w:t>
      </w:r>
      <w:r>
        <w:rPr>
          <w:spacing w:val="-4"/>
          <w:sz w:val="16"/>
        </w:rPr>
        <w:t>to </w:t>
      </w:r>
      <w:r>
        <w:rPr>
          <w:spacing w:val="-7"/>
          <w:sz w:val="16"/>
        </w:rPr>
        <w:t>vary </w:t>
      </w:r>
      <w:r>
        <w:rPr>
          <w:spacing w:val="-8"/>
          <w:sz w:val="16"/>
        </w:rPr>
        <w:t>from US$10,000 </w:t>
      </w:r>
      <w:r>
        <w:rPr>
          <w:spacing w:val="-5"/>
          <w:sz w:val="16"/>
        </w:rPr>
        <w:t>to </w:t>
      </w:r>
      <w:r>
        <w:rPr>
          <w:spacing w:val="-9"/>
          <w:sz w:val="16"/>
        </w:rPr>
        <w:t>US$1,500,000 </w:t>
      </w:r>
      <w:r>
        <w:rPr>
          <w:spacing w:val="-6"/>
          <w:sz w:val="16"/>
        </w:rPr>
        <w:t>(or </w:t>
      </w:r>
      <w:r>
        <w:rPr>
          <w:spacing w:val="-5"/>
          <w:sz w:val="16"/>
        </w:rPr>
        <w:t>the </w:t>
      </w:r>
      <w:r>
        <w:rPr>
          <w:spacing w:val="-8"/>
          <w:sz w:val="16"/>
        </w:rPr>
        <w:t>applicable currency</w:t>
      </w:r>
      <w:r>
        <w:rPr>
          <w:spacing w:val="-11"/>
          <w:sz w:val="16"/>
        </w:rPr>
        <w:t> </w:t>
      </w:r>
      <w:r>
        <w:rPr>
          <w:spacing w:val="-9"/>
          <w:sz w:val="16"/>
        </w:rPr>
        <w:t>equivalent).</w:t>
      </w:r>
      <w:r>
        <w:rPr>
          <w:spacing w:val="-11"/>
          <w:sz w:val="16"/>
        </w:rPr>
        <w:t> </w:t>
      </w:r>
      <w:r>
        <w:rPr>
          <w:spacing w:val="-6"/>
          <w:sz w:val="16"/>
        </w:rPr>
        <w:t>The</w:t>
      </w:r>
      <w:r>
        <w:rPr>
          <w:spacing w:val="-13"/>
          <w:sz w:val="16"/>
        </w:rPr>
        <w:t> </w:t>
      </w:r>
      <w:r>
        <w:rPr>
          <w:spacing w:val="-8"/>
          <w:sz w:val="16"/>
        </w:rPr>
        <w:t>assignment,</w:t>
      </w:r>
      <w:r>
        <w:rPr>
          <w:spacing w:val="-9"/>
          <w:sz w:val="16"/>
        </w:rPr>
        <w:t> publication, </w:t>
      </w:r>
      <w:r>
        <w:rPr>
          <w:spacing w:val="-4"/>
          <w:sz w:val="16"/>
        </w:rPr>
        <w:t>or</w:t>
      </w:r>
      <w:r>
        <w:rPr>
          <w:spacing w:val="-9"/>
          <w:sz w:val="16"/>
        </w:rPr>
        <w:t> dissemination</w:t>
      </w:r>
      <w:r>
        <w:rPr>
          <w:spacing w:val="-10"/>
          <w:sz w:val="16"/>
        </w:rPr>
        <w:t> </w:t>
      </w:r>
      <w:r>
        <w:rPr>
          <w:spacing w:val="-6"/>
          <w:sz w:val="16"/>
        </w:rPr>
        <w:t>of</w:t>
      </w:r>
      <w:r>
        <w:rPr>
          <w:spacing w:val="-9"/>
          <w:sz w:val="16"/>
        </w:rPr>
        <w:t> </w:t>
      </w:r>
      <w:r>
        <w:rPr>
          <w:sz w:val="16"/>
        </w:rPr>
        <w:t>a</w:t>
      </w:r>
      <w:r>
        <w:rPr>
          <w:spacing w:val="-9"/>
          <w:sz w:val="16"/>
        </w:rPr>
        <w:t> </w:t>
      </w:r>
      <w:r>
        <w:rPr>
          <w:spacing w:val="-8"/>
          <w:sz w:val="16"/>
        </w:rPr>
        <w:t>rating </w:t>
      </w:r>
      <w:r>
        <w:rPr>
          <w:spacing w:val="-4"/>
          <w:sz w:val="16"/>
        </w:rPr>
        <w:t>by</w:t>
      </w:r>
      <w:r>
        <w:rPr>
          <w:spacing w:val="-13"/>
          <w:sz w:val="16"/>
        </w:rPr>
        <w:t> </w:t>
      </w:r>
      <w:r>
        <w:rPr>
          <w:spacing w:val="-7"/>
          <w:sz w:val="16"/>
        </w:rPr>
        <w:t>Fitch</w:t>
      </w:r>
      <w:r>
        <w:rPr>
          <w:spacing w:val="-13"/>
          <w:sz w:val="16"/>
        </w:rPr>
        <w:t> </w:t>
      </w:r>
      <w:r>
        <w:rPr>
          <w:spacing w:val="-7"/>
          <w:sz w:val="16"/>
        </w:rPr>
        <w:t>shall</w:t>
      </w:r>
      <w:r>
        <w:rPr>
          <w:spacing w:val="-9"/>
          <w:sz w:val="16"/>
        </w:rPr>
        <w:t> </w:t>
      </w:r>
      <w:r>
        <w:rPr>
          <w:spacing w:val="-7"/>
          <w:sz w:val="16"/>
        </w:rPr>
        <w:t>not</w:t>
      </w:r>
      <w:r>
        <w:rPr>
          <w:spacing w:val="-11"/>
          <w:sz w:val="16"/>
        </w:rPr>
        <w:t> </w:t>
      </w:r>
      <w:r>
        <w:rPr>
          <w:spacing w:val="-8"/>
          <w:sz w:val="16"/>
        </w:rPr>
        <w:t>constitute</w:t>
      </w:r>
      <w:r>
        <w:rPr>
          <w:spacing w:val="-13"/>
          <w:sz w:val="16"/>
        </w:rPr>
        <w:t> </w:t>
      </w:r>
      <w:r>
        <w:rPr>
          <w:sz w:val="16"/>
        </w:rPr>
        <w:t>a</w:t>
      </w:r>
      <w:r>
        <w:rPr>
          <w:spacing w:val="-9"/>
          <w:sz w:val="16"/>
        </w:rPr>
        <w:t> </w:t>
      </w:r>
      <w:r>
        <w:rPr>
          <w:spacing w:val="-8"/>
          <w:sz w:val="16"/>
        </w:rPr>
        <w:t>consent</w:t>
      </w:r>
      <w:r>
        <w:rPr>
          <w:spacing w:val="-9"/>
          <w:sz w:val="16"/>
        </w:rPr>
        <w:t> </w:t>
      </w:r>
      <w:r>
        <w:rPr>
          <w:spacing w:val="-4"/>
          <w:sz w:val="16"/>
        </w:rPr>
        <w:t>by</w:t>
      </w:r>
      <w:r>
        <w:rPr>
          <w:spacing w:val="-13"/>
          <w:sz w:val="16"/>
        </w:rPr>
        <w:t> </w:t>
      </w:r>
      <w:r>
        <w:rPr>
          <w:spacing w:val="-7"/>
          <w:sz w:val="16"/>
        </w:rPr>
        <w:t>Fitch </w:t>
      </w:r>
      <w:r>
        <w:rPr>
          <w:spacing w:val="-4"/>
          <w:sz w:val="16"/>
        </w:rPr>
        <w:t>to </w:t>
      </w:r>
      <w:r>
        <w:rPr>
          <w:spacing w:val="-6"/>
          <w:sz w:val="16"/>
        </w:rPr>
        <w:t>use </w:t>
      </w:r>
      <w:r>
        <w:rPr>
          <w:spacing w:val="-7"/>
          <w:sz w:val="16"/>
        </w:rPr>
        <w:t>its name </w:t>
      </w:r>
      <w:r>
        <w:rPr>
          <w:spacing w:val="-6"/>
          <w:sz w:val="16"/>
        </w:rPr>
        <w:t>as </w:t>
      </w:r>
      <w:r>
        <w:rPr>
          <w:spacing w:val="-4"/>
          <w:sz w:val="16"/>
        </w:rPr>
        <w:t>an </w:t>
      </w:r>
      <w:r>
        <w:rPr>
          <w:spacing w:val="-8"/>
          <w:sz w:val="16"/>
        </w:rPr>
        <w:t>expert </w:t>
      </w:r>
      <w:r>
        <w:rPr>
          <w:spacing w:val="-5"/>
          <w:sz w:val="16"/>
        </w:rPr>
        <w:t>in </w:t>
      </w:r>
      <w:r>
        <w:rPr>
          <w:spacing w:val="-8"/>
          <w:sz w:val="16"/>
        </w:rPr>
        <w:t>connection </w:t>
      </w:r>
      <w:r>
        <w:rPr>
          <w:spacing w:val="-7"/>
          <w:sz w:val="16"/>
        </w:rPr>
        <w:t>with </w:t>
      </w:r>
      <w:r>
        <w:rPr>
          <w:spacing w:val="-6"/>
          <w:sz w:val="16"/>
        </w:rPr>
        <w:t>any </w:t>
      </w:r>
      <w:r>
        <w:rPr>
          <w:spacing w:val="-9"/>
          <w:sz w:val="16"/>
        </w:rPr>
        <w:t>registration </w:t>
      </w:r>
      <w:r>
        <w:rPr>
          <w:spacing w:val="-8"/>
          <w:sz w:val="16"/>
        </w:rPr>
        <w:t>statement </w:t>
      </w:r>
      <w:r>
        <w:rPr>
          <w:spacing w:val="-7"/>
          <w:sz w:val="16"/>
        </w:rPr>
        <w:t>filed under </w:t>
      </w:r>
      <w:r>
        <w:rPr>
          <w:spacing w:val="-6"/>
          <w:sz w:val="16"/>
        </w:rPr>
        <w:t>the </w:t>
      </w:r>
      <w:r>
        <w:rPr>
          <w:spacing w:val="-8"/>
          <w:sz w:val="16"/>
        </w:rPr>
        <w:t>United States securities </w:t>
      </w:r>
      <w:r>
        <w:rPr>
          <w:spacing w:val="-7"/>
          <w:sz w:val="16"/>
        </w:rPr>
        <w:t>laws, </w:t>
      </w:r>
      <w:r>
        <w:rPr>
          <w:spacing w:val="-8"/>
          <w:sz w:val="16"/>
        </w:rPr>
        <w:t>the Financial</w:t>
      </w:r>
      <w:r>
        <w:rPr>
          <w:spacing w:val="-13"/>
          <w:sz w:val="16"/>
        </w:rPr>
        <w:t> </w:t>
      </w:r>
      <w:r>
        <w:rPr>
          <w:spacing w:val="-8"/>
          <w:sz w:val="16"/>
        </w:rPr>
        <w:t>Services</w:t>
      </w:r>
      <w:r>
        <w:rPr>
          <w:spacing w:val="-10"/>
          <w:sz w:val="16"/>
        </w:rPr>
        <w:t> </w:t>
      </w:r>
      <w:r>
        <w:rPr>
          <w:spacing w:val="-7"/>
          <w:sz w:val="16"/>
        </w:rPr>
        <w:t>and</w:t>
      </w:r>
      <w:r>
        <w:rPr>
          <w:spacing w:val="-8"/>
          <w:sz w:val="16"/>
        </w:rPr>
        <w:t> </w:t>
      </w:r>
      <w:r>
        <w:rPr>
          <w:spacing w:val="-9"/>
          <w:sz w:val="16"/>
        </w:rPr>
        <w:t>Markets </w:t>
      </w:r>
      <w:r>
        <w:rPr>
          <w:spacing w:val="-6"/>
          <w:sz w:val="16"/>
        </w:rPr>
        <w:t>Act</w:t>
      </w:r>
      <w:r>
        <w:rPr>
          <w:spacing w:val="-9"/>
          <w:sz w:val="16"/>
        </w:rPr>
        <w:t> </w:t>
      </w:r>
      <w:r>
        <w:rPr>
          <w:spacing w:val="-6"/>
          <w:sz w:val="16"/>
        </w:rPr>
        <w:t>of</w:t>
      </w:r>
      <w:r>
        <w:rPr>
          <w:spacing w:val="-12"/>
          <w:sz w:val="16"/>
        </w:rPr>
        <w:t> </w:t>
      </w:r>
      <w:r>
        <w:rPr>
          <w:spacing w:val="-6"/>
          <w:sz w:val="16"/>
        </w:rPr>
        <w:t>2000</w:t>
      </w:r>
      <w:r>
        <w:rPr>
          <w:spacing w:val="-10"/>
          <w:sz w:val="16"/>
        </w:rPr>
        <w:t> </w:t>
      </w:r>
      <w:r>
        <w:rPr>
          <w:spacing w:val="-6"/>
          <w:sz w:val="16"/>
        </w:rPr>
        <w:t>of</w:t>
      </w:r>
      <w:r>
        <w:rPr>
          <w:spacing w:val="-12"/>
          <w:sz w:val="16"/>
        </w:rPr>
        <w:t> </w:t>
      </w:r>
      <w:r>
        <w:rPr>
          <w:spacing w:val="-5"/>
          <w:sz w:val="16"/>
        </w:rPr>
        <w:t>the</w:t>
      </w:r>
      <w:r>
        <w:rPr>
          <w:spacing w:val="-11"/>
          <w:sz w:val="16"/>
        </w:rPr>
        <w:t> </w:t>
      </w:r>
      <w:r>
        <w:rPr>
          <w:spacing w:val="-8"/>
          <w:sz w:val="16"/>
        </w:rPr>
        <w:t>United</w:t>
      </w:r>
      <w:r>
        <w:rPr>
          <w:spacing w:val="-13"/>
          <w:sz w:val="16"/>
        </w:rPr>
        <w:t> </w:t>
      </w:r>
      <w:r>
        <w:rPr>
          <w:spacing w:val="-8"/>
          <w:sz w:val="16"/>
        </w:rPr>
        <w:t>Kingdom,</w:t>
      </w:r>
      <w:r>
        <w:rPr>
          <w:spacing w:val="-12"/>
          <w:sz w:val="16"/>
        </w:rPr>
        <w:t> </w:t>
      </w:r>
      <w:r>
        <w:rPr>
          <w:spacing w:val="-4"/>
          <w:sz w:val="16"/>
        </w:rPr>
        <w:t>or</w:t>
      </w:r>
      <w:r>
        <w:rPr>
          <w:spacing w:val="-14"/>
          <w:sz w:val="16"/>
        </w:rPr>
        <w:t> </w:t>
      </w:r>
      <w:r>
        <w:rPr>
          <w:spacing w:val="-5"/>
          <w:sz w:val="16"/>
        </w:rPr>
        <w:t>the</w:t>
      </w:r>
      <w:r>
        <w:rPr>
          <w:spacing w:val="-14"/>
          <w:sz w:val="16"/>
        </w:rPr>
        <w:t> </w:t>
      </w:r>
      <w:r>
        <w:rPr>
          <w:spacing w:val="-8"/>
          <w:sz w:val="16"/>
        </w:rPr>
        <w:t>securities</w:t>
      </w:r>
      <w:r>
        <w:rPr>
          <w:spacing w:val="-11"/>
          <w:sz w:val="16"/>
        </w:rPr>
        <w:t> </w:t>
      </w:r>
      <w:r>
        <w:rPr>
          <w:spacing w:val="-7"/>
          <w:sz w:val="16"/>
        </w:rPr>
        <w:t>laws</w:t>
      </w:r>
      <w:r>
        <w:rPr>
          <w:spacing w:val="-9"/>
          <w:sz w:val="16"/>
        </w:rPr>
        <w:t> </w:t>
      </w:r>
      <w:r>
        <w:rPr>
          <w:spacing w:val="-6"/>
          <w:sz w:val="16"/>
        </w:rPr>
        <w:t>of</w:t>
      </w:r>
      <w:r>
        <w:rPr>
          <w:spacing w:val="-10"/>
          <w:sz w:val="16"/>
        </w:rPr>
        <w:t> </w:t>
      </w:r>
      <w:r>
        <w:rPr>
          <w:spacing w:val="-7"/>
          <w:sz w:val="16"/>
        </w:rPr>
        <w:t>any</w:t>
      </w:r>
      <w:r>
        <w:rPr>
          <w:spacing w:val="-11"/>
          <w:sz w:val="16"/>
        </w:rPr>
        <w:t> </w:t>
      </w:r>
      <w:r>
        <w:rPr>
          <w:spacing w:val="-8"/>
          <w:sz w:val="16"/>
        </w:rPr>
        <w:t>particular</w:t>
      </w:r>
      <w:r>
        <w:rPr>
          <w:spacing w:val="-14"/>
          <w:sz w:val="16"/>
        </w:rPr>
        <w:t> </w:t>
      </w:r>
      <w:r>
        <w:rPr>
          <w:spacing w:val="-8"/>
          <w:sz w:val="16"/>
        </w:rPr>
        <w:t>jurisdiction.</w:t>
      </w:r>
      <w:r>
        <w:rPr>
          <w:spacing w:val="-10"/>
          <w:sz w:val="16"/>
        </w:rPr>
        <w:t> </w:t>
      </w:r>
      <w:r>
        <w:rPr>
          <w:spacing w:val="-7"/>
          <w:sz w:val="16"/>
        </w:rPr>
        <w:t>Due</w:t>
      </w:r>
      <w:r>
        <w:rPr>
          <w:spacing w:val="-9"/>
          <w:sz w:val="16"/>
        </w:rPr>
        <w:t> </w:t>
      </w:r>
      <w:r>
        <w:rPr>
          <w:spacing w:val="-5"/>
          <w:sz w:val="16"/>
        </w:rPr>
        <w:t>to the </w:t>
      </w:r>
      <w:r>
        <w:rPr>
          <w:spacing w:val="-8"/>
          <w:sz w:val="16"/>
        </w:rPr>
        <w:t>relative efficiency </w:t>
      </w:r>
      <w:r>
        <w:rPr>
          <w:spacing w:val="-4"/>
          <w:sz w:val="16"/>
        </w:rPr>
        <w:t>of </w:t>
      </w:r>
      <w:r>
        <w:rPr>
          <w:spacing w:val="-9"/>
          <w:sz w:val="16"/>
        </w:rPr>
        <w:t>electronic </w:t>
      </w:r>
      <w:r>
        <w:rPr>
          <w:spacing w:val="-8"/>
          <w:sz w:val="16"/>
        </w:rPr>
        <w:t>publishing </w:t>
      </w:r>
      <w:r>
        <w:rPr>
          <w:spacing w:val="-6"/>
          <w:sz w:val="16"/>
        </w:rPr>
        <w:t>and </w:t>
      </w:r>
      <w:r>
        <w:rPr>
          <w:spacing w:val="-9"/>
          <w:sz w:val="16"/>
        </w:rPr>
        <w:t>distribution, </w:t>
      </w:r>
      <w:r>
        <w:rPr>
          <w:spacing w:val="-7"/>
          <w:sz w:val="16"/>
        </w:rPr>
        <w:t>Fitch </w:t>
      </w:r>
      <w:r>
        <w:rPr>
          <w:spacing w:val="-8"/>
          <w:sz w:val="16"/>
        </w:rPr>
        <w:t>research </w:t>
      </w:r>
      <w:r>
        <w:rPr>
          <w:spacing w:val="-5"/>
          <w:sz w:val="16"/>
        </w:rPr>
        <w:t>may </w:t>
      </w:r>
      <w:r>
        <w:rPr>
          <w:spacing w:val="-4"/>
          <w:sz w:val="16"/>
        </w:rPr>
        <w:t>be </w:t>
      </w:r>
      <w:r>
        <w:rPr>
          <w:spacing w:val="-8"/>
          <w:sz w:val="16"/>
        </w:rPr>
        <w:t>available </w:t>
      </w:r>
      <w:r>
        <w:rPr>
          <w:spacing w:val="-4"/>
          <w:sz w:val="16"/>
        </w:rPr>
        <w:t>to </w:t>
      </w:r>
      <w:r>
        <w:rPr>
          <w:spacing w:val="-9"/>
          <w:sz w:val="16"/>
        </w:rPr>
        <w:t>electronic subscribers </w:t>
      </w:r>
      <w:r>
        <w:rPr>
          <w:spacing w:val="-4"/>
          <w:sz w:val="16"/>
        </w:rPr>
        <w:t>up to </w:t>
      </w:r>
      <w:r>
        <w:rPr>
          <w:spacing w:val="-7"/>
          <w:sz w:val="16"/>
        </w:rPr>
        <w:t>three</w:t>
      </w:r>
      <w:r>
        <w:rPr>
          <w:spacing w:val="-17"/>
          <w:sz w:val="16"/>
        </w:rPr>
        <w:t> </w:t>
      </w:r>
      <w:r>
        <w:rPr>
          <w:spacing w:val="-7"/>
          <w:sz w:val="16"/>
        </w:rPr>
        <w:t>days</w:t>
      </w:r>
      <w:r>
        <w:rPr>
          <w:spacing w:val="-15"/>
          <w:sz w:val="16"/>
        </w:rPr>
        <w:t> </w:t>
      </w:r>
      <w:r>
        <w:rPr>
          <w:spacing w:val="-8"/>
          <w:sz w:val="16"/>
        </w:rPr>
        <w:t>earlier</w:t>
      </w:r>
      <w:r>
        <w:rPr>
          <w:spacing w:val="-17"/>
          <w:sz w:val="16"/>
        </w:rPr>
        <w:t> </w:t>
      </w:r>
      <w:r>
        <w:rPr>
          <w:spacing w:val="-7"/>
          <w:sz w:val="16"/>
        </w:rPr>
        <w:t>than</w:t>
      </w:r>
      <w:r>
        <w:rPr>
          <w:spacing w:val="-19"/>
          <w:sz w:val="16"/>
        </w:rPr>
        <w:t> </w:t>
      </w:r>
      <w:r>
        <w:rPr>
          <w:spacing w:val="-4"/>
          <w:sz w:val="16"/>
        </w:rPr>
        <w:t>to</w:t>
      </w:r>
      <w:r>
        <w:rPr>
          <w:spacing w:val="-17"/>
          <w:sz w:val="16"/>
        </w:rPr>
        <w:t> </w:t>
      </w:r>
      <w:r>
        <w:rPr>
          <w:spacing w:val="-8"/>
          <w:sz w:val="16"/>
        </w:rPr>
        <w:t>print</w:t>
      </w:r>
      <w:r>
        <w:rPr>
          <w:spacing w:val="-18"/>
          <w:sz w:val="16"/>
        </w:rPr>
        <w:t> </w:t>
      </w:r>
      <w:r>
        <w:rPr>
          <w:spacing w:val="-8"/>
          <w:sz w:val="16"/>
        </w:rPr>
        <w:t>subscribers.</w:t>
      </w:r>
    </w:p>
    <w:p>
      <w:pPr>
        <w:spacing w:line="208" w:lineRule="auto" w:before="59"/>
        <w:ind w:left="3463" w:right="906" w:firstLine="0"/>
        <w:jc w:val="both"/>
        <w:rPr>
          <w:sz w:val="16"/>
        </w:rPr>
      </w:pPr>
      <w:r>
        <w:rPr>
          <w:spacing w:val="-6"/>
          <w:sz w:val="16"/>
        </w:rPr>
        <w:t>For </w:t>
      </w:r>
      <w:r>
        <w:rPr>
          <w:spacing w:val="-8"/>
          <w:sz w:val="16"/>
        </w:rPr>
        <w:t>Australia, </w:t>
      </w:r>
      <w:r>
        <w:rPr>
          <w:spacing w:val="-6"/>
          <w:sz w:val="16"/>
        </w:rPr>
        <w:t>New </w:t>
      </w:r>
      <w:r>
        <w:rPr>
          <w:spacing w:val="-8"/>
          <w:sz w:val="16"/>
        </w:rPr>
        <w:t>Zealand, Taiwan </w:t>
      </w:r>
      <w:r>
        <w:rPr>
          <w:spacing w:val="-6"/>
          <w:sz w:val="16"/>
        </w:rPr>
        <w:t>and </w:t>
      </w:r>
      <w:r>
        <w:rPr>
          <w:spacing w:val="-7"/>
          <w:sz w:val="16"/>
        </w:rPr>
        <w:t>South Korea </w:t>
      </w:r>
      <w:r>
        <w:rPr>
          <w:spacing w:val="-8"/>
          <w:sz w:val="16"/>
        </w:rPr>
        <w:t>only: Fitch Australia </w:t>
      </w:r>
      <w:r>
        <w:rPr>
          <w:spacing w:val="-5"/>
          <w:sz w:val="16"/>
        </w:rPr>
        <w:t>Pty </w:t>
      </w:r>
      <w:r>
        <w:rPr>
          <w:spacing w:val="-6"/>
          <w:sz w:val="16"/>
        </w:rPr>
        <w:t>Ltd </w:t>
      </w:r>
      <w:r>
        <w:rPr>
          <w:spacing w:val="-8"/>
          <w:sz w:val="16"/>
        </w:rPr>
        <w:t>holds </w:t>
      </w:r>
      <w:r>
        <w:rPr>
          <w:spacing w:val="-4"/>
          <w:sz w:val="16"/>
        </w:rPr>
        <w:t>an </w:t>
      </w:r>
      <w:r>
        <w:rPr>
          <w:spacing w:val="-8"/>
          <w:sz w:val="16"/>
        </w:rPr>
        <w:t>Australian financial services license </w:t>
      </w:r>
      <w:r>
        <w:rPr>
          <w:spacing w:val="-7"/>
          <w:sz w:val="16"/>
        </w:rPr>
        <w:t>(AFS </w:t>
      </w:r>
      <w:r>
        <w:rPr>
          <w:spacing w:val="-8"/>
          <w:sz w:val="16"/>
        </w:rPr>
        <w:t>license </w:t>
      </w:r>
      <w:r>
        <w:rPr>
          <w:spacing w:val="-7"/>
          <w:sz w:val="16"/>
        </w:rPr>
        <w:t>no. </w:t>
      </w:r>
      <w:r>
        <w:rPr>
          <w:spacing w:val="-8"/>
          <w:sz w:val="16"/>
        </w:rPr>
        <w:t>337123) </w:t>
      </w:r>
      <w:r>
        <w:rPr>
          <w:spacing w:val="-7"/>
          <w:sz w:val="16"/>
        </w:rPr>
        <w:t>which </w:t>
      </w:r>
      <w:r>
        <w:rPr>
          <w:spacing w:val="-9"/>
          <w:sz w:val="16"/>
        </w:rPr>
        <w:t>authorizes </w:t>
      </w:r>
      <w:r>
        <w:rPr>
          <w:spacing w:val="-5"/>
          <w:sz w:val="16"/>
        </w:rPr>
        <w:t>it </w:t>
      </w:r>
      <w:r>
        <w:rPr>
          <w:spacing w:val="-4"/>
          <w:sz w:val="16"/>
        </w:rPr>
        <w:t>to </w:t>
      </w:r>
      <w:r>
        <w:rPr>
          <w:spacing w:val="-8"/>
          <w:sz w:val="16"/>
        </w:rPr>
        <w:t>provide credit ratings </w:t>
      </w:r>
      <w:r>
        <w:rPr>
          <w:spacing w:val="-4"/>
          <w:sz w:val="16"/>
        </w:rPr>
        <w:t>to </w:t>
      </w:r>
      <w:r>
        <w:rPr>
          <w:spacing w:val="-8"/>
          <w:sz w:val="16"/>
        </w:rPr>
        <w:t>wholesale clients only. Credit </w:t>
      </w:r>
      <w:r>
        <w:rPr>
          <w:spacing w:val="-10"/>
          <w:sz w:val="16"/>
        </w:rPr>
        <w:t>ratings </w:t>
      </w:r>
      <w:r>
        <w:rPr>
          <w:spacing w:val="-8"/>
          <w:sz w:val="16"/>
        </w:rPr>
        <w:t>information published </w:t>
      </w:r>
      <w:r>
        <w:rPr>
          <w:spacing w:val="-4"/>
          <w:sz w:val="16"/>
        </w:rPr>
        <w:t>by </w:t>
      </w:r>
      <w:r>
        <w:rPr>
          <w:spacing w:val="-7"/>
          <w:sz w:val="16"/>
        </w:rPr>
        <w:t>Fitch </w:t>
      </w:r>
      <w:r>
        <w:rPr>
          <w:spacing w:val="-5"/>
          <w:sz w:val="16"/>
        </w:rPr>
        <w:t>is </w:t>
      </w:r>
      <w:r>
        <w:rPr>
          <w:spacing w:val="-7"/>
          <w:sz w:val="16"/>
        </w:rPr>
        <w:t>not </w:t>
      </w:r>
      <w:r>
        <w:rPr>
          <w:spacing w:val="-8"/>
          <w:sz w:val="16"/>
        </w:rPr>
        <w:t>intended </w:t>
      </w:r>
      <w:r>
        <w:rPr>
          <w:spacing w:val="-4"/>
          <w:sz w:val="16"/>
        </w:rPr>
        <w:t>to </w:t>
      </w:r>
      <w:r>
        <w:rPr>
          <w:spacing w:val="-6"/>
          <w:sz w:val="16"/>
        </w:rPr>
        <w:t>be </w:t>
      </w:r>
      <w:r>
        <w:rPr>
          <w:spacing w:val="-7"/>
          <w:sz w:val="16"/>
        </w:rPr>
        <w:t>used </w:t>
      </w:r>
      <w:r>
        <w:rPr>
          <w:spacing w:val="-4"/>
          <w:sz w:val="16"/>
        </w:rPr>
        <w:t>by </w:t>
      </w:r>
      <w:r>
        <w:rPr>
          <w:spacing w:val="-8"/>
          <w:sz w:val="16"/>
        </w:rPr>
        <w:t>persons </w:t>
      </w:r>
      <w:r>
        <w:rPr>
          <w:spacing w:val="-7"/>
          <w:sz w:val="16"/>
        </w:rPr>
        <w:t>who are </w:t>
      </w:r>
      <w:r>
        <w:rPr>
          <w:spacing w:val="-8"/>
          <w:sz w:val="16"/>
        </w:rPr>
        <w:t>retail clients within </w:t>
      </w:r>
      <w:r>
        <w:rPr>
          <w:spacing w:val="-5"/>
          <w:sz w:val="16"/>
        </w:rPr>
        <w:t>the </w:t>
      </w:r>
      <w:r>
        <w:rPr>
          <w:spacing w:val="-8"/>
          <w:sz w:val="16"/>
        </w:rPr>
        <w:t>meaning </w:t>
      </w:r>
      <w:r>
        <w:rPr>
          <w:spacing w:val="-6"/>
          <w:sz w:val="16"/>
        </w:rPr>
        <w:t>of </w:t>
      </w:r>
      <w:r>
        <w:rPr>
          <w:spacing w:val="-9"/>
          <w:sz w:val="16"/>
        </w:rPr>
        <w:t>the </w:t>
      </w:r>
      <w:r>
        <w:rPr>
          <w:spacing w:val="-8"/>
          <w:sz w:val="16"/>
        </w:rPr>
        <w:t>Corporations </w:t>
      </w:r>
      <w:r>
        <w:rPr>
          <w:spacing w:val="-6"/>
          <w:sz w:val="16"/>
        </w:rPr>
        <w:t>Act </w:t>
      </w:r>
      <w:r>
        <w:rPr>
          <w:spacing w:val="-9"/>
          <w:sz w:val="16"/>
        </w:rPr>
        <w:t>2001.</w:t>
      </w:r>
    </w:p>
    <w:sectPr>
      <w:pgSz w:w="12240" w:h="15840"/>
      <w:pgMar w:header="0" w:footer="793" w:top="1240" w:bottom="9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rebuchet MS">
    <w:altName w:val="Trebuchet MS"/>
    <w:charset w:val="0"/>
    <w:family w:val="swiss"/>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2312" from="0pt,737.880005pt" to="611.951pt,737.880005pt" stroked="true" strokeweight=".72pt" strokecolor="#5a6469">
          <v:stroke dashstyle="solid"/>
          <w10:wrap type="none"/>
        </v:line>
      </w:pict>
    </w:r>
    <w:r>
      <w:rPr/>
      <w:pict>
        <v:shapetype id="_x0000_t202" o:spt="202" coordsize="21600,21600" path="m,l,21600r21600,l21600,xe">
          <v:stroke joinstyle="miter"/>
          <v:path gradientshapeok="t" o:connecttype="rect"/>
        </v:shapetype>
        <v:shape style="position:absolute;margin-left:25.879999pt;margin-top:743.463501pt;width:96.35pt;height:13.15pt;mso-position-horizontal-relative:page;mso-position-vertical-relative:page;z-index:-22288" type="#_x0000_t202" filled="false" stroked="false">
          <v:textbox inset="0,0,0,0">
            <w:txbxContent>
              <w:p>
                <w:pPr>
                  <w:spacing w:before="12"/>
                  <w:ind w:left="20" w:right="0" w:firstLine="0"/>
                  <w:jc w:val="left"/>
                  <w:rPr>
                    <w:sz w:val="20"/>
                  </w:rPr>
                </w:pPr>
                <w:hyperlink r:id="rId1">
                  <w:r>
                    <w:rPr>
                      <w:color w:val="5A6469"/>
                      <w:sz w:val="20"/>
                    </w:rPr>
                    <w:t>www.fitchratings.com</w:t>
                  </w:r>
                </w:hyperlink>
              </w:p>
            </w:txbxContent>
          </v:textbox>
          <w10:wrap type="none"/>
        </v:shape>
      </w:pict>
    </w:r>
    <w:r>
      <w:rPr/>
      <w:pict>
        <v:shape style="position:absolute;margin-left:507.685028pt;margin-top:743.463501pt;width:55.75pt;height:13.15pt;mso-position-horizontal-relative:page;mso-position-vertical-relative:page;z-index:-22264" type="#_x0000_t202" filled="false" stroked="false">
          <v:textbox inset="0,0,0,0">
            <w:txbxContent>
              <w:p>
                <w:pPr>
                  <w:spacing w:before="12"/>
                  <w:ind w:left="20" w:right="0" w:firstLine="0"/>
                  <w:jc w:val="left"/>
                  <w:rPr>
                    <w:sz w:val="20"/>
                  </w:rPr>
                </w:pPr>
                <w:r>
                  <w:rPr>
                    <w:color w:val="5A6469"/>
                    <w:sz w:val="20"/>
                  </w:rPr>
                  <w:t>July 2, 2018</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2192" from="0pt,738.719971pt" to="611.951pt,738.719971pt" stroked="true" strokeweight=".72pt" strokecolor="#5a6469">
          <v:stroke dashstyle="solid"/>
          <w10:wrap type="none"/>
        </v:line>
      </w:pict>
    </w:r>
    <w:r>
      <w:rPr/>
      <w:pict>
        <v:shape style="position:absolute;margin-left:25.87196pt;margin-top:740.161621pt;width:160.8pt;height:22.3pt;mso-position-horizontal-relative:page;mso-position-vertical-relative:page;z-index:-22168" type="#_x0000_t202" filled="false" stroked="false">
          <v:textbox inset="0,0,0,0">
            <w:txbxContent>
              <w:p>
                <w:pPr>
                  <w:spacing w:line="295" w:lineRule="auto" w:before="15"/>
                  <w:ind w:left="20" w:right="1" w:firstLine="0"/>
                  <w:jc w:val="left"/>
                  <w:rPr>
                    <w:sz w:val="16"/>
                  </w:rPr>
                </w:pPr>
                <w:r>
                  <w:rPr>
                    <w:color w:val="5A6469"/>
                    <w:sz w:val="16"/>
                  </w:rPr>
                  <w:t>Mesquite Independent School District, Texas July 2, 2018</w:t>
                </w:r>
              </w:p>
            </w:txbxContent>
          </v:textbox>
          <w10:wrap type="none"/>
        </v:shape>
      </w:pict>
    </w:r>
    <w:r>
      <w:rPr/>
      <w:pict>
        <v:shape style="position:absolute;margin-left:556.11499pt;margin-top:740.161621pt;width:8.5pt;height:11pt;mso-position-horizontal-relative:page;mso-position-vertical-relative:page;z-index:-22144" type="#_x0000_t202" filled="false" stroked="false">
          <v:textbox inset="0,0,0,0">
            <w:txbxContent>
              <w:p>
                <w:pPr>
                  <w:spacing w:before="15"/>
                  <w:ind w:left="40" w:right="0" w:firstLine="0"/>
                  <w:jc w:val="left"/>
                  <w:rPr>
                    <w:sz w:val="16"/>
                  </w:rPr>
                </w:pPr>
                <w:r>
                  <w:rPr/>
                  <w:fldChar w:fldCharType="begin"/>
                </w:r>
                <w:r>
                  <w:rPr>
                    <w:color w:val="5A6469"/>
                    <w:w w:val="100"/>
                    <w:sz w:val="16"/>
                  </w:rPr>
                  <w:instrText> PAGE </w:instrText>
                </w:r>
                <w:r>
                  <w:rPr/>
                  <w:fldChar w:fldCharType="separate"/>
                </w:r>
                <w:r>
                  <w:rPr/>
                  <w:t>2</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000022pt;margin-top:0pt;width:612pt;height:62.65pt;mso-position-horizontal-relative:page;mso-position-vertical-relative:page;z-index:-22240" coordorigin="0,0" coordsize="12240,1253">
          <v:shape style="position:absolute;left:0;top:0;width:12240;height:1253" type="#_x0000_t75" alt="BLANK BANNER1" stroked="false">
            <v:imagedata r:id="rId1" o:title=""/>
          </v:shape>
          <v:line style="position:absolute" from="0,1210" to="12240,1210" stroked="true" strokeweight="3.8pt" strokecolor="#5a6469">
            <v:stroke dashstyle="solid"/>
          </v:line>
          <w10:wrap type="none"/>
        </v:group>
      </w:pict>
    </w:r>
    <w:r>
      <w:rPr/>
      <w:pict>
        <v:shape style="position:absolute;margin-left:392.23999pt;margin-top:17.593437pt;width:171.2pt;height:28.85pt;mso-position-horizontal-relative:page;mso-position-vertical-relative:page;z-index:-22216" type="#_x0000_t202" filled="false" stroked="false">
          <v:textbox inset="0,0,0,0">
            <w:txbxContent>
              <w:p>
                <w:pPr>
                  <w:spacing w:before="4"/>
                  <w:ind w:left="20" w:right="0" w:firstLine="0"/>
                  <w:jc w:val="left"/>
                  <w:rPr>
                    <w:b/>
                    <w:sz w:val="48"/>
                  </w:rPr>
                </w:pPr>
                <w:r>
                  <w:rPr>
                    <w:b/>
                    <w:color w:val="FFFFFF"/>
                    <w:sz w:val="48"/>
                  </w:rPr>
                  <w:t>Public Finance</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18"/>
      <w:szCs w:val="18"/>
      <w:lang w:val="en-us" w:eastAsia="en-us" w:bidi="en-us"/>
    </w:rPr>
  </w:style>
  <w:style w:styleId="Heading1" w:type="paragraph">
    <w:name w:val="Heading 1"/>
    <w:basedOn w:val="Normal"/>
    <w:uiPriority w:val="1"/>
    <w:qFormat/>
    <w:pPr>
      <w:ind w:left="141"/>
      <w:outlineLvl w:val="1"/>
    </w:pPr>
    <w:rPr>
      <w:rFonts w:ascii="Arial" w:hAnsi="Arial" w:eastAsia="Arial" w:cs="Arial"/>
      <w:b/>
      <w:bCs/>
      <w:sz w:val="24"/>
      <w:szCs w:val="24"/>
      <w:lang w:val="en-us" w:eastAsia="en-us" w:bidi="en-us"/>
    </w:rPr>
  </w:style>
  <w:style w:styleId="Heading2" w:type="paragraph">
    <w:name w:val="Heading 2"/>
    <w:basedOn w:val="Normal"/>
    <w:uiPriority w:val="1"/>
    <w:qFormat/>
    <w:pPr>
      <w:ind w:left="3686"/>
      <w:jc w:val="both"/>
      <w:outlineLvl w:val="2"/>
    </w:pPr>
    <w:rPr>
      <w:rFonts w:ascii="Arial" w:hAnsi="Arial" w:eastAsia="Arial" w:cs="Arial"/>
      <w:b/>
      <w:bCs/>
      <w:sz w:val="22"/>
      <w:szCs w:val="22"/>
      <w:lang w:val="en-us" w:eastAsia="en-us" w:bidi="en-us"/>
    </w:rPr>
  </w:style>
  <w:style w:styleId="Heading3" w:type="paragraph">
    <w:name w:val="Heading 3"/>
    <w:basedOn w:val="Normal"/>
    <w:uiPriority w:val="1"/>
    <w:qFormat/>
    <w:pPr>
      <w:ind w:left="141"/>
      <w:outlineLvl w:val="3"/>
    </w:pPr>
    <w:rPr>
      <w:rFonts w:ascii="Arial" w:hAnsi="Arial" w:eastAsia="Arial" w:cs="Arial"/>
      <w:b/>
      <w:bCs/>
      <w:sz w:val="18"/>
      <w:szCs w:val="18"/>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spacing w:before="10"/>
      <w:jc w:val="right"/>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mailto:emmanuelle.lawrence@fitchratings.com" TargetMode="External"/><Relationship Id="rId8" Type="http://schemas.openxmlformats.org/officeDocument/2006/relationships/hyperlink" Target="mailto:rebecca.moses@fitchratings.com" TargetMode="External"/><Relationship Id="rId9" Type="http://schemas.openxmlformats.org/officeDocument/2006/relationships/header" Target="header1.xml"/><Relationship Id="rId10" Type="http://schemas.openxmlformats.org/officeDocument/2006/relationships/footer" Target="footer2.xml"/><Relationship Id="rId11" Type="http://schemas.openxmlformats.org/officeDocument/2006/relationships/hyperlink" Target="https://www.fitchratings.com/site/pr/10035298" TargetMode="External"/><Relationship Id="rId12" Type="http://schemas.openxmlformats.org/officeDocument/2006/relationships/hyperlink" Target="http://www.fitchratings.com/creditdesk/reports/report_frame.cfm?rpt_id=919253" TargetMode="External"/><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hyperlink" Target="https://www.fitchratings.com/creditdesk/public/ratings_defintions/index.cfm?rd_file=intro%22%20%5Cl%20%22lmt_usage" TargetMode="External"/><Relationship Id="rId16" Type="http://schemas.openxmlformats.org/officeDocument/2006/relationships/hyperlink" Target="http://www.fitchrating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fitchrating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Emmanuelle</dc:creator>
  <dc:title>Structured Finance</dc:title>
  <dcterms:created xsi:type="dcterms:W3CDTF">2019-06-03T15:49:09Z</dcterms:created>
  <dcterms:modified xsi:type="dcterms:W3CDTF">2019-06-03T15:49:09Z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2018-07-02T00:00:00Z</vt:filetime>
  </property>
  <property fmtid="{D5CDD505-2E9C-101B-9397-08002B2CF9AE}" pid="3" name="Creator">
    <vt:lpwstr>Acrobat PDFMaker 11 for Word</vt:lpwstr>
  </property>
  <property fmtid="{D5CDD505-2E9C-101B-9397-08002B2CF9AE}" pid="4" name="LastSaved">
    <vt:filetime>2019-06-03T00:00:00Z</vt:filetime>
  </property>
</Properties>
</file>