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8FBCD" w14:textId="77777777" w:rsidR="00395E5B" w:rsidRDefault="00395E5B" w:rsidP="00395E5B">
      <w:pPr>
        <w:jc w:val="center"/>
      </w:pPr>
      <w:r>
        <w:t xml:space="preserve">Circle Time </w:t>
      </w:r>
      <w:r w:rsidR="00774910">
        <w:t>A</w:t>
      </w:r>
      <w:bookmarkStart w:id="0" w:name="_GoBack"/>
      <w:bookmarkEnd w:id="0"/>
      <w:r w:rsidR="00774910">
        <w:t xml:space="preserve">rt </w:t>
      </w:r>
      <w:r w:rsidR="008E7563">
        <w:t>Respect Lesson</w:t>
      </w:r>
    </w:p>
    <w:p w14:paraId="51D0BAF1" w14:textId="77777777" w:rsidR="00395E5B" w:rsidRDefault="00395E5B" w:rsidP="00395E5B">
      <w:pPr>
        <w:jc w:val="center"/>
      </w:pPr>
    </w:p>
    <w:p w14:paraId="4FA096BA" w14:textId="77777777" w:rsidR="00395E5B" w:rsidRPr="00543177" w:rsidRDefault="00395E5B" w:rsidP="00395E5B">
      <w:pPr>
        <w:pStyle w:val="ListParagraph"/>
        <w:numPr>
          <w:ilvl w:val="0"/>
          <w:numId w:val="1"/>
        </w:numPr>
        <w:rPr>
          <w:rFonts w:ascii="Arial" w:hAnsi="Arial" w:cs="Arial"/>
          <w:u w:val="single"/>
        </w:rPr>
      </w:pPr>
      <w:r>
        <w:rPr>
          <w:rFonts w:ascii="Arial" w:hAnsi="Arial" w:cs="Arial"/>
        </w:rPr>
        <w:t>Review Guidelines with students…</w:t>
      </w:r>
    </w:p>
    <w:p w14:paraId="5EC33BFA" w14:textId="77777777" w:rsidR="00395E5B" w:rsidRDefault="00395E5B" w:rsidP="00395E5B">
      <w:pPr>
        <w:pStyle w:val="ListParagraph"/>
        <w:rPr>
          <w:rFonts w:ascii="Arial" w:hAnsi="Arial" w:cs="Arial"/>
        </w:rPr>
      </w:pPr>
    </w:p>
    <w:p w14:paraId="02E0E0EE" w14:textId="77777777" w:rsidR="00395E5B" w:rsidRPr="00543177" w:rsidRDefault="00395E5B" w:rsidP="00395E5B">
      <w:pPr>
        <w:pStyle w:val="ListParagraph"/>
        <w:numPr>
          <w:ilvl w:val="0"/>
          <w:numId w:val="2"/>
        </w:numPr>
        <w:rPr>
          <w:rFonts w:ascii="Arial" w:hAnsi="Arial" w:cs="Arial"/>
          <w:u w:val="single"/>
        </w:rPr>
      </w:pPr>
      <w:r>
        <w:rPr>
          <w:rFonts w:ascii="Arial" w:hAnsi="Arial" w:cs="Arial"/>
        </w:rPr>
        <w:t xml:space="preserve"> Respect the talking piece.  Everyone listens and everyone has a turn so be mindful on the amount of time of your response.</w:t>
      </w:r>
    </w:p>
    <w:p w14:paraId="0821CEA6" w14:textId="77777777" w:rsidR="00395E5B" w:rsidRPr="00543177" w:rsidRDefault="00395E5B" w:rsidP="00395E5B">
      <w:pPr>
        <w:pStyle w:val="ListParagraph"/>
        <w:numPr>
          <w:ilvl w:val="0"/>
          <w:numId w:val="2"/>
        </w:numPr>
        <w:rPr>
          <w:rFonts w:ascii="Arial" w:hAnsi="Arial" w:cs="Arial"/>
          <w:u w:val="single"/>
        </w:rPr>
      </w:pPr>
      <w:r>
        <w:rPr>
          <w:rFonts w:ascii="Arial" w:hAnsi="Arial" w:cs="Arial"/>
        </w:rPr>
        <w:t>Be respectful with our words and actions</w:t>
      </w:r>
    </w:p>
    <w:p w14:paraId="14017506" w14:textId="77777777" w:rsidR="00395E5B" w:rsidRPr="00543177" w:rsidRDefault="00395E5B" w:rsidP="00395E5B">
      <w:pPr>
        <w:pStyle w:val="ListParagraph"/>
        <w:numPr>
          <w:ilvl w:val="0"/>
          <w:numId w:val="2"/>
        </w:numPr>
        <w:rPr>
          <w:rFonts w:ascii="Arial" w:hAnsi="Arial" w:cs="Arial"/>
          <w:u w:val="single"/>
        </w:rPr>
      </w:pPr>
      <w:r>
        <w:rPr>
          <w:rFonts w:ascii="Arial" w:hAnsi="Arial" w:cs="Arial"/>
        </w:rPr>
        <w:t>Have fun but don’t try and be funny, not a time for funny</w:t>
      </w:r>
    </w:p>
    <w:p w14:paraId="16F332ED" w14:textId="77777777" w:rsidR="00395E5B" w:rsidRPr="00543177" w:rsidRDefault="00395E5B" w:rsidP="00395E5B">
      <w:pPr>
        <w:pStyle w:val="ListParagraph"/>
        <w:numPr>
          <w:ilvl w:val="0"/>
          <w:numId w:val="2"/>
        </w:numPr>
        <w:rPr>
          <w:rFonts w:ascii="Arial" w:hAnsi="Arial" w:cs="Arial"/>
          <w:u w:val="single"/>
        </w:rPr>
      </w:pPr>
      <w:r>
        <w:rPr>
          <w:rFonts w:ascii="Arial" w:hAnsi="Arial" w:cs="Arial"/>
        </w:rPr>
        <w:t>Keep it 100…Keep it REAL</w:t>
      </w:r>
    </w:p>
    <w:p w14:paraId="0AF56AD5" w14:textId="77777777" w:rsidR="00395E5B" w:rsidRPr="005B783B" w:rsidRDefault="00395E5B" w:rsidP="00395E5B">
      <w:pPr>
        <w:pStyle w:val="ListParagraph"/>
        <w:numPr>
          <w:ilvl w:val="0"/>
          <w:numId w:val="2"/>
        </w:numPr>
        <w:rPr>
          <w:rFonts w:ascii="Arial" w:hAnsi="Arial" w:cs="Arial"/>
          <w:u w:val="single"/>
        </w:rPr>
      </w:pPr>
      <w:r>
        <w:rPr>
          <w:rFonts w:ascii="Arial" w:hAnsi="Arial" w:cs="Arial"/>
        </w:rPr>
        <w:t>Honor confidentiality.</w:t>
      </w:r>
    </w:p>
    <w:p w14:paraId="0410161B" w14:textId="77777777" w:rsidR="00395E5B" w:rsidRDefault="00395E5B" w:rsidP="00395E5B">
      <w:pPr>
        <w:rPr>
          <w:rFonts w:ascii="Arial" w:hAnsi="Arial" w:cs="Arial"/>
          <w:u w:val="single"/>
        </w:rPr>
      </w:pPr>
    </w:p>
    <w:p w14:paraId="782CC5C9" w14:textId="77777777" w:rsidR="00395E5B" w:rsidRDefault="00395E5B" w:rsidP="00395E5B">
      <w:pPr>
        <w:rPr>
          <w:rFonts w:ascii="Arial" w:hAnsi="Arial" w:cs="Arial"/>
          <w:u w:val="single"/>
        </w:rPr>
      </w:pPr>
    </w:p>
    <w:p w14:paraId="68ACAC83" w14:textId="77777777" w:rsidR="00395E5B" w:rsidRPr="00543177" w:rsidRDefault="00395E5B" w:rsidP="00395E5B">
      <w:pPr>
        <w:pStyle w:val="ListParagraph"/>
        <w:numPr>
          <w:ilvl w:val="0"/>
          <w:numId w:val="1"/>
        </w:numPr>
        <w:rPr>
          <w:rFonts w:ascii="Arial" w:hAnsi="Arial" w:cs="Arial"/>
          <w:u w:val="single"/>
        </w:rPr>
      </w:pPr>
      <w:r>
        <w:rPr>
          <w:rFonts w:ascii="Arial" w:hAnsi="Arial" w:cs="Arial"/>
        </w:rPr>
        <w:t>Have students give you a thumbs up/down on willingness to participate in the group.  If it is a Thumbs down ask which one do you not agree with?  How can we make it work for you?</w:t>
      </w:r>
    </w:p>
    <w:p w14:paraId="436302D1" w14:textId="77777777" w:rsidR="00395E5B" w:rsidRPr="00543177" w:rsidRDefault="00395E5B" w:rsidP="00395E5B">
      <w:pPr>
        <w:pStyle w:val="ListParagraph"/>
        <w:numPr>
          <w:ilvl w:val="0"/>
          <w:numId w:val="1"/>
        </w:numPr>
        <w:rPr>
          <w:rFonts w:ascii="Arial" w:hAnsi="Arial" w:cs="Arial"/>
          <w:u w:val="single"/>
        </w:rPr>
      </w:pPr>
      <w:r>
        <w:rPr>
          <w:rFonts w:ascii="Arial" w:hAnsi="Arial" w:cs="Arial"/>
        </w:rPr>
        <w:t>Redirect students that are not ready for alternative assignment.</w:t>
      </w:r>
    </w:p>
    <w:p w14:paraId="486FF4FA" w14:textId="77777777" w:rsidR="00395E5B" w:rsidRPr="00543177" w:rsidRDefault="00395E5B" w:rsidP="00395E5B">
      <w:pPr>
        <w:pStyle w:val="ListParagraph"/>
        <w:numPr>
          <w:ilvl w:val="0"/>
          <w:numId w:val="1"/>
        </w:numPr>
        <w:rPr>
          <w:rFonts w:ascii="Arial" w:hAnsi="Arial" w:cs="Arial"/>
          <w:u w:val="single"/>
        </w:rPr>
      </w:pPr>
      <w:r>
        <w:rPr>
          <w:rFonts w:ascii="Arial" w:hAnsi="Arial" w:cs="Arial"/>
        </w:rPr>
        <w:t>If you don’t want to share say no thank you and pass the piece to the next person.</w:t>
      </w:r>
    </w:p>
    <w:p w14:paraId="0A15E7A0" w14:textId="77777777" w:rsidR="00395E5B" w:rsidRPr="00543177" w:rsidRDefault="00395E5B" w:rsidP="00395E5B">
      <w:pPr>
        <w:pStyle w:val="ListParagraph"/>
        <w:numPr>
          <w:ilvl w:val="0"/>
          <w:numId w:val="1"/>
        </w:numPr>
        <w:rPr>
          <w:rFonts w:ascii="Arial" w:hAnsi="Arial" w:cs="Arial"/>
          <w:b/>
          <w:u w:val="single"/>
        </w:rPr>
      </w:pPr>
      <w:r w:rsidRPr="00543177">
        <w:rPr>
          <w:rFonts w:ascii="Arial" w:hAnsi="Arial" w:cs="Arial"/>
          <w:b/>
        </w:rPr>
        <w:t>Thank the students for sitting and participating</w:t>
      </w:r>
      <w:r>
        <w:rPr>
          <w:rFonts w:ascii="Arial" w:hAnsi="Arial" w:cs="Arial"/>
          <w:b/>
        </w:rPr>
        <w:t xml:space="preserve">.  Challenge them to participate in the circle.  </w:t>
      </w:r>
    </w:p>
    <w:p w14:paraId="05639F93" w14:textId="77777777" w:rsidR="00395E5B" w:rsidRPr="005B783B" w:rsidRDefault="00395E5B" w:rsidP="00395E5B">
      <w:pPr>
        <w:rPr>
          <w:rFonts w:ascii="Arial" w:hAnsi="Arial" w:cs="Arial"/>
          <w:u w:val="single"/>
        </w:rPr>
      </w:pPr>
    </w:p>
    <w:p w14:paraId="59ED7197" w14:textId="77777777" w:rsidR="00395E5B" w:rsidRPr="00543177" w:rsidRDefault="00395E5B" w:rsidP="00395E5B">
      <w:pPr>
        <w:pStyle w:val="ListParagraph"/>
        <w:numPr>
          <w:ilvl w:val="0"/>
          <w:numId w:val="1"/>
        </w:numPr>
        <w:rPr>
          <w:rFonts w:ascii="Arial" w:hAnsi="Arial" w:cs="Arial"/>
          <w:b/>
          <w:u w:val="single"/>
        </w:rPr>
      </w:pPr>
      <w:r>
        <w:rPr>
          <w:rFonts w:ascii="Arial" w:hAnsi="Arial" w:cs="Arial"/>
        </w:rPr>
        <w:t>Review the three ways to actively participate in circle</w:t>
      </w:r>
    </w:p>
    <w:p w14:paraId="052B87A0" w14:textId="77777777" w:rsidR="00395E5B" w:rsidRPr="00543177" w:rsidRDefault="00395E5B" w:rsidP="00395E5B">
      <w:pPr>
        <w:pStyle w:val="ListParagraph"/>
        <w:numPr>
          <w:ilvl w:val="0"/>
          <w:numId w:val="3"/>
        </w:numPr>
        <w:rPr>
          <w:rFonts w:ascii="Arial" w:hAnsi="Arial" w:cs="Arial"/>
          <w:b/>
          <w:u w:val="single"/>
        </w:rPr>
      </w:pPr>
      <w:r>
        <w:rPr>
          <w:rFonts w:ascii="Arial" w:hAnsi="Arial" w:cs="Arial"/>
        </w:rPr>
        <w:t>Be an active listener</w:t>
      </w:r>
    </w:p>
    <w:p w14:paraId="71FEA976" w14:textId="77777777" w:rsidR="00395E5B" w:rsidRPr="00543177" w:rsidRDefault="00395E5B" w:rsidP="00395E5B">
      <w:pPr>
        <w:pStyle w:val="ListParagraph"/>
        <w:numPr>
          <w:ilvl w:val="0"/>
          <w:numId w:val="3"/>
        </w:numPr>
        <w:rPr>
          <w:rFonts w:ascii="Arial" w:hAnsi="Arial" w:cs="Arial"/>
          <w:b/>
          <w:u w:val="single"/>
        </w:rPr>
      </w:pPr>
      <w:r>
        <w:rPr>
          <w:rFonts w:ascii="Arial" w:hAnsi="Arial" w:cs="Arial"/>
        </w:rPr>
        <w:t>Raise your hand for a clarifying question…NOT A COMMENT.</w:t>
      </w:r>
    </w:p>
    <w:p w14:paraId="51B817BD" w14:textId="77777777" w:rsidR="00395E5B" w:rsidRPr="00543177" w:rsidRDefault="00395E5B" w:rsidP="00395E5B">
      <w:pPr>
        <w:pStyle w:val="ListParagraph"/>
        <w:numPr>
          <w:ilvl w:val="0"/>
          <w:numId w:val="3"/>
        </w:numPr>
        <w:rPr>
          <w:rFonts w:ascii="Arial" w:hAnsi="Arial" w:cs="Arial"/>
          <w:b/>
          <w:u w:val="single"/>
        </w:rPr>
      </w:pPr>
      <w:r>
        <w:rPr>
          <w:rFonts w:ascii="Arial" w:hAnsi="Arial" w:cs="Arial"/>
        </w:rPr>
        <w:t>Thumbs up and Thumbs Down if asked.</w:t>
      </w:r>
    </w:p>
    <w:p w14:paraId="1E73A1E0" w14:textId="77777777" w:rsidR="00395E5B" w:rsidRPr="00543177" w:rsidRDefault="00395E5B" w:rsidP="00395E5B">
      <w:pPr>
        <w:pStyle w:val="ListParagraph"/>
        <w:numPr>
          <w:ilvl w:val="0"/>
          <w:numId w:val="4"/>
        </w:numPr>
        <w:rPr>
          <w:rFonts w:ascii="Arial" w:hAnsi="Arial" w:cs="Arial"/>
          <w:b/>
          <w:u w:val="single"/>
        </w:rPr>
      </w:pPr>
      <w:r>
        <w:rPr>
          <w:rFonts w:ascii="Arial" w:hAnsi="Arial" w:cs="Arial"/>
          <w:b/>
        </w:rPr>
        <w:t>Introduce the talking piece.  Why chose it?</w:t>
      </w:r>
      <w:r w:rsidR="008E7563">
        <w:rPr>
          <w:rFonts w:ascii="Arial" w:hAnsi="Arial" w:cs="Arial"/>
          <w:b/>
        </w:rPr>
        <w:t xml:space="preserve">  Paint Brush, paint </w:t>
      </w:r>
      <w:proofErr w:type="spellStart"/>
      <w:r w:rsidR="008E7563">
        <w:rPr>
          <w:rFonts w:ascii="Arial" w:hAnsi="Arial" w:cs="Arial"/>
          <w:b/>
        </w:rPr>
        <w:t>palet</w:t>
      </w:r>
      <w:proofErr w:type="spellEnd"/>
      <w:r w:rsidR="00774910">
        <w:rPr>
          <w:rFonts w:ascii="Arial" w:hAnsi="Arial" w:cs="Arial"/>
          <w:b/>
        </w:rPr>
        <w:t>…</w:t>
      </w:r>
    </w:p>
    <w:p w14:paraId="5515DDA6" w14:textId="77777777" w:rsidR="00227D1D" w:rsidRPr="008E7563" w:rsidRDefault="00395E5B" w:rsidP="00395E5B">
      <w:pPr>
        <w:jc w:val="center"/>
        <w:rPr>
          <w:b/>
        </w:rPr>
      </w:pPr>
      <w:r w:rsidRPr="008E7563">
        <w:rPr>
          <w:b/>
        </w:rPr>
        <w:t>Aim is to raise respect within Art class</w:t>
      </w:r>
    </w:p>
    <w:p w14:paraId="42E509E3" w14:textId="77777777" w:rsidR="00395E5B" w:rsidRPr="008E7563" w:rsidRDefault="00395E5B" w:rsidP="00395E5B">
      <w:pPr>
        <w:jc w:val="center"/>
        <w:rPr>
          <w:b/>
        </w:rPr>
      </w:pPr>
    </w:p>
    <w:p w14:paraId="67B92879" w14:textId="77777777" w:rsidR="00395E5B" w:rsidRDefault="00395E5B" w:rsidP="00395E5B">
      <w:r>
        <w:t>Opener:  Display 4 art images relevant to the students and one piece of white paper.</w:t>
      </w:r>
    </w:p>
    <w:p w14:paraId="45529016" w14:textId="77777777" w:rsidR="00395E5B" w:rsidRDefault="00395E5B" w:rsidP="00395E5B"/>
    <w:p w14:paraId="0B6E6593" w14:textId="77777777" w:rsidR="00395E5B" w:rsidRDefault="00395E5B" w:rsidP="00395E5B">
      <w:r>
        <w:t xml:space="preserve">Prompt #1- </w:t>
      </w:r>
      <w:proofErr w:type="gramStart"/>
      <w:r>
        <w:t>Which</w:t>
      </w:r>
      <w:proofErr w:type="gramEnd"/>
      <w:r>
        <w:t xml:space="preserve"> art piece is your favorite?  Why?</w:t>
      </w:r>
    </w:p>
    <w:p w14:paraId="253B7A1E" w14:textId="77777777" w:rsidR="00395E5B" w:rsidRDefault="00395E5B" w:rsidP="00395E5B"/>
    <w:p w14:paraId="75C88FD6" w14:textId="77777777" w:rsidR="00395E5B" w:rsidRDefault="00395E5B" w:rsidP="00395E5B">
      <w:r>
        <w:t>All of these are different expressions of someone’s artistic ability.  Give thumbs up if you agree that art makes life more interesting.  Thumbs down if you prefer life to be colorless and expressionless like the blank paper.  Be ready to justify your answer.</w:t>
      </w:r>
    </w:p>
    <w:p w14:paraId="2A42F4C3" w14:textId="77777777" w:rsidR="00395E5B" w:rsidRDefault="00395E5B" w:rsidP="00395E5B"/>
    <w:p w14:paraId="65B4A598" w14:textId="77777777" w:rsidR="00395E5B" w:rsidRDefault="00395E5B" w:rsidP="00395E5B">
      <w:r>
        <w:t>Ms. Marks is here to help you find your gift of art.  So we are here to get your help with a respect agreement.</w:t>
      </w:r>
    </w:p>
    <w:p w14:paraId="5E41A05E" w14:textId="77777777" w:rsidR="00395E5B" w:rsidRDefault="00395E5B" w:rsidP="00395E5B"/>
    <w:p w14:paraId="16B2226C" w14:textId="77777777" w:rsidR="00395E5B" w:rsidRDefault="00395E5B" w:rsidP="00395E5B"/>
    <w:p w14:paraId="4ADF4EC4" w14:textId="77777777" w:rsidR="00395E5B" w:rsidRDefault="00395E5B" w:rsidP="00395E5B"/>
    <w:p w14:paraId="73DDA49E" w14:textId="77777777" w:rsidR="00395E5B" w:rsidRDefault="00395E5B" w:rsidP="00395E5B"/>
    <w:p w14:paraId="1901456D" w14:textId="77777777" w:rsidR="00395E5B" w:rsidRDefault="00395E5B" w:rsidP="00395E5B"/>
    <w:p w14:paraId="60D11C2B" w14:textId="77777777" w:rsidR="00395E5B" w:rsidRDefault="00395E5B" w:rsidP="00395E5B"/>
    <w:tbl>
      <w:tblPr>
        <w:tblStyle w:val="TableGrid"/>
        <w:tblW w:w="0" w:type="auto"/>
        <w:tblLook w:val="04A0" w:firstRow="1" w:lastRow="0" w:firstColumn="1" w:lastColumn="0" w:noHBand="0" w:noVBand="1"/>
      </w:tblPr>
      <w:tblGrid>
        <w:gridCol w:w="4428"/>
        <w:gridCol w:w="4428"/>
      </w:tblGrid>
      <w:tr w:rsidR="00395E5B" w14:paraId="6FCEB543" w14:textId="77777777" w:rsidTr="00395E5B">
        <w:tc>
          <w:tcPr>
            <w:tcW w:w="4428" w:type="dxa"/>
          </w:tcPr>
          <w:p w14:paraId="513298F4" w14:textId="77777777" w:rsidR="00395E5B" w:rsidRDefault="00395E5B" w:rsidP="00395E5B">
            <w:pPr>
              <w:jc w:val="center"/>
            </w:pPr>
            <w:r>
              <w:lastRenderedPageBreak/>
              <w:t>How Ms. Marks need the students to show respect</w:t>
            </w:r>
          </w:p>
          <w:p w14:paraId="1D22A1BC" w14:textId="77777777" w:rsidR="00395E5B" w:rsidRDefault="00395E5B" w:rsidP="00395E5B">
            <w:pPr>
              <w:jc w:val="center"/>
            </w:pPr>
          </w:p>
          <w:p w14:paraId="54A35BA6" w14:textId="77777777" w:rsidR="00395E5B" w:rsidRDefault="00395E5B" w:rsidP="00395E5B">
            <w:pPr>
              <w:jc w:val="center"/>
            </w:pPr>
          </w:p>
          <w:p w14:paraId="19FFCB8B" w14:textId="77777777" w:rsidR="00395E5B" w:rsidRDefault="00395E5B" w:rsidP="00395E5B">
            <w:pPr>
              <w:jc w:val="center"/>
            </w:pPr>
          </w:p>
          <w:p w14:paraId="05305DFB" w14:textId="77777777" w:rsidR="00395E5B" w:rsidRDefault="00395E5B" w:rsidP="00395E5B">
            <w:pPr>
              <w:jc w:val="center"/>
            </w:pPr>
          </w:p>
          <w:p w14:paraId="2B92086D" w14:textId="77777777" w:rsidR="00395E5B" w:rsidRDefault="00395E5B" w:rsidP="00395E5B">
            <w:pPr>
              <w:jc w:val="center"/>
            </w:pPr>
          </w:p>
          <w:p w14:paraId="1C5A17D0" w14:textId="77777777" w:rsidR="00395E5B" w:rsidRDefault="00395E5B" w:rsidP="00395E5B">
            <w:pPr>
              <w:jc w:val="center"/>
            </w:pPr>
          </w:p>
        </w:tc>
        <w:tc>
          <w:tcPr>
            <w:tcW w:w="4428" w:type="dxa"/>
          </w:tcPr>
          <w:p w14:paraId="475054B6" w14:textId="77777777" w:rsidR="00395E5B" w:rsidRDefault="00395E5B" w:rsidP="00395E5B">
            <w:pPr>
              <w:jc w:val="center"/>
            </w:pPr>
            <w:r>
              <w:t>How the students need Ms. Marks to show the students respect</w:t>
            </w:r>
          </w:p>
        </w:tc>
      </w:tr>
    </w:tbl>
    <w:p w14:paraId="680CC1CD" w14:textId="77777777" w:rsidR="00395E5B" w:rsidRDefault="00395E5B" w:rsidP="00395E5B"/>
    <w:p w14:paraId="4C73B60E" w14:textId="77777777" w:rsidR="00395E5B" w:rsidRDefault="00395E5B" w:rsidP="00395E5B">
      <w:r>
        <w:t>Closure:</w:t>
      </w:r>
    </w:p>
    <w:p w14:paraId="0E1C1619" w14:textId="77777777" w:rsidR="00395E5B" w:rsidRDefault="00395E5B" w:rsidP="00395E5B"/>
    <w:p w14:paraId="66887CD8" w14:textId="77777777" w:rsidR="00395E5B" w:rsidRDefault="00395E5B" w:rsidP="00395E5B">
      <w:r>
        <w:t>1000 Cranes</w:t>
      </w:r>
      <w:r w:rsidR="008E7563">
        <w:t xml:space="preserve"> of Hope</w:t>
      </w:r>
    </w:p>
    <w:p w14:paraId="1D2A5A6A" w14:textId="77777777" w:rsidR="008E7563" w:rsidRDefault="008E7563" w:rsidP="00395E5B"/>
    <w:p w14:paraId="7CDB5637" w14:textId="77777777" w:rsidR="0073692E" w:rsidRPr="0073692E" w:rsidRDefault="0073692E" w:rsidP="0073692E">
      <w:pPr>
        <w:rPr>
          <w:rFonts w:ascii="Times" w:eastAsia="Times New Roman" w:hAnsi="Times" w:cs="Times New Roman"/>
          <w:sz w:val="20"/>
          <w:szCs w:val="20"/>
        </w:rPr>
      </w:pPr>
      <w:r w:rsidRPr="0073692E">
        <w:rPr>
          <w:rFonts w:ascii="Helvetica" w:eastAsia="Times New Roman" w:hAnsi="Helvetica" w:cs="Times New Roman"/>
          <w:color w:val="252525"/>
          <w:sz w:val="21"/>
          <w:szCs w:val="21"/>
          <w:shd w:val="clear" w:color="auto" w:fill="FFFFFF"/>
        </w:rPr>
        <w:t>The thousand origami cranes were popularized through the story</w:t>
      </w:r>
      <w:r>
        <w:rPr>
          <w:rFonts w:ascii="Helvetica" w:eastAsia="Times New Roman" w:hAnsi="Helvetica" w:cs="Times New Roman"/>
          <w:color w:val="252525"/>
          <w:sz w:val="21"/>
          <w:szCs w:val="21"/>
          <w:shd w:val="clear" w:color="auto" w:fill="FFFFFF"/>
        </w:rPr>
        <w:t xml:space="preserve"> of </w:t>
      </w:r>
      <w:r w:rsidRPr="0073692E">
        <w:rPr>
          <w:rFonts w:ascii="Helvetica" w:eastAsia="Times New Roman" w:hAnsi="Helvetica" w:cs="Times New Roman"/>
          <w:color w:val="252525"/>
          <w:sz w:val="21"/>
          <w:szCs w:val="21"/>
          <w:shd w:val="clear" w:color="auto" w:fill="FFFFFF"/>
        </w:rPr>
        <w:t>a Japanese girl who was 24 months old when she was exposed</w:t>
      </w:r>
      <w:r>
        <w:rPr>
          <w:rFonts w:ascii="Helvetica" w:eastAsia="Times New Roman" w:hAnsi="Helvetica" w:cs="Times New Roman"/>
          <w:color w:val="252525"/>
          <w:sz w:val="21"/>
          <w:szCs w:val="21"/>
          <w:shd w:val="clear" w:color="auto" w:fill="FFFFFF"/>
        </w:rPr>
        <w:t xml:space="preserve"> to radiation</w:t>
      </w:r>
      <w:r w:rsidRPr="0073692E">
        <w:rPr>
          <w:rFonts w:ascii="Helvetica" w:eastAsia="Times New Roman" w:hAnsi="Helvetica" w:cs="Times New Roman"/>
          <w:color w:val="252525"/>
          <w:sz w:val="21"/>
          <w:szCs w:val="21"/>
          <w:shd w:val="clear" w:color="auto" w:fill="FFFFFF"/>
        </w:rPr>
        <w:t> from the </w:t>
      </w:r>
      <w:r>
        <w:rPr>
          <w:rFonts w:ascii="Helvetica" w:eastAsia="Times New Roman" w:hAnsi="Helvetica" w:cs="Times New Roman"/>
          <w:color w:val="252525"/>
          <w:sz w:val="21"/>
          <w:szCs w:val="21"/>
          <w:shd w:val="clear" w:color="auto" w:fill="FFFFFF"/>
        </w:rPr>
        <w:t>Hiroshima</w:t>
      </w:r>
      <w:r w:rsidRPr="0073692E">
        <w:rPr>
          <w:rFonts w:ascii="Helvetica" w:eastAsia="Times New Roman" w:hAnsi="Helvetica" w:cs="Times New Roman"/>
          <w:color w:val="252525"/>
          <w:sz w:val="21"/>
          <w:szCs w:val="21"/>
          <w:shd w:val="clear" w:color="auto" w:fill="FFFFFF"/>
        </w:rPr>
        <w:t xml:space="preserve"> during </w:t>
      </w:r>
      <w:r>
        <w:rPr>
          <w:rFonts w:ascii="Times" w:eastAsia="Times New Roman" w:hAnsi="Times" w:cs="Times New Roman"/>
          <w:sz w:val="20"/>
          <w:szCs w:val="20"/>
        </w:rPr>
        <w:t xml:space="preserve">World War II </w:t>
      </w:r>
      <w:r w:rsidRPr="0073692E">
        <w:rPr>
          <w:rFonts w:ascii="Helvetica" w:eastAsia="Times New Roman" w:hAnsi="Helvetica" w:cs="Times New Roman"/>
          <w:color w:val="252525"/>
          <w:sz w:val="21"/>
          <w:szCs w:val="21"/>
          <w:shd w:val="clear" w:color="auto" w:fill="FFFFFF"/>
        </w:rPr>
        <w:t>Sasaki soon developed </w:t>
      </w:r>
      <w:r>
        <w:rPr>
          <w:rFonts w:ascii="Helvetica" w:eastAsia="Times New Roman" w:hAnsi="Helvetica" w:cs="Times New Roman"/>
          <w:color w:val="252525"/>
          <w:sz w:val="21"/>
          <w:szCs w:val="21"/>
          <w:shd w:val="clear" w:color="auto" w:fill="FFFFFF"/>
        </w:rPr>
        <w:t>leukemia</w:t>
      </w:r>
      <w:r w:rsidRPr="0073692E">
        <w:rPr>
          <w:rFonts w:ascii="Helvetica" w:eastAsia="Times New Roman" w:hAnsi="Helvetica" w:cs="Times New Roman"/>
          <w:color w:val="252525"/>
          <w:sz w:val="21"/>
          <w:szCs w:val="21"/>
          <w:shd w:val="clear" w:color="auto" w:fill="FFFFFF"/>
        </w:rPr>
        <w:t xml:space="preserve"> and, at age 12 after spending a </w:t>
      </w:r>
      <w:r>
        <w:rPr>
          <w:rFonts w:ascii="Helvetica" w:eastAsia="Times New Roman" w:hAnsi="Helvetica" w:cs="Times New Roman"/>
          <w:color w:val="252525"/>
          <w:sz w:val="21"/>
          <w:szCs w:val="21"/>
          <w:shd w:val="clear" w:color="auto" w:fill="FFFFFF"/>
        </w:rPr>
        <w:t>large</w:t>
      </w:r>
      <w:r w:rsidRPr="0073692E">
        <w:rPr>
          <w:rFonts w:ascii="Helvetica" w:eastAsia="Times New Roman" w:hAnsi="Helvetica" w:cs="Times New Roman"/>
          <w:color w:val="252525"/>
          <w:sz w:val="21"/>
          <w:szCs w:val="21"/>
          <w:shd w:val="clear" w:color="auto" w:fill="FFFFFF"/>
        </w:rPr>
        <w:t xml:space="preserve"> amount of time in a hospital, began making origami cranes with the goal of making one thousand, inspired by the senbazuru legend. </w:t>
      </w:r>
      <w:r>
        <w:rPr>
          <w:rFonts w:ascii="Helvetica" w:eastAsia="Times New Roman" w:hAnsi="Helvetica" w:cs="Times New Roman"/>
          <w:color w:val="252525"/>
          <w:sz w:val="21"/>
          <w:szCs w:val="21"/>
          <w:shd w:val="clear" w:color="auto" w:fill="FFFFFF"/>
        </w:rPr>
        <w:t>The popularized</w:t>
      </w:r>
      <w:r w:rsidRPr="0073692E">
        <w:rPr>
          <w:rFonts w:ascii="Helvetica" w:eastAsia="Times New Roman" w:hAnsi="Helvetica" w:cs="Times New Roman"/>
          <w:color w:val="252525"/>
          <w:sz w:val="21"/>
          <w:szCs w:val="21"/>
          <w:shd w:val="clear" w:color="auto" w:fill="FFFFFF"/>
        </w:rPr>
        <w:t xml:space="preserve"> version of the story as told in the book </w:t>
      </w:r>
      <w:hyperlink r:id="rId6" w:tooltip="Sadako and the Thousand Paper Cranes" w:history="1">
        <w:proofErr w:type="spellStart"/>
        <w:r w:rsidRPr="0073692E">
          <w:rPr>
            <w:rFonts w:ascii="Helvetica" w:eastAsia="Times New Roman" w:hAnsi="Helvetica" w:cs="Times New Roman"/>
            <w:i/>
            <w:iCs/>
            <w:color w:val="0B0080"/>
            <w:sz w:val="21"/>
            <w:szCs w:val="21"/>
            <w:u w:val="single"/>
            <w:shd w:val="clear" w:color="auto" w:fill="FFFFFF"/>
          </w:rPr>
          <w:t>Sadako</w:t>
        </w:r>
        <w:proofErr w:type="spellEnd"/>
        <w:r w:rsidRPr="0073692E">
          <w:rPr>
            <w:rFonts w:ascii="Helvetica" w:eastAsia="Times New Roman" w:hAnsi="Helvetica" w:cs="Times New Roman"/>
            <w:i/>
            <w:iCs/>
            <w:color w:val="0B0080"/>
            <w:sz w:val="21"/>
            <w:szCs w:val="21"/>
            <w:u w:val="single"/>
            <w:shd w:val="clear" w:color="auto" w:fill="FFFFFF"/>
          </w:rPr>
          <w:t xml:space="preserve"> and the Thousand Paper Cranes</w:t>
        </w:r>
      </w:hyperlink>
      <w:r w:rsidRPr="0073692E">
        <w:rPr>
          <w:rFonts w:ascii="Helvetica" w:eastAsia="Times New Roman" w:hAnsi="Helvetica" w:cs="Times New Roman"/>
          <w:color w:val="252525"/>
          <w:sz w:val="21"/>
          <w:szCs w:val="21"/>
          <w:shd w:val="clear" w:color="auto" w:fill="FFFFFF"/>
        </w:rPr>
        <w:t>, she folded only 644 before she became too weak to fold anymore, and died on 25 of October 1955; in her honor, her classmates felt empathy and agreed to complete the rest for her.</w:t>
      </w:r>
    </w:p>
    <w:p w14:paraId="058787A7" w14:textId="77777777" w:rsidR="0073692E" w:rsidRDefault="0073692E" w:rsidP="00395E5B"/>
    <w:p w14:paraId="3B6BB4F6" w14:textId="77777777" w:rsidR="0073692E" w:rsidRDefault="0073692E" w:rsidP="00395E5B"/>
    <w:p w14:paraId="2E0A0A0D" w14:textId="77777777" w:rsidR="0073692E" w:rsidRDefault="0073692E" w:rsidP="00395E5B">
      <w:r>
        <w:t xml:space="preserve">Today we are going to create our own </w:t>
      </w:r>
      <w:r w:rsidR="008E7563">
        <w:t>“</w:t>
      </w:r>
      <w:r>
        <w:t>Ring of Respect</w:t>
      </w:r>
      <w:r w:rsidR="008E7563">
        <w:t>”</w:t>
      </w:r>
      <w:r>
        <w:t>.  Each 6</w:t>
      </w:r>
      <w:r w:rsidRPr="0073692E">
        <w:rPr>
          <w:vertAlign w:val="superscript"/>
        </w:rPr>
        <w:t>th</w:t>
      </w:r>
      <w:r>
        <w:t xml:space="preserve"> grade</w:t>
      </w:r>
      <w:r w:rsidR="008E7563">
        <w:t xml:space="preserve"> class will fill in a section on</w:t>
      </w:r>
      <w:r>
        <w:t xml:space="preserve"> the </w:t>
      </w:r>
      <w:r w:rsidR="008E7563">
        <w:t>“R</w:t>
      </w:r>
      <w:r>
        <w:t xml:space="preserve">ing </w:t>
      </w:r>
      <w:r w:rsidR="008E7563">
        <w:t xml:space="preserve">of Respect” </w:t>
      </w:r>
      <w:r>
        <w:t>with one color of tissue paper.  Ms. Marks will be the bands that connect them all.  When we are finished with our respect agreement, the Ring of Respect with be hung to remind us all of our responsibility to make art class and the world a more beautiful place.</w:t>
      </w:r>
    </w:p>
    <w:p w14:paraId="52304F8A" w14:textId="77777777" w:rsidR="00774910" w:rsidRDefault="00774910" w:rsidP="00395E5B"/>
    <w:p w14:paraId="22685187" w14:textId="77777777" w:rsidR="00774910" w:rsidRDefault="00774910" w:rsidP="00395E5B"/>
    <w:p w14:paraId="170C6D34" w14:textId="77777777" w:rsidR="00774910" w:rsidRDefault="00774910" w:rsidP="00395E5B"/>
    <w:p w14:paraId="52C63077" w14:textId="77777777" w:rsidR="00774910" w:rsidRDefault="00774910" w:rsidP="00395E5B">
      <w:r>
        <w:rPr>
          <w:noProof/>
        </w:rPr>
        <w:drawing>
          <wp:inline distT="0" distB="0" distL="0" distR="0" wp14:anchorId="183E3780" wp14:editId="25E3DD0D">
            <wp:extent cx="320040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2540000"/>
                    </a:xfrm>
                    <a:prstGeom prst="rect">
                      <a:avLst/>
                    </a:prstGeom>
                    <a:noFill/>
                    <a:ln>
                      <a:noFill/>
                    </a:ln>
                  </pic:spPr>
                </pic:pic>
              </a:graphicData>
            </a:graphic>
          </wp:inline>
        </w:drawing>
      </w:r>
    </w:p>
    <w:sectPr w:rsidR="00774910" w:rsidSect="004845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6BE6"/>
    <w:multiLevelType w:val="hybridMultilevel"/>
    <w:tmpl w:val="D5688B2C"/>
    <w:lvl w:ilvl="0" w:tplc="D720A7BE">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E747B0"/>
    <w:multiLevelType w:val="hybridMultilevel"/>
    <w:tmpl w:val="1868D502"/>
    <w:lvl w:ilvl="0" w:tplc="30A6A3E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317B14"/>
    <w:multiLevelType w:val="hybridMultilevel"/>
    <w:tmpl w:val="1BAC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BE08B9"/>
    <w:multiLevelType w:val="hybridMultilevel"/>
    <w:tmpl w:val="8C5E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E5B"/>
    <w:rsid w:val="00227D1D"/>
    <w:rsid w:val="00395E5B"/>
    <w:rsid w:val="00484540"/>
    <w:rsid w:val="0073692E"/>
    <w:rsid w:val="00774910"/>
    <w:rsid w:val="008E7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AE09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E5B"/>
    <w:pPr>
      <w:spacing w:after="160" w:line="259" w:lineRule="auto"/>
      <w:ind w:left="720"/>
      <w:contextualSpacing/>
    </w:pPr>
    <w:rPr>
      <w:rFonts w:eastAsiaTheme="minorHAnsi"/>
      <w:sz w:val="22"/>
      <w:szCs w:val="22"/>
    </w:rPr>
  </w:style>
  <w:style w:type="table" w:styleId="TableGrid">
    <w:name w:val="Table Grid"/>
    <w:basedOn w:val="TableNormal"/>
    <w:uiPriority w:val="59"/>
    <w:rsid w:val="00395E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3692E"/>
  </w:style>
  <w:style w:type="character" w:styleId="Hyperlink">
    <w:name w:val="Hyperlink"/>
    <w:basedOn w:val="DefaultParagraphFont"/>
    <w:uiPriority w:val="99"/>
    <w:semiHidden/>
    <w:unhideWhenUsed/>
    <w:rsid w:val="0073692E"/>
    <w:rPr>
      <w:color w:val="0000FF"/>
      <w:u w:val="single"/>
    </w:rPr>
  </w:style>
  <w:style w:type="paragraph" w:styleId="BalloonText">
    <w:name w:val="Balloon Text"/>
    <w:basedOn w:val="Normal"/>
    <w:link w:val="BalloonTextChar"/>
    <w:uiPriority w:val="99"/>
    <w:semiHidden/>
    <w:unhideWhenUsed/>
    <w:rsid w:val="007749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91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E5B"/>
    <w:pPr>
      <w:spacing w:after="160" w:line="259" w:lineRule="auto"/>
      <w:ind w:left="720"/>
      <w:contextualSpacing/>
    </w:pPr>
    <w:rPr>
      <w:rFonts w:eastAsiaTheme="minorHAnsi"/>
      <w:sz w:val="22"/>
      <w:szCs w:val="22"/>
    </w:rPr>
  </w:style>
  <w:style w:type="table" w:styleId="TableGrid">
    <w:name w:val="Table Grid"/>
    <w:basedOn w:val="TableNormal"/>
    <w:uiPriority w:val="59"/>
    <w:rsid w:val="00395E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3692E"/>
  </w:style>
  <w:style w:type="character" w:styleId="Hyperlink">
    <w:name w:val="Hyperlink"/>
    <w:basedOn w:val="DefaultParagraphFont"/>
    <w:uiPriority w:val="99"/>
    <w:semiHidden/>
    <w:unhideWhenUsed/>
    <w:rsid w:val="0073692E"/>
    <w:rPr>
      <w:color w:val="0000FF"/>
      <w:u w:val="single"/>
    </w:rPr>
  </w:style>
  <w:style w:type="paragraph" w:styleId="BalloonText">
    <w:name w:val="Balloon Text"/>
    <w:basedOn w:val="Normal"/>
    <w:link w:val="BalloonTextChar"/>
    <w:uiPriority w:val="99"/>
    <w:semiHidden/>
    <w:unhideWhenUsed/>
    <w:rsid w:val="007749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91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4241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wikipedia.org/wiki/Sadako_and_the_Thousand_Paper_Cranes"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430</Words>
  <Characters>2454</Characters>
  <Application>Microsoft Macintosh Word</Application>
  <DocSecurity>0</DocSecurity>
  <Lines>20</Lines>
  <Paragraphs>5</Paragraphs>
  <ScaleCrop>false</ScaleCrop>
  <Company>Mesquite ISD</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Causey-Ortiz</dc:creator>
  <cp:keywords/>
  <dc:description/>
  <cp:lastModifiedBy>Patricia Causey-Ortiz</cp:lastModifiedBy>
  <cp:revision>2</cp:revision>
  <dcterms:created xsi:type="dcterms:W3CDTF">2016-11-04T15:49:00Z</dcterms:created>
  <dcterms:modified xsi:type="dcterms:W3CDTF">2016-11-04T20:22:00Z</dcterms:modified>
</cp:coreProperties>
</file>