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3"/>
        <w:ind w:left="100"/>
      </w:pPr>
      <w:r>
        <w:rPr/>
        <w:t>Good afternoon.</w:t>
      </w:r>
    </w:p>
    <w:p>
      <w:pPr>
        <w:pStyle w:val="BodyText"/>
        <w:spacing w:before="1"/>
        <w:rPr>
          <w:sz w:val="30"/>
        </w:rPr>
      </w:pPr>
    </w:p>
    <w:p>
      <w:pPr>
        <w:pStyle w:val="BodyText"/>
        <w:spacing w:line="285" w:lineRule="auto"/>
        <w:ind w:left="100"/>
      </w:pPr>
      <w:r>
        <w:rPr/>
        <w:t>We have all been moved by the tragic school shooting in Florida and are motivated to stand for school safety. We respect that many educators in Highline want to honor the 17-minute observance slated for March 14 across the nation.</w:t>
      </w:r>
    </w:p>
    <w:p>
      <w:pPr>
        <w:pStyle w:val="BodyText"/>
        <w:rPr>
          <w:sz w:val="26"/>
        </w:rPr>
      </w:pPr>
    </w:p>
    <w:p>
      <w:pPr>
        <w:pStyle w:val="BodyText"/>
        <w:spacing w:line="285" w:lineRule="auto" w:before="1"/>
        <w:ind w:left="100"/>
      </w:pPr>
      <w:r>
        <w:rPr/>
        <w:t>We must also be aware that elements of this national conversation are political in nature as they relate to gun control laws. As public educators, we must strike a delicate balance in our actions during the work day. Our role as educators is to create safe, respectful learning environments where students can express their views freely but appropriately.</w:t>
      </w:r>
    </w:p>
    <w:p>
      <w:pPr>
        <w:pStyle w:val="BodyText"/>
        <w:spacing w:before="1"/>
        <w:rPr>
          <w:sz w:val="26"/>
        </w:rPr>
      </w:pPr>
    </w:p>
    <w:p>
      <w:pPr>
        <w:pStyle w:val="BodyText"/>
        <w:spacing w:line="285" w:lineRule="auto"/>
        <w:ind w:left="100"/>
      </w:pPr>
      <w:r>
        <w:rPr/>
        <w:t>Our first responsibility is the supervision and safety of our students. Staff may not leave their classroom or duties to participate in walkouts — whether initiated by students or staff — unless directed by their principal to accompany students for safety reasons.</w:t>
      </w:r>
    </w:p>
    <w:p>
      <w:pPr>
        <w:pStyle w:val="BodyText"/>
        <w:rPr>
          <w:sz w:val="26"/>
        </w:rPr>
      </w:pPr>
    </w:p>
    <w:p>
      <w:pPr>
        <w:pStyle w:val="BodyText"/>
        <w:spacing w:line="285" w:lineRule="auto" w:before="1"/>
        <w:ind w:left="100"/>
      </w:pPr>
      <w:r>
        <w:rPr/>
        <w:t>Any activity initiated by school staff must be developmentally appropriate and geared toward increasing students’ sense of safety at school. Activities should be educational for students and consistent with </w:t>
      </w:r>
      <w:hyperlink r:id="rId5">
        <w:r>
          <w:rPr>
            <w:color w:val="1154CC"/>
            <w:u w:val="single" w:color="1154CC"/>
          </w:rPr>
          <w:t>Board Policy 2331. </w:t>
        </w:r>
      </w:hyperlink>
      <w:r>
        <w:rPr/>
        <w:t>Some examples:</w:t>
      </w:r>
    </w:p>
    <w:p>
      <w:pPr>
        <w:pStyle w:val="BodyText"/>
        <w:spacing w:before="1"/>
        <w:rPr>
          <w:sz w:val="26"/>
        </w:rPr>
      </w:pPr>
    </w:p>
    <w:p>
      <w:pPr>
        <w:pStyle w:val="ListParagraph"/>
        <w:numPr>
          <w:ilvl w:val="0"/>
          <w:numId w:val="1"/>
        </w:numPr>
        <w:tabs>
          <w:tab w:pos="819" w:val="left" w:leader="none"/>
          <w:tab w:pos="820" w:val="left" w:leader="none"/>
        </w:tabs>
        <w:spacing w:line="285" w:lineRule="auto" w:before="0" w:after="0"/>
        <w:ind w:left="820" w:right="139" w:hanging="360"/>
        <w:jc w:val="left"/>
        <w:rPr>
          <w:sz w:val="22"/>
        </w:rPr>
      </w:pPr>
      <w:r>
        <w:rPr>
          <w:sz w:val="22"/>
        </w:rPr>
        <w:t>Engage students in a discussion on their feelings about school safety. Bear in mind that conversations about school safety may trigger fear in students and adults, so it is important</w:t>
      </w:r>
      <w:r>
        <w:rPr>
          <w:spacing w:val="-4"/>
          <w:sz w:val="22"/>
        </w:rPr>
        <w:t> </w:t>
      </w:r>
      <w:r>
        <w:rPr>
          <w:sz w:val="22"/>
        </w:rPr>
        <w:t>to</w:t>
      </w:r>
      <w:r>
        <w:rPr>
          <w:spacing w:val="-4"/>
          <w:sz w:val="22"/>
        </w:rPr>
        <w:t> </w:t>
      </w:r>
      <w:r>
        <w:rPr>
          <w:sz w:val="22"/>
        </w:rPr>
        <w:t>create</w:t>
      </w:r>
      <w:r>
        <w:rPr>
          <w:spacing w:val="-4"/>
          <w:sz w:val="22"/>
        </w:rPr>
        <w:t> </w:t>
      </w:r>
      <w:r>
        <w:rPr>
          <w:sz w:val="22"/>
        </w:rPr>
        <w:t>an</w:t>
      </w:r>
      <w:r>
        <w:rPr>
          <w:spacing w:val="-4"/>
          <w:sz w:val="22"/>
        </w:rPr>
        <w:t> </w:t>
      </w:r>
      <w:r>
        <w:rPr>
          <w:sz w:val="22"/>
        </w:rPr>
        <w:t>environment</w:t>
      </w:r>
      <w:r>
        <w:rPr>
          <w:spacing w:val="-4"/>
          <w:sz w:val="22"/>
        </w:rPr>
        <w:t> </w:t>
      </w:r>
      <w:r>
        <w:rPr>
          <w:sz w:val="22"/>
        </w:rPr>
        <w:t>where</w:t>
      </w:r>
      <w:r>
        <w:rPr>
          <w:spacing w:val="-4"/>
          <w:sz w:val="22"/>
        </w:rPr>
        <w:t> </w:t>
      </w:r>
      <w:r>
        <w:rPr>
          <w:sz w:val="22"/>
        </w:rPr>
        <w:t>everyone</w:t>
      </w:r>
      <w:r>
        <w:rPr>
          <w:spacing w:val="-4"/>
          <w:sz w:val="22"/>
        </w:rPr>
        <w:t> </w:t>
      </w:r>
      <w:r>
        <w:rPr>
          <w:sz w:val="22"/>
        </w:rPr>
        <w:t>feels</w:t>
      </w:r>
      <w:r>
        <w:rPr>
          <w:spacing w:val="-4"/>
          <w:sz w:val="22"/>
        </w:rPr>
        <w:t> </w:t>
      </w:r>
      <w:r>
        <w:rPr>
          <w:sz w:val="22"/>
        </w:rPr>
        <w:t>safe.</w:t>
      </w:r>
      <w:r>
        <w:rPr>
          <w:spacing w:val="-4"/>
          <w:sz w:val="22"/>
        </w:rPr>
        <w:t> </w:t>
      </w:r>
      <w:r>
        <w:rPr>
          <w:sz w:val="22"/>
        </w:rPr>
        <w:t>While</w:t>
      </w:r>
      <w:r>
        <w:rPr>
          <w:spacing w:val="-4"/>
          <w:sz w:val="22"/>
        </w:rPr>
        <w:t> </w:t>
      </w:r>
      <w:r>
        <w:rPr>
          <w:sz w:val="22"/>
        </w:rPr>
        <w:t>there</w:t>
      </w:r>
      <w:r>
        <w:rPr>
          <w:spacing w:val="-4"/>
          <w:sz w:val="22"/>
        </w:rPr>
        <w:t> </w:t>
      </w:r>
      <w:r>
        <w:rPr>
          <w:sz w:val="22"/>
        </w:rPr>
        <w:t>is</w:t>
      </w:r>
      <w:r>
        <w:rPr>
          <w:spacing w:val="-4"/>
          <w:sz w:val="22"/>
        </w:rPr>
        <w:t> </w:t>
      </w:r>
      <w:r>
        <w:rPr>
          <w:sz w:val="22"/>
        </w:rPr>
        <w:t>currently</w:t>
      </w:r>
      <w:r>
        <w:rPr>
          <w:spacing w:val="-4"/>
          <w:sz w:val="22"/>
        </w:rPr>
        <w:t> </w:t>
      </w:r>
      <w:r>
        <w:rPr>
          <w:sz w:val="22"/>
        </w:rPr>
        <w:t>a heightened perception of risk, remind students that schools are among the safest places for</w:t>
      </w:r>
      <w:r>
        <w:rPr>
          <w:spacing w:val="-7"/>
          <w:sz w:val="22"/>
        </w:rPr>
        <w:t> </w:t>
      </w:r>
      <w:r>
        <w:rPr>
          <w:sz w:val="22"/>
        </w:rPr>
        <w:t>children.</w:t>
      </w:r>
    </w:p>
    <w:p>
      <w:pPr>
        <w:pStyle w:val="BodyText"/>
        <w:rPr>
          <w:sz w:val="26"/>
        </w:rPr>
      </w:pPr>
    </w:p>
    <w:p>
      <w:pPr>
        <w:pStyle w:val="ListParagraph"/>
        <w:numPr>
          <w:ilvl w:val="0"/>
          <w:numId w:val="1"/>
        </w:numPr>
        <w:tabs>
          <w:tab w:pos="819" w:val="left" w:leader="none"/>
          <w:tab w:pos="820" w:val="left" w:leader="none"/>
        </w:tabs>
        <w:spacing w:line="240" w:lineRule="auto" w:before="1" w:after="0"/>
        <w:ind w:left="820" w:right="0" w:hanging="360"/>
        <w:jc w:val="left"/>
        <w:rPr>
          <w:sz w:val="22"/>
        </w:rPr>
      </w:pPr>
      <w:r>
        <w:rPr>
          <w:sz w:val="22"/>
        </w:rPr>
        <w:t>Review your school’s safety plan or practice an emergency</w:t>
      </w:r>
      <w:r>
        <w:rPr>
          <w:spacing w:val="-40"/>
          <w:sz w:val="22"/>
        </w:rPr>
        <w:t> </w:t>
      </w:r>
      <w:r>
        <w:rPr>
          <w:sz w:val="22"/>
        </w:rPr>
        <w:t>drill.</w:t>
      </w:r>
    </w:p>
    <w:p>
      <w:pPr>
        <w:pStyle w:val="BodyText"/>
        <w:spacing w:before="2"/>
        <w:rPr>
          <w:sz w:val="30"/>
        </w:rPr>
      </w:pPr>
    </w:p>
    <w:p>
      <w:pPr>
        <w:pStyle w:val="ListParagraph"/>
        <w:numPr>
          <w:ilvl w:val="0"/>
          <w:numId w:val="1"/>
        </w:numPr>
        <w:tabs>
          <w:tab w:pos="819" w:val="left" w:leader="none"/>
          <w:tab w:pos="820" w:val="left" w:leader="none"/>
        </w:tabs>
        <w:spacing w:line="285" w:lineRule="auto" w:before="0" w:after="0"/>
        <w:ind w:left="820" w:right="103" w:hanging="360"/>
        <w:jc w:val="left"/>
        <w:rPr>
          <w:sz w:val="22"/>
        </w:rPr>
      </w:pPr>
      <w:r>
        <w:rPr>
          <w:sz w:val="22"/>
        </w:rPr>
        <w:t>Provide</w:t>
      </w:r>
      <w:r>
        <w:rPr>
          <w:spacing w:val="-5"/>
          <w:sz w:val="22"/>
        </w:rPr>
        <w:t> </w:t>
      </w:r>
      <w:r>
        <w:rPr>
          <w:sz w:val="22"/>
        </w:rPr>
        <w:t>a</w:t>
      </w:r>
      <w:r>
        <w:rPr>
          <w:spacing w:val="-5"/>
          <w:sz w:val="22"/>
        </w:rPr>
        <w:t> </w:t>
      </w:r>
      <w:r>
        <w:rPr>
          <w:sz w:val="22"/>
        </w:rPr>
        <w:t>forum</w:t>
      </w:r>
      <w:r>
        <w:rPr>
          <w:spacing w:val="-5"/>
          <w:sz w:val="22"/>
        </w:rPr>
        <w:t> </w:t>
      </w:r>
      <w:r>
        <w:rPr>
          <w:sz w:val="22"/>
        </w:rPr>
        <w:t>for</w:t>
      </w:r>
      <w:r>
        <w:rPr>
          <w:spacing w:val="-5"/>
          <w:sz w:val="22"/>
        </w:rPr>
        <w:t> </w:t>
      </w:r>
      <w:r>
        <w:rPr>
          <w:sz w:val="22"/>
        </w:rPr>
        <w:t>students</w:t>
      </w:r>
      <w:r>
        <w:rPr>
          <w:spacing w:val="-5"/>
          <w:sz w:val="22"/>
        </w:rPr>
        <w:t> </w:t>
      </w:r>
      <w:r>
        <w:rPr>
          <w:sz w:val="22"/>
        </w:rPr>
        <w:t>to</w:t>
      </w:r>
      <w:r>
        <w:rPr>
          <w:spacing w:val="-5"/>
          <w:sz w:val="22"/>
        </w:rPr>
        <w:t> </w:t>
      </w:r>
      <w:r>
        <w:rPr>
          <w:sz w:val="22"/>
        </w:rPr>
        <w:t>express</w:t>
      </w:r>
      <w:r>
        <w:rPr>
          <w:spacing w:val="-5"/>
          <w:sz w:val="22"/>
        </w:rPr>
        <w:t> </w:t>
      </w:r>
      <w:r>
        <w:rPr>
          <w:sz w:val="22"/>
        </w:rPr>
        <w:t>their</w:t>
      </w:r>
      <w:r>
        <w:rPr>
          <w:spacing w:val="-5"/>
          <w:sz w:val="22"/>
        </w:rPr>
        <w:t> </w:t>
      </w:r>
      <w:r>
        <w:rPr>
          <w:sz w:val="22"/>
        </w:rPr>
        <w:t>views.</w:t>
      </w:r>
      <w:r>
        <w:rPr>
          <w:spacing w:val="-5"/>
          <w:sz w:val="22"/>
        </w:rPr>
        <w:t> </w:t>
      </w:r>
      <w:r>
        <w:rPr>
          <w:sz w:val="22"/>
        </w:rPr>
        <w:t>Any</w:t>
      </w:r>
      <w:r>
        <w:rPr>
          <w:spacing w:val="-5"/>
          <w:sz w:val="22"/>
        </w:rPr>
        <w:t> </w:t>
      </w:r>
      <w:r>
        <w:rPr>
          <w:sz w:val="22"/>
        </w:rPr>
        <w:t>discussion</w:t>
      </w:r>
      <w:r>
        <w:rPr>
          <w:spacing w:val="-5"/>
          <w:sz w:val="22"/>
        </w:rPr>
        <w:t> </w:t>
      </w:r>
      <w:r>
        <w:rPr>
          <w:sz w:val="22"/>
        </w:rPr>
        <w:t>must</w:t>
      </w:r>
      <w:r>
        <w:rPr>
          <w:spacing w:val="-5"/>
          <w:sz w:val="22"/>
        </w:rPr>
        <w:t> </w:t>
      </w:r>
      <w:r>
        <w:rPr>
          <w:sz w:val="22"/>
        </w:rPr>
        <w:t>respect</w:t>
      </w:r>
      <w:r>
        <w:rPr>
          <w:spacing w:val="-5"/>
          <w:sz w:val="22"/>
        </w:rPr>
        <w:t> </w:t>
      </w:r>
      <w:r>
        <w:rPr>
          <w:sz w:val="22"/>
        </w:rPr>
        <w:t>varying viewpoints and encourage student dialogue without inhibiting anyone from expressing a viewpoint</w:t>
      </w:r>
      <w:r>
        <w:rPr>
          <w:spacing w:val="-4"/>
          <w:sz w:val="22"/>
        </w:rPr>
        <w:t> </w:t>
      </w:r>
      <w:r>
        <w:rPr>
          <w:sz w:val="22"/>
        </w:rPr>
        <w:t>that</w:t>
      </w:r>
      <w:r>
        <w:rPr>
          <w:spacing w:val="-4"/>
          <w:sz w:val="22"/>
        </w:rPr>
        <w:t> </w:t>
      </w:r>
      <w:r>
        <w:rPr>
          <w:sz w:val="22"/>
        </w:rPr>
        <w:t>may</w:t>
      </w:r>
      <w:r>
        <w:rPr>
          <w:spacing w:val="-4"/>
          <w:sz w:val="22"/>
        </w:rPr>
        <w:t> </w:t>
      </w:r>
      <w:r>
        <w:rPr>
          <w:sz w:val="22"/>
        </w:rPr>
        <w:t>be</w:t>
      </w:r>
      <w:r>
        <w:rPr>
          <w:spacing w:val="-4"/>
          <w:sz w:val="22"/>
        </w:rPr>
        <w:t> </w:t>
      </w:r>
      <w:r>
        <w:rPr>
          <w:sz w:val="22"/>
        </w:rPr>
        <w:t>contrary</w:t>
      </w:r>
      <w:r>
        <w:rPr>
          <w:spacing w:val="-4"/>
          <w:sz w:val="22"/>
        </w:rPr>
        <w:t> </w:t>
      </w:r>
      <w:r>
        <w:rPr>
          <w:sz w:val="22"/>
        </w:rPr>
        <w:t>to</w:t>
      </w:r>
      <w:r>
        <w:rPr>
          <w:spacing w:val="-4"/>
          <w:sz w:val="22"/>
        </w:rPr>
        <w:t> </w:t>
      </w:r>
      <w:r>
        <w:rPr>
          <w:sz w:val="22"/>
        </w:rPr>
        <w:t>others’.</w:t>
      </w:r>
      <w:r>
        <w:rPr>
          <w:spacing w:val="-4"/>
          <w:sz w:val="22"/>
        </w:rPr>
        <w:t> </w:t>
      </w:r>
      <w:r>
        <w:rPr>
          <w:sz w:val="22"/>
        </w:rPr>
        <w:t>Here</w:t>
      </w:r>
      <w:r>
        <w:rPr>
          <w:spacing w:val="-4"/>
          <w:sz w:val="22"/>
        </w:rPr>
        <w:t> </w:t>
      </w:r>
      <w:r>
        <w:rPr>
          <w:sz w:val="22"/>
        </w:rPr>
        <w:t>are</w:t>
      </w:r>
      <w:r>
        <w:rPr>
          <w:spacing w:val="-4"/>
          <w:sz w:val="22"/>
        </w:rPr>
        <w:t> </w:t>
      </w:r>
      <w:r>
        <w:rPr>
          <w:sz w:val="22"/>
        </w:rPr>
        <w:t>some</w:t>
      </w:r>
      <w:r>
        <w:rPr>
          <w:spacing w:val="-4"/>
          <w:sz w:val="22"/>
        </w:rPr>
        <w:t> </w:t>
      </w:r>
      <w:r>
        <w:rPr>
          <w:sz w:val="22"/>
        </w:rPr>
        <w:t>helpful</w:t>
      </w:r>
      <w:r>
        <w:rPr>
          <w:spacing w:val="-4"/>
          <w:sz w:val="22"/>
        </w:rPr>
        <w:t> </w:t>
      </w:r>
      <w:hyperlink r:id="rId6">
        <w:r>
          <w:rPr>
            <w:color w:val="1154CC"/>
            <w:sz w:val="22"/>
            <w:u w:val="single" w:color="1154CC"/>
          </w:rPr>
          <w:t>ground</w:t>
        </w:r>
        <w:r>
          <w:rPr>
            <w:color w:val="1154CC"/>
            <w:spacing w:val="-4"/>
            <w:sz w:val="22"/>
            <w:u w:val="single" w:color="1154CC"/>
          </w:rPr>
          <w:t> </w:t>
        </w:r>
        <w:r>
          <w:rPr>
            <w:color w:val="1154CC"/>
            <w:sz w:val="22"/>
            <w:u w:val="single" w:color="1154CC"/>
          </w:rPr>
          <w:t>rules</w:t>
        </w:r>
        <w:r>
          <w:rPr>
            <w:color w:val="1154CC"/>
            <w:spacing w:val="-3"/>
            <w:sz w:val="22"/>
            <w:u w:val="single" w:color="1154CC"/>
          </w:rPr>
          <w:t> </w:t>
        </w:r>
      </w:hyperlink>
      <w:r>
        <w:rPr>
          <w:sz w:val="22"/>
        </w:rPr>
        <w:t>and</w:t>
      </w:r>
    </w:p>
    <w:p>
      <w:pPr>
        <w:pStyle w:val="BodyText"/>
        <w:ind w:left="820"/>
      </w:pPr>
      <w:r>
        <w:rPr>
          <w:rFonts w:ascii="Times New Roman"/>
          <w:color w:val="1154CC"/>
          <w:spacing w:val="-55"/>
          <w:u w:val="single" w:color="1154CC"/>
        </w:rPr>
        <w:t> </w:t>
      </w:r>
      <w:hyperlink r:id="rId7">
        <w:r>
          <w:rPr>
            <w:color w:val="1154CC"/>
            <w:u w:val="single" w:color="1154CC"/>
          </w:rPr>
          <w:t>guidance.</w:t>
        </w:r>
      </w:hyperlink>
    </w:p>
    <w:p>
      <w:pPr>
        <w:pStyle w:val="BodyText"/>
        <w:spacing w:before="1"/>
        <w:rPr>
          <w:sz w:val="30"/>
        </w:rPr>
      </w:pPr>
    </w:p>
    <w:p>
      <w:pPr>
        <w:pStyle w:val="ListParagraph"/>
        <w:numPr>
          <w:ilvl w:val="0"/>
          <w:numId w:val="1"/>
        </w:numPr>
        <w:tabs>
          <w:tab w:pos="819" w:val="left" w:leader="none"/>
          <w:tab w:pos="820" w:val="left" w:leader="none"/>
        </w:tabs>
        <w:spacing w:line="240" w:lineRule="auto" w:before="1" w:after="0"/>
        <w:ind w:left="820" w:right="0" w:hanging="360"/>
        <w:jc w:val="left"/>
        <w:rPr>
          <w:sz w:val="22"/>
        </w:rPr>
      </w:pPr>
      <w:r>
        <w:rPr>
          <w:sz w:val="22"/>
        </w:rPr>
        <w:t>Talk</w:t>
      </w:r>
      <w:r>
        <w:rPr>
          <w:spacing w:val="-5"/>
          <w:sz w:val="22"/>
        </w:rPr>
        <w:t> </w:t>
      </w:r>
      <w:r>
        <w:rPr>
          <w:sz w:val="22"/>
        </w:rPr>
        <w:t>with</w:t>
      </w:r>
      <w:r>
        <w:rPr>
          <w:spacing w:val="-5"/>
          <w:sz w:val="22"/>
        </w:rPr>
        <w:t> </w:t>
      </w:r>
      <w:r>
        <w:rPr>
          <w:sz w:val="22"/>
        </w:rPr>
        <w:t>students</w:t>
      </w:r>
      <w:r>
        <w:rPr>
          <w:spacing w:val="-5"/>
          <w:sz w:val="22"/>
        </w:rPr>
        <w:t> </w:t>
      </w:r>
      <w:r>
        <w:rPr>
          <w:sz w:val="22"/>
        </w:rPr>
        <w:t>about</w:t>
      </w:r>
      <w:r>
        <w:rPr>
          <w:spacing w:val="-5"/>
          <w:sz w:val="22"/>
        </w:rPr>
        <w:t> </w:t>
      </w:r>
      <w:r>
        <w:rPr>
          <w:sz w:val="22"/>
        </w:rPr>
        <w:t>their</w:t>
      </w:r>
      <w:r>
        <w:rPr>
          <w:spacing w:val="-5"/>
          <w:sz w:val="22"/>
        </w:rPr>
        <w:t> </w:t>
      </w:r>
      <w:r>
        <w:rPr>
          <w:sz w:val="22"/>
        </w:rPr>
        <w:t>own</w:t>
      </w:r>
      <w:r>
        <w:rPr>
          <w:spacing w:val="-5"/>
          <w:sz w:val="22"/>
        </w:rPr>
        <w:t> </w:t>
      </w:r>
      <w:r>
        <w:rPr>
          <w:sz w:val="22"/>
        </w:rPr>
        <w:t>civic</w:t>
      </w:r>
      <w:r>
        <w:rPr>
          <w:spacing w:val="-5"/>
          <w:sz w:val="22"/>
        </w:rPr>
        <w:t> </w:t>
      </w:r>
      <w:r>
        <w:rPr>
          <w:sz w:val="22"/>
        </w:rPr>
        <w:t>engagement</w:t>
      </w:r>
      <w:r>
        <w:rPr>
          <w:spacing w:val="-5"/>
          <w:sz w:val="22"/>
        </w:rPr>
        <w:t> </w:t>
      </w:r>
      <w:r>
        <w:rPr>
          <w:sz w:val="22"/>
        </w:rPr>
        <w:t>and</w:t>
      </w:r>
      <w:r>
        <w:rPr>
          <w:spacing w:val="-5"/>
          <w:sz w:val="22"/>
        </w:rPr>
        <w:t> </w:t>
      </w:r>
      <w:r>
        <w:rPr>
          <w:sz w:val="22"/>
        </w:rPr>
        <w:t>advocacy.</w:t>
      </w:r>
      <w:r>
        <w:rPr>
          <w:spacing w:val="-5"/>
          <w:sz w:val="22"/>
        </w:rPr>
        <w:t> </w:t>
      </w:r>
      <w:hyperlink r:id="rId8">
        <w:r>
          <w:rPr>
            <w:color w:val="1154CC"/>
            <w:sz w:val="22"/>
            <w:u w:val="single" w:color="1154CC"/>
          </w:rPr>
          <w:t>Civic</w:t>
        </w:r>
        <w:r>
          <w:rPr>
            <w:color w:val="1154CC"/>
            <w:spacing w:val="-5"/>
            <w:sz w:val="22"/>
            <w:u w:val="single" w:color="1154CC"/>
          </w:rPr>
          <w:t> </w:t>
        </w:r>
        <w:r>
          <w:rPr>
            <w:color w:val="1154CC"/>
            <w:sz w:val="22"/>
            <w:u w:val="single" w:color="1154CC"/>
          </w:rPr>
          <w:t>Discourse</w:t>
        </w:r>
        <w:r>
          <w:rPr>
            <w:color w:val="1154CC"/>
            <w:spacing w:val="-5"/>
            <w:sz w:val="22"/>
            <w:u w:val="single" w:color="1154CC"/>
          </w:rPr>
          <w:t> </w:t>
        </w:r>
        <w:r>
          <w:rPr>
            <w:color w:val="1154CC"/>
            <w:sz w:val="22"/>
            <w:u w:val="single" w:color="1154CC"/>
          </w:rPr>
          <w:t>in</w:t>
        </w:r>
      </w:hyperlink>
    </w:p>
    <w:p>
      <w:pPr>
        <w:pStyle w:val="BodyText"/>
        <w:spacing w:line="285" w:lineRule="auto" w:before="47"/>
        <w:ind w:left="820" w:right="56"/>
      </w:pPr>
      <w:r>
        <w:rPr>
          <w:rFonts w:ascii="Times New Roman" w:hAnsi="Times New Roman"/>
          <w:color w:val="1154CC"/>
          <w:spacing w:val="-55"/>
          <w:u w:val="single" w:color="1154CC"/>
        </w:rPr>
        <w:t> </w:t>
      </w:r>
      <w:hyperlink r:id="rId8">
        <w:r>
          <w:rPr>
            <w:color w:val="1154CC"/>
            <w:u w:val="single" w:color="1154CC"/>
          </w:rPr>
          <w:t>the Classroom (Teaching Tolerance) </w:t>
        </w:r>
      </w:hyperlink>
      <w:r>
        <w:rPr/>
        <w:t>is a good resource. Any discussion must be consistent with </w:t>
      </w:r>
      <w:hyperlink r:id="rId9">
        <w:r>
          <w:rPr>
            <w:color w:val="1154CC"/>
            <w:u w:val="single" w:color="1154CC"/>
          </w:rPr>
          <w:t>Procedure 2331P</w:t>
        </w:r>
      </w:hyperlink>
      <w:r>
        <w:rPr/>
        <w:t>, which states, “Students should be provided opportunities to learn about all sides of an issue. Teachers should refrain from promoting their biases in order for students to be able to make independent judgments on the issue.”</w:t>
      </w:r>
    </w:p>
    <w:p>
      <w:pPr>
        <w:pStyle w:val="BodyText"/>
        <w:spacing w:before="1"/>
        <w:rPr>
          <w:sz w:val="26"/>
        </w:rPr>
      </w:pPr>
    </w:p>
    <w:p>
      <w:pPr>
        <w:pStyle w:val="BodyText"/>
        <w:spacing w:line="285" w:lineRule="auto"/>
        <w:ind w:left="100"/>
      </w:pPr>
      <w:r>
        <w:rPr/>
        <w:t>As we grapple with the issue of school safety in the coming weeks and months, let’s take this opportunity to engage our families about how they would like to respond with us as a collective school community.</w:t>
      </w:r>
    </w:p>
    <w:p>
      <w:pPr>
        <w:spacing w:after="0" w:line="285" w:lineRule="auto"/>
        <w:sectPr>
          <w:type w:val="continuous"/>
          <w:pgSz w:w="12240" w:h="15840"/>
          <w:pgMar w:top="1380" w:bottom="280" w:left="1340" w:right="1360"/>
        </w:sectPr>
      </w:pPr>
    </w:p>
    <w:p>
      <w:pPr>
        <w:pStyle w:val="BodyText"/>
        <w:spacing w:line="285" w:lineRule="auto" w:before="63"/>
        <w:ind w:left="100"/>
      </w:pPr>
      <w:r>
        <w:rPr/>
        <w:t>Thank you for your cooperation as we work through this difficult issue together. If you have any questions or concerns, please contact your principal, ILED or a cabinet member. I appreciate all you do every day to know our students by name, strength and need.</w:t>
      </w:r>
    </w:p>
    <w:sectPr>
      <w:pgSz w:w="12240" w:h="15840"/>
      <w:pgMar w:top="1380" w:bottom="280" w:left="134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0"/>
      </w:pPr>
      <w:rPr>
        <w:rFonts w:hint="default" w:ascii="Arial" w:hAnsi="Arial" w:eastAsia="Arial" w:cs="Arial"/>
        <w:spacing w:val="-1"/>
        <w:w w:val="100"/>
        <w:sz w:val="22"/>
        <w:szCs w:val="22"/>
      </w:rPr>
    </w:lvl>
    <w:lvl w:ilvl="1">
      <w:start w:val="0"/>
      <w:numFmt w:val="bullet"/>
      <w:lvlText w:val="•"/>
      <w:lvlJc w:val="left"/>
      <w:pPr>
        <w:ind w:left="1692" w:hanging="360"/>
      </w:pPr>
      <w:rPr>
        <w:rFonts w:hint="default"/>
      </w:rPr>
    </w:lvl>
    <w:lvl w:ilvl="2">
      <w:start w:val="0"/>
      <w:numFmt w:val="bullet"/>
      <w:lvlText w:val="•"/>
      <w:lvlJc w:val="left"/>
      <w:pPr>
        <w:ind w:left="2564" w:hanging="360"/>
      </w:pPr>
      <w:rPr>
        <w:rFonts w:hint="default"/>
      </w:rPr>
    </w:lvl>
    <w:lvl w:ilvl="3">
      <w:start w:val="0"/>
      <w:numFmt w:val="bullet"/>
      <w:lvlText w:val="•"/>
      <w:lvlJc w:val="left"/>
      <w:pPr>
        <w:ind w:left="3436" w:hanging="360"/>
      </w:pPr>
      <w:rPr>
        <w:rFonts w:hint="default"/>
      </w:rPr>
    </w:lvl>
    <w:lvl w:ilvl="4">
      <w:start w:val="0"/>
      <w:numFmt w:val="bullet"/>
      <w:lvlText w:val="•"/>
      <w:lvlJc w:val="left"/>
      <w:pPr>
        <w:ind w:left="4308" w:hanging="360"/>
      </w:pPr>
      <w:rPr>
        <w:rFonts w:hint="default"/>
      </w:rPr>
    </w:lvl>
    <w:lvl w:ilvl="5">
      <w:start w:val="0"/>
      <w:numFmt w:val="bullet"/>
      <w:lvlText w:val="•"/>
      <w:lvlJc w:val="left"/>
      <w:pPr>
        <w:ind w:left="5180" w:hanging="360"/>
      </w:pPr>
      <w:rPr>
        <w:rFonts w:hint="default"/>
      </w:rPr>
    </w:lvl>
    <w:lvl w:ilvl="6">
      <w:start w:val="0"/>
      <w:numFmt w:val="bullet"/>
      <w:lvlText w:val="•"/>
      <w:lvlJc w:val="left"/>
      <w:pPr>
        <w:ind w:left="6052" w:hanging="360"/>
      </w:pPr>
      <w:rPr>
        <w:rFonts w:hint="default"/>
      </w:rPr>
    </w:lvl>
    <w:lvl w:ilvl="7">
      <w:start w:val="0"/>
      <w:numFmt w:val="bullet"/>
      <w:lvlText w:val="•"/>
      <w:lvlJc w:val="left"/>
      <w:pPr>
        <w:ind w:left="6924" w:hanging="360"/>
      </w:pPr>
      <w:rPr>
        <w:rFonts w:hint="default"/>
      </w:rPr>
    </w:lvl>
    <w:lvl w:ilvl="8">
      <w:start w:val="0"/>
      <w:numFmt w:val="bullet"/>
      <w:lvlText w:val="•"/>
      <w:lvlJc w:val="left"/>
      <w:pPr>
        <w:ind w:left="7796"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ListParagraph" w:type="paragraph">
    <w:name w:val="List Paragraph"/>
    <w:basedOn w:val="Normal"/>
    <w:uiPriority w:val="1"/>
    <w:qFormat/>
    <w:pPr>
      <w:ind w:left="820"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highlineschools.org/cms/lib/WA01919413/Centricity/domain/1147/school%20board%20policies/series_2000/2331.pdf" TargetMode="External"/><Relationship Id="rId6" Type="http://schemas.openxmlformats.org/officeDocument/2006/relationships/hyperlink" Target="https://michelletiedje.files.wordpress.com/2013/05/ground-rules-for-civil-discussions.pdf" TargetMode="External"/><Relationship Id="rId7" Type="http://schemas.openxmlformats.org/officeDocument/2006/relationships/hyperlink" Target="https://www.facinghistory.org/sites/default/files/publications/Fostering_Civil_Discourse.pdf" TargetMode="External"/><Relationship Id="rId8" Type="http://schemas.openxmlformats.org/officeDocument/2006/relationships/hyperlink" Target="https://www.tolerance.org/sites/default/files/2017-07/Civil_Discourse_in_the_Classroom.pdf" TargetMode="External"/><Relationship Id="rId9" Type="http://schemas.openxmlformats.org/officeDocument/2006/relationships/hyperlink" Target="https://www.highlineschools.org/cms/lib/WA01919413/Centricity/domain/1147/school%20board%20policies/series_2000/2331P.pdf"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2018-03-21T14:06:56Z</dcterms:created>
  <dcterms:modified xsi:type="dcterms:W3CDTF">2018-03-21T14:06:56Z</dcterms:modified>
</cp:coreProperties>
</file>