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1B881" w14:textId="33A7898B" w:rsidR="16002081" w:rsidRDefault="007452A9" w:rsidP="006E1489">
      <w:pPr>
        <w:pStyle w:val="NoSpacing"/>
        <w:jc w:val="center"/>
      </w:pPr>
      <w:r>
        <w:rPr>
          <w:noProof/>
        </w:rPr>
        <w:drawing>
          <wp:inline distT="0" distB="0" distL="0" distR="0" wp14:anchorId="5327E4D7" wp14:editId="67C8B930">
            <wp:extent cx="3438525" cy="2552844"/>
            <wp:effectExtent l="0" t="0" r="0" b="0"/>
            <wp:docPr id="1871529067" name="Picture 2" descr="Construyendo mejores programas: ejemplos de planes de participación familiar que fomentan la satisfacción de los participantes y de la fami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uilding Better Programs: Family Engagement Plan Examples That Drive  Participant and Family Satisfacti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46701" cy="2558914"/>
                    </a:xfrm>
                    <a:prstGeom prst="rect">
                      <a:avLst/>
                    </a:prstGeom>
                    <a:noFill/>
                    <a:ln>
                      <a:noFill/>
                    </a:ln>
                  </pic:spPr>
                </pic:pic>
              </a:graphicData>
            </a:graphic>
          </wp:inline>
        </w:drawing>
      </w:r>
    </w:p>
    <w:p w14:paraId="6CDF363D" w14:textId="4E5B9153" w:rsidR="00766E44" w:rsidRPr="002F6908" w:rsidRDefault="00CB56F6" w:rsidP="00CB56F6">
      <w:pPr>
        <w:jc w:val="center"/>
        <w:rPr>
          <w:b/>
          <w:bCs/>
          <w:sz w:val="24"/>
          <w:szCs w:val="24"/>
          <w:lang w:val="es-ES"/>
        </w:rPr>
      </w:pPr>
      <w:r w:rsidRPr="002F6908">
        <w:rPr>
          <w:b/>
          <w:bCs/>
          <w:sz w:val="24"/>
          <w:szCs w:val="24"/>
          <w:lang w:val="es-ES"/>
        </w:rPr>
        <w:t>Plan de Participación de Padres y Familias del Título I 2026-2027</w:t>
      </w:r>
    </w:p>
    <w:p w14:paraId="49F52694" w14:textId="77C5216A" w:rsidR="003E4F37" w:rsidRPr="002F6908" w:rsidRDefault="00CB56F6" w:rsidP="00CB56F6">
      <w:pPr>
        <w:jc w:val="center"/>
        <w:rPr>
          <w:b/>
          <w:bCs/>
          <w:sz w:val="24"/>
          <w:szCs w:val="24"/>
          <w:lang w:val="es-ES"/>
        </w:rPr>
      </w:pPr>
      <w:r w:rsidRPr="002F6908">
        <w:rPr>
          <w:b/>
          <w:bCs/>
          <w:sz w:val="24"/>
          <w:szCs w:val="24"/>
          <w:lang w:val="es-ES"/>
        </w:rPr>
        <w:t>Nombre del centro: Pinellas Park Elementary</w:t>
      </w:r>
      <w:r w:rsidR="00B454D3">
        <w:rPr>
          <w:b/>
          <w:bCs/>
          <w:sz w:val="24"/>
          <w:szCs w:val="24"/>
          <w:lang w:val="es-ES"/>
        </w:rPr>
        <w:tab/>
        <w:t>8/19/2026</w:t>
      </w:r>
    </w:p>
    <w:tbl>
      <w:tblPr>
        <w:tblStyle w:val="TableGrid"/>
        <w:tblW w:w="0" w:type="auto"/>
        <w:tblLook w:val="04A0" w:firstRow="1" w:lastRow="0" w:firstColumn="1" w:lastColumn="0" w:noHBand="0" w:noVBand="1"/>
      </w:tblPr>
      <w:tblGrid>
        <w:gridCol w:w="14390"/>
      </w:tblGrid>
      <w:tr w:rsidR="003E4F37" w:rsidRPr="00B454D3" w14:paraId="4E999C70" w14:textId="77777777" w:rsidTr="003E4F37">
        <w:tc>
          <w:tcPr>
            <w:tcW w:w="14616" w:type="dxa"/>
          </w:tcPr>
          <w:p w14:paraId="5987BB21" w14:textId="4497B047" w:rsidR="003960F3" w:rsidRPr="002F6908" w:rsidRDefault="003960F3" w:rsidP="00A30EA8">
            <w:pPr>
              <w:jc w:val="center"/>
              <w:rPr>
                <w:b/>
                <w:bCs/>
                <w:sz w:val="24"/>
                <w:szCs w:val="24"/>
                <w:u w:val="single"/>
                <w:lang w:val="es-ES"/>
              </w:rPr>
            </w:pPr>
            <w:r w:rsidRPr="002F6908">
              <w:rPr>
                <w:b/>
                <w:bCs/>
                <w:sz w:val="24"/>
                <w:szCs w:val="24"/>
                <w:u w:val="single"/>
                <w:lang w:val="es-ES"/>
              </w:rPr>
              <w:t>Por favor, utilice los Datos de Evaluación Integral de Necesidades y cualquier otro dato de participación familiar para completar lo siguiente:</w:t>
            </w:r>
          </w:p>
          <w:p w14:paraId="1EEF7471" w14:textId="77777777" w:rsidR="003960F3" w:rsidRPr="002F6908" w:rsidRDefault="003960F3" w:rsidP="00294372">
            <w:pPr>
              <w:rPr>
                <w:sz w:val="24"/>
                <w:szCs w:val="24"/>
                <w:lang w:val="es-ES"/>
              </w:rPr>
            </w:pPr>
          </w:p>
          <w:p w14:paraId="5A704F18" w14:textId="1CEFC285" w:rsidR="003E4F37" w:rsidRPr="002F6908" w:rsidRDefault="003E4F37" w:rsidP="00294372">
            <w:pPr>
              <w:rPr>
                <w:rFonts w:cstheme="minorHAnsi"/>
                <w:sz w:val="24"/>
                <w:szCs w:val="24"/>
                <w:lang w:val="es-ES"/>
              </w:rPr>
            </w:pPr>
            <w:r w:rsidRPr="002F6908">
              <w:rPr>
                <w:rFonts w:cstheme="minorHAnsi"/>
                <w:sz w:val="24"/>
                <w:szCs w:val="24"/>
                <w:lang w:val="es-ES"/>
              </w:rPr>
              <w:t>Declaración de misión del colegio: En Pinellas Park Elementary, creemos en el potencial de cada alumno. Con compromiso, colaboración e instrucción basada en datos, empoderamos a los estudiantes para que SE ELEVEN—para que tengan éxito, sean apropiados de su aprendizaje, alcancen sus objetivos y alcancen nuevas cotas como aprendices de por vida y ciudadanos que contribuyen. Como comunidad, proporcionaremos el apoyo necesario a todos los estudiantes, para que estén preparados para la universidad y la carrera profesional, alcanzando el máximo nivel de logro.</w:t>
            </w:r>
          </w:p>
          <w:p w14:paraId="48A5DD76" w14:textId="1E2DCC9D" w:rsidR="00294372" w:rsidRPr="002F6908" w:rsidRDefault="00294372" w:rsidP="00294372">
            <w:pPr>
              <w:rPr>
                <w:rFonts w:cstheme="minorHAnsi"/>
                <w:sz w:val="24"/>
                <w:szCs w:val="24"/>
                <w:lang w:val="es-ES"/>
              </w:rPr>
            </w:pPr>
          </w:p>
          <w:p w14:paraId="0D4BBA23" w14:textId="21F01478" w:rsidR="006D7866" w:rsidRPr="002F6908" w:rsidRDefault="00294372" w:rsidP="006D7866">
            <w:pPr>
              <w:rPr>
                <w:rFonts w:cstheme="minorHAnsi"/>
                <w:sz w:val="24"/>
                <w:szCs w:val="24"/>
                <w:lang w:val="es-ES"/>
              </w:rPr>
            </w:pPr>
            <w:r w:rsidRPr="002F6908">
              <w:rPr>
                <w:rFonts w:cstheme="minorHAnsi"/>
                <w:sz w:val="24"/>
                <w:szCs w:val="24"/>
                <w:lang w:val="es-ES"/>
              </w:rPr>
              <w:t xml:space="preserve">Resultados medibles: </w:t>
            </w:r>
            <w:r w:rsidR="00B55B50" w:rsidRPr="002F6908">
              <w:rPr>
                <w:rFonts w:eastAsia="Calibri" w:cstheme="minorHAnsi"/>
                <w:sz w:val="24"/>
                <w:szCs w:val="24"/>
                <w:lang w:val="es-ES"/>
              </w:rPr>
              <w:t>Las familias serán aprovechadas intencionadamente para apoyar las prioridades de mejora escolar mediante noches académicas con padres, conferencias, recursos de aprendizaje en casa y comunicación bidireccional. La escuela supervisará la participación, la retroalimentación familiar y los datos de los estudiantes para aumentar su implicación en lectura, matemáticas y asistencia, con un esfuerzo enfocado en estudiantes con menor nivel de competencia, estudiantes con discapacidades, estudiantes multilingües y estudiantes con preocupaciones sobre la asistencia.</w:t>
            </w:r>
          </w:p>
          <w:p w14:paraId="5E0F6738" w14:textId="2D30785A" w:rsidR="00294372" w:rsidRPr="002F6908" w:rsidRDefault="00294372" w:rsidP="00294372">
            <w:pPr>
              <w:rPr>
                <w:sz w:val="24"/>
                <w:szCs w:val="24"/>
                <w:lang w:val="es-ES"/>
              </w:rPr>
            </w:pPr>
          </w:p>
          <w:p w14:paraId="13AF7EA1" w14:textId="6D44C00A" w:rsidR="003E4F37" w:rsidRPr="002F6908" w:rsidRDefault="003E4F37" w:rsidP="003960F3">
            <w:pPr>
              <w:rPr>
                <w:b/>
                <w:bCs/>
                <w:sz w:val="24"/>
                <w:szCs w:val="24"/>
                <w:lang w:val="es-ES"/>
              </w:rPr>
            </w:pPr>
          </w:p>
        </w:tc>
      </w:tr>
    </w:tbl>
    <w:p w14:paraId="7D802480" w14:textId="049FB898" w:rsidR="003E4F37" w:rsidRPr="002F6908" w:rsidRDefault="003E4F37" w:rsidP="00931AB9">
      <w:pPr>
        <w:rPr>
          <w:i/>
          <w:iCs/>
          <w:sz w:val="12"/>
          <w:szCs w:val="12"/>
          <w:lang w:val="es-ES"/>
        </w:rPr>
      </w:pPr>
    </w:p>
    <w:tbl>
      <w:tblPr>
        <w:tblStyle w:val="TableGrid"/>
        <w:tblW w:w="0" w:type="auto"/>
        <w:tblLook w:val="04A0" w:firstRow="1" w:lastRow="0" w:firstColumn="1" w:lastColumn="0" w:noHBand="0" w:noVBand="1"/>
      </w:tblPr>
      <w:tblGrid>
        <w:gridCol w:w="14390"/>
      </w:tblGrid>
      <w:tr w:rsidR="003E4F37" w:rsidRPr="00B454D3" w14:paraId="5936C491" w14:textId="77777777" w:rsidTr="7EBB3D44">
        <w:tc>
          <w:tcPr>
            <w:tcW w:w="14390" w:type="dxa"/>
          </w:tcPr>
          <w:p w14:paraId="60A29B90" w14:textId="0A747B0C" w:rsidR="003E4F37" w:rsidRPr="002F6908" w:rsidRDefault="003E4F37" w:rsidP="00855902">
            <w:pPr>
              <w:rPr>
                <w:b/>
                <w:bCs/>
                <w:sz w:val="28"/>
                <w:szCs w:val="28"/>
                <w:lang w:val="es-ES"/>
              </w:rPr>
            </w:pPr>
            <w:r w:rsidRPr="002F6908">
              <w:rPr>
                <w:b/>
                <w:bCs/>
                <w:sz w:val="28"/>
                <w:szCs w:val="28"/>
                <w:lang w:val="es-ES"/>
              </w:rPr>
              <w:t>Fortalecer la capacidad de las familias</w:t>
            </w:r>
          </w:p>
        </w:tc>
      </w:tr>
      <w:tr w:rsidR="003E4F37" w:rsidRPr="00B454D3" w14:paraId="53C8CEAB" w14:textId="77777777" w:rsidTr="7EBB3D44">
        <w:tc>
          <w:tcPr>
            <w:tcW w:w="14390" w:type="dxa"/>
          </w:tcPr>
          <w:p w14:paraId="6FA1E544" w14:textId="77777777" w:rsidR="003E4F37" w:rsidRPr="002F6908" w:rsidRDefault="003E4F37" w:rsidP="00855902">
            <w:pPr>
              <w:rPr>
                <w:sz w:val="24"/>
                <w:szCs w:val="24"/>
                <w:lang w:val="es-ES"/>
              </w:rPr>
            </w:pPr>
            <w:r w:rsidRPr="002F6908">
              <w:rPr>
                <w:sz w:val="24"/>
                <w:szCs w:val="24"/>
                <w:lang w:val="es-ES"/>
              </w:rPr>
              <w:t xml:space="preserve">Describe cómo el colegio implementará actividades que fomenten la capacidad para actividades fuertes entre padres y familias, con el fin de garantizar una participación efectiva de los padres y apoyar una colaboración entre el colegio implicado, los padres y la comunidad para mejorar </w:t>
            </w:r>
            <w:r w:rsidRPr="002F6908">
              <w:rPr>
                <w:sz w:val="24"/>
                <w:szCs w:val="24"/>
                <w:lang w:val="es-ES"/>
              </w:rPr>
              <w:lastRenderedPageBreak/>
              <w:t xml:space="preserve">el rendimiento académico de los estudiantes [Sección 1118(e)]. Describe las acciones que el colegio llevará a cabo para proporcionar materiales y formación que ayuden a los padres a trabajar con sus hijos para mejorar el rendimiento académico de su hijo [Sección 1118(e)(2)]. Incluye información sobre cómo el colegio proporcionará otro apoyo razonable para actividades de participación parental bajo la Sección 1118 según lo soliciten los padres [Sección 1118(e)(14)]. </w:t>
            </w:r>
          </w:p>
          <w:p w14:paraId="251FE60A" w14:textId="3441133E" w:rsidR="003E4F37" w:rsidRPr="002F6908" w:rsidRDefault="003E4F37" w:rsidP="00855902">
            <w:pPr>
              <w:rPr>
                <w:b/>
                <w:bCs/>
                <w:sz w:val="24"/>
                <w:szCs w:val="24"/>
                <w:lang w:val="es-ES"/>
              </w:rPr>
            </w:pPr>
          </w:p>
        </w:tc>
      </w:tr>
      <w:tr w:rsidR="003E4F37" w:rsidRPr="00B454D3" w14:paraId="359D9EBD" w14:textId="77777777" w:rsidTr="7EBB3D44">
        <w:tc>
          <w:tcPr>
            <w:tcW w:w="14390" w:type="dxa"/>
          </w:tcPr>
          <w:p w14:paraId="3F307622" w14:textId="77777777" w:rsidR="00C37FF7" w:rsidRPr="002F6908" w:rsidRDefault="00C37FF7" w:rsidP="00F11D8F">
            <w:pPr>
              <w:rPr>
                <w:rFonts w:ascii="Segoe UI" w:hAnsi="Segoe UI" w:cs="Segoe UI"/>
                <w:sz w:val="24"/>
                <w:szCs w:val="24"/>
                <w:lang w:val="es-ES"/>
              </w:rPr>
            </w:pPr>
          </w:p>
          <w:p w14:paraId="57911E4B" w14:textId="77777777" w:rsidR="0078306F" w:rsidRPr="002F6908" w:rsidRDefault="0078306F" w:rsidP="00F11D8F">
            <w:pPr>
              <w:rPr>
                <w:rFonts w:ascii="Segoe UI" w:hAnsi="Segoe UI" w:cs="Segoe UI"/>
                <w:sz w:val="24"/>
                <w:szCs w:val="24"/>
                <w:lang w:val="es-ES"/>
              </w:rPr>
            </w:pPr>
          </w:p>
          <w:p w14:paraId="2E663228" w14:textId="56BCD1AE" w:rsidR="005368E5" w:rsidRPr="002F6908" w:rsidRDefault="005368E5" w:rsidP="005368E5">
            <w:pPr>
              <w:spacing w:after="120" w:line="259" w:lineRule="auto"/>
              <w:rPr>
                <w:lang w:val="es-ES"/>
              </w:rPr>
            </w:pPr>
            <w:r w:rsidRPr="002F6908">
              <w:rPr>
                <w:rFonts w:ascii="Calibri" w:eastAsia="Calibri" w:hAnsi="Calibri"/>
                <w:lang w:val="es-ES"/>
              </w:rPr>
              <w:t>Utilizando la Evaluación Integral de Necesidades y los datos de participación familiar, Pinellas Park ES dirigirá los esfuerzos de participación familiar hacia estudiantes con menos competencia en lectura y matemáticas, estudiantes con problemas de asistencia, estudiantes con discapacidades y estudiantes multilingües. El colegio conectará las actividades de participación familiar directamente con los objetivos de mejora escolar proporcionando eventos y recursos que ayuden a las familias a apoyar la alfabetización, las matemáticas y la asistencia diaria en casa.</w:t>
            </w:r>
          </w:p>
          <w:p w14:paraId="219F0572" w14:textId="77777777" w:rsidR="005368E5" w:rsidRPr="002F6908" w:rsidRDefault="005368E5" w:rsidP="005368E5">
            <w:pPr>
              <w:spacing w:after="120" w:line="259" w:lineRule="auto"/>
              <w:rPr>
                <w:lang w:val="es-ES"/>
              </w:rPr>
            </w:pPr>
          </w:p>
          <w:p w14:paraId="6CA0A2E1" w14:textId="47FCB9A5" w:rsidR="005368E5" w:rsidRPr="002F6908" w:rsidRDefault="005368E5" w:rsidP="005368E5">
            <w:pPr>
              <w:spacing w:after="120" w:line="259" w:lineRule="auto"/>
              <w:rPr>
                <w:lang w:val="es-ES"/>
              </w:rPr>
            </w:pPr>
            <w:r w:rsidRPr="002F6908">
              <w:rPr>
                <w:rFonts w:ascii="Calibri" w:eastAsia="Calibri" w:hAnsi="Calibri"/>
                <w:lang w:val="es-ES"/>
              </w:rPr>
              <w:t>Las actividades de desarrollo de capacidades familiares incluirán encuentros con saludos, jornadas de puertas abiertas, eventos para padres de Title I, reuniones de padres y profesores, noches de currículo, noches familiares de alfabetización y matemáticas, debates de Title I compacts y talleres familiares específicos relacionados con las necesidades de los estudiantes. Las familias recibirán materiales prácticos como estrategias de alfabetización y matemáticas para llevar a casa, juegos, apoyos de vocabulario académico, consejos de asistencia, información para el seguimiento del progreso y orientación sobre cómo utilizar los datos de los estudiantes para apoyar el aprendizaje.</w:t>
            </w:r>
          </w:p>
          <w:p w14:paraId="699581FB" w14:textId="77777777" w:rsidR="005368E5" w:rsidRPr="002F6908" w:rsidRDefault="005368E5" w:rsidP="005368E5">
            <w:pPr>
              <w:spacing w:after="120" w:line="259" w:lineRule="auto"/>
              <w:rPr>
                <w:lang w:val="es-ES"/>
              </w:rPr>
            </w:pPr>
          </w:p>
          <w:p w14:paraId="4C84C456" w14:textId="27A857EC" w:rsidR="0078306F" w:rsidRPr="002F6908" w:rsidRDefault="005368E5" w:rsidP="005368E5">
            <w:pPr>
              <w:rPr>
                <w:rFonts w:ascii="Segoe UI" w:hAnsi="Segoe UI" w:cs="Segoe UI"/>
                <w:sz w:val="24"/>
                <w:szCs w:val="24"/>
                <w:lang w:val="es-ES"/>
              </w:rPr>
            </w:pPr>
            <w:r w:rsidRPr="002F6908">
              <w:rPr>
                <w:rFonts w:ascii="Calibri" w:eastAsia="Calibri" w:hAnsi="Calibri"/>
                <w:lang w:val="es-ES"/>
              </w:rPr>
              <w:t>Para que el impacto sea medible, cada evento incluirá un enfoque académico claro. Por ejemplo, las familias pueden aprender a apoyar la fluidez lectora, la comprensión, las habilidades básicas, la fluidez en hechos matemáticos, la resolución de problemas y rutinas de asistencia constantes. Los profesores y responsables escolares revisarán los datos de participación, encuestas y tendencias de rendimiento estudiantil tras cada evento para determinar qué apoyos son más útiles y cuáles familias necesitan más divulgación. El colegio también proporcionará un apoyo razonable solicitado por las familias, incluyendo conferencias adicionales, materiales traducidos, derivaciones a socios comunitarios y asistencia de seguimiento del orientador escolar, trabajador social, enlace familiar o administración según sea necesario.</w:t>
            </w:r>
          </w:p>
          <w:p w14:paraId="51839AB9" w14:textId="77777777" w:rsidR="00E503B9" w:rsidRPr="002F6908" w:rsidRDefault="00E503B9" w:rsidP="00F11D8F">
            <w:pPr>
              <w:rPr>
                <w:rFonts w:ascii="Segoe UI" w:hAnsi="Segoe UI" w:cs="Segoe UI"/>
                <w:sz w:val="24"/>
                <w:szCs w:val="24"/>
                <w:lang w:val="es-ES"/>
              </w:rPr>
            </w:pPr>
          </w:p>
          <w:p w14:paraId="33BFAE7D" w14:textId="77777777" w:rsidR="00C37FF7" w:rsidRPr="002F6908" w:rsidRDefault="00C37FF7" w:rsidP="00F11D8F">
            <w:pPr>
              <w:rPr>
                <w:rFonts w:ascii="Segoe UI" w:hAnsi="Segoe UI" w:cs="Segoe UI"/>
                <w:sz w:val="24"/>
                <w:szCs w:val="24"/>
                <w:lang w:val="es-ES"/>
              </w:rPr>
            </w:pPr>
          </w:p>
          <w:p w14:paraId="0695A312" w14:textId="4D7DC616" w:rsidR="00E50046" w:rsidRPr="002F6908" w:rsidRDefault="00C05ABB" w:rsidP="00CF52B8">
            <w:pPr>
              <w:rPr>
                <w:rFonts w:ascii="Segoe UI" w:hAnsi="Segoe UI" w:cs="Segoe UI"/>
                <w:sz w:val="24"/>
                <w:szCs w:val="24"/>
                <w:lang w:val="es-ES"/>
              </w:rPr>
            </w:pPr>
            <w:r w:rsidRPr="002F6908">
              <w:rPr>
                <w:rFonts w:ascii="Segoe UI" w:hAnsi="Segoe UI" w:cs="Segoe UI"/>
                <w:sz w:val="24"/>
                <w:szCs w:val="24"/>
                <w:lang w:val="es-ES"/>
              </w:rPr>
              <w:t xml:space="preserve"> </w:t>
            </w:r>
          </w:p>
        </w:tc>
      </w:tr>
      <w:tr w:rsidR="004E6336" w:rsidRPr="00B454D3" w14:paraId="7D3557BE" w14:textId="77777777" w:rsidTr="7EBB3D44">
        <w:tc>
          <w:tcPr>
            <w:tcW w:w="14390" w:type="dxa"/>
          </w:tcPr>
          <w:p w14:paraId="704AB602" w14:textId="3950DD0E" w:rsidR="004E6336" w:rsidRPr="002F6908" w:rsidRDefault="004E6336" w:rsidP="00855902">
            <w:pPr>
              <w:rPr>
                <w:b/>
                <w:bCs/>
                <w:sz w:val="28"/>
                <w:szCs w:val="28"/>
                <w:lang w:val="es-ES"/>
              </w:rPr>
            </w:pPr>
            <w:r w:rsidRPr="002F6908">
              <w:rPr>
                <w:b/>
                <w:bCs/>
                <w:sz w:val="28"/>
                <w:szCs w:val="28"/>
                <w:lang w:val="es-ES"/>
              </w:rPr>
              <w:t>Desarrollo profesional del personal relacionado con la participación familiar</w:t>
            </w:r>
          </w:p>
        </w:tc>
      </w:tr>
      <w:tr w:rsidR="004E6336" w:rsidRPr="00B454D3" w14:paraId="3BE233AD" w14:textId="77777777" w:rsidTr="7EBB3D44">
        <w:tc>
          <w:tcPr>
            <w:tcW w:w="14390" w:type="dxa"/>
          </w:tcPr>
          <w:p w14:paraId="6C5C4308" w14:textId="77777777" w:rsidR="004E6336" w:rsidRPr="002F6908" w:rsidRDefault="004E6336" w:rsidP="00855902">
            <w:pPr>
              <w:rPr>
                <w:sz w:val="24"/>
                <w:szCs w:val="24"/>
                <w:lang w:val="es-ES"/>
              </w:rPr>
            </w:pPr>
            <w:r w:rsidRPr="002F6908">
              <w:rPr>
                <w:sz w:val="24"/>
                <w:szCs w:val="24"/>
                <w:lang w:val="es-ES"/>
              </w:rPr>
              <w:t>Describe las actividades de desarrollo profesional que el colegio ofrecerá para educar a los profesores, personal de servicios al alumnado, directores y demás personal sobre cómo acercarse, comunicarse y trabajar con los padres como socios igualitarios, en el valor y utilidad de las contribuciones de los padres, en cómo implementar y coordinar programas para padres, y en construir vínculos entre padres y escuelas [Sección 1118(e)(3)]</w:t>
            </w:r>
          </w:p>
          <w:p w14:paraId="02741F52" w14:textId="4BED5ED7" w:rsidR="007E5261" w:rsidRPr="002F6908" w:rsidRDefault="007E5261" w:rsidP="00855902">
            <w:pPr>
              <w:rPr>
                <w:b/>
                <w:bCs/>
                <w:sz w:val="24"/>
                <w:szCs w:val="24"/>
                <w:lang w:val="es-ES"/>
              </w:rPr>
            </w:pPr>
          </w:p>
        </w:tc>
      </w:tr>
      <w:tr w:rsidR="004E6336" w:rsidRPr="00B454D3" w14:paraId="25B8F55E" w14:textId="77777777" w:rsidTr="7EBB3D44">
        <w:tc>
          <w:tcPr>
            <w:tcW w:w="14390" w:type="dxa"/>
          </w:tcPr>
          <w:p w14:paraId="1784E675" w14:textId="00472EB4" w:rsidR="00A30EA8" w:rsidRPr="002F6908" w:rsidRDefault="00A30EA8" w:rsidP="00855902">
            <w:pPr>
              <w:rPr>
                <w:b/>
                <w:bCs/>
                <w:sz w:val="4"/>
                <w:szCs w:val="4"/>
                <w:lang w:val="es-ES"/>
              </w:rPr>
            </w:pPr>
          </w:p>
          <w:p w14:paraId="04F128BE" w14:textId="06703753" w:rsidR="00814267" w:rsidRPr="002F6908" w:rsidRDefault="00814267" w:rsidP="00855902">
            <w:pPr>
              <w:rPr>
                <w:rStyle w:val="cf01"/>
                <w:sz w:val="24"/>
                <w:szCs w:val="24"/>
                <w:lang w:val="es-ES"/>
              </w:rPr>
            </w:pPr>
            <w:r w:rsidRPr="002F6908">
              <w:rPr>
                <w:rStyle w:val="cf01"/>
                <w:sz w:val="24"/>
                <w:szCs w:val="24"/>
                <w:lang w:val="es-ES"/>
              </w:rPr>
              <w:lastRenderedPageBreak/>
              <w:t>¿Cómo construirá activamente la dirección escolar la capacidad de los profesores y el personal, relacionada con la participación familiar continua y vinculada a los objetivos académicos?</w:t>
            </w:r>
          </w:p>
          <w:p w14:paraId="7EE10EE4" w14:textId="77777777" w:rsidR="00ED5556" w:rsidRPr="002F6908" w:rsidRDefault="00ED5556" w:rsidP="00ED5556">
            <w:pPr>
              <w:spacing w:after="120" w:line="259" w:lineRule="auto"/>
              <w:rPr>
                <w:lang w:val="es-ES"/>
              </w:rPr>
            </w:pPr>
            <w:r w:rsidRPr="002F6908">
              <w:rPr>
                <w:rFonts w:ascii="Calibri" w:eastAsia="Calibri" w:hAnsi="Calibri"/>
                <w:lang w:val="es-ES"/>
              </w:rPr>
              <w:t>El liderazgo escolar ofrecerá al menos una oportunidad de desarrollo profesional centrada en la participación familiar cada semestre. Durante el primer semestre, el personal recibirá apoyo para construir relaciones de confianza con las familias, utilizar la comunicación bidireccional, compartir datos de los estudiantes en un lenguaje familiar y ayudar a las familias a entender cómo apoyar los objetivos de lectura, matemáticas y asistencia en casa. Durante el segundo semestre, el desarrollo profesional del personal se centrará en fortalecer la implicación con las familias de estudiantes con discapacidades y estudiantes multilingües, aumentar la participación familiar en conferencias y eventos académicos, y utilizar la retroalimentación familiar para ajustar los apoyos.</w:t>
            </w:r>
          </w:p>
          <w:p w14:paraId="1B0535B8" w14:textId="77777777" w:rsidR="00ED5556" w:rsidRPr="002F6908" w:rsidRDefault="00ED5556" w:rsidP="00ED5556">
            <w:pPr>
              <w:spacing w:after="120" w:line="259" w:lineRule="auto"/>
              <w:rPr>
                <w:lang w:val="es-ES"/>
              </w:rPr>
            </w:pPr>
          </w:p>
          <w:p w14:paraId="22505531" w14:textId="31EA951C" w:rsidR="00ED5556" w:rsidRPr="002F6908" w:rsidRDefault="00ED5556" w:rsidP="00ED5556">
            <w:pPr>
              <w:rPr>
                <w:rStyle w:val="cf01"/>
                <w:sz w:val="24"/>
                <w:szCs w:val="24"/>
                <w:lang w:val="es-ES"/>
              </w:rPr>
            </w:pPr>
            <w:r w:rsidRPr="002F6908">
              <w:rPr>
                <w:rFonts w:ascii="Calibri" w:eastAsia="Calibri" w:hAnsi="Calibri"/>
                <w:lang w:val="es-ES"/>
              </w:rPr>
              <w:t>El liderazgo reforzará este trabajo mediante debates en el PLC, reuniones de planificación de eventos, revisiones de encuestas y conversaciones de coaching con los profesores. Los administradores, el personal de apoyo y los profesores examinarán barreras que limitan la participación, como la programación, el transporte, el acceso al idioma y la comprensión limitada de las expectativas académicas. Se espera que el personal utilice el valor y la utilidad de las asociaciones familiares como parte de la práctica diaria, no solo en eventos especiales. La evidencia de su implementación incluirá registros de comunicación mejorados, mayor participación de los padres, una planificación de eventos más receptiva y una mayor alineación entre los esfuerzos de participación familiar y los objetivos académicos escolares.</w:t>
            </w:r>
          </w:p>
          <w:p w14:paraId="2EF218AE" w14:textId="77777777" w:rsidR="00980893" w:rsidRPr="002F6908" w:rsidRDefault="00980893" w:rsidP="00855902">
            <w:pPr>
              <w:rPr>
                <w:rStyle w:val="cf01"/>
                <w:lang w:val="es-ES"/>
              </w:rPr>
            </w:pPr>
          </w:p>
          <w:p w14:paraId="48169758" w14:textId="0DDF5F3A" w:rsidR="007F583D" w:rsidRPr="002F6908" w:rsidRDefault="007F583D" w:rsidP="00855902">
            <w:pPr>
              <w:rPr>
                <w:i/>
                <w:iCs/>
                <w:sz w:val="24"/>
                <w:szCs w:val="24"/>
                <w:lang w:val="es-ES"/>
              </w:rPr>
            </w:pPr>
          </w:p>
        </w:tc>
      </w:tr>
    </w:tbl>
    <w:p w14:paraId="3DF28819" w14:textId="63EB56B5" w:rsidR="00CB56F6" w:rsidRPr="002F6908" w:rsidRDefault="00CB56F6" w:rsidP="00CF52B8">
      <w:pPr>
        <w:rPr>
          <w:b/>
          <w:bCs/>
          <w:sz w:val="28"/>
          <w:szCs w:val="28"/>
          <w:lang w:val="es-ES"/>
        </w:rPr>
      </w:pPr>
    </w:p>
    <w:tbl>
      <w:tblPr>
        <w:tblStyle w:val="TableGrid"/>
        <w:tblW w:w="0" w:type="auto"/>
        <w:tblLook w:val="04A0" w:firstRow="1" w:lastRow="0" w:firstColumn="1" w:lastColumn="0" w:noHBand="0" w:noVBand="1"/>
      </w:tblPr>
      <w:tblGrid>
        <w:gridCol w:w="14390"/>
      </w:tblGrid>
      <w:tr w:rsidR="00931AB9" w:rsidRPr="00B454D3" w14:paraId="1169A258" w14:textId="77777777" w:rsidTr="001F77A1">
        <w:trPr>
          <w:trHeight w:val="440"/>
        </w:trPr>
        <w:tc>
          <w:tcPr>
            <w:tcW w:w="14616" w:type="dxa"/>
          </w:tcPr>
          <w:p w14:paraId="51DFCA88" w14:textId="779944E3" w:rsidR="00CB56F6" w:rsidRPr="002F6908" w:rsidRDefault="0038756F" w:rsidP="00CB56F6">
            <w:pPr>
              <w:rPr>
                <w:b/>
                <w:bCs/>
                <w:sz w:val="28"/>
                <w:szCs w:val="28"/>
                <w:lang w:val="es-ES"/>
              </w:rPr>
            </w:pPr>
            <w:r w:rsidRPr="002F6908">
              <w:rPr>
                <w:b/>
                <w:bCs/>
                <w:sz w:val="28"/>
                <w:szCs w:val="28"/>
                <w:lang w:val="es-ES"/>
              </w:rPr>
              <w:t>Experiencia de la Reunión Anual de Padres del Título I</w:t>
            </w:r>
          </w:p>
        </w:tc>
      </w:tr>
      <w:tr w:rsidR="00931AB9" w14:paraId="1F48D39F" w14:textId="77777777" w:rsidTr="001F77A1">
        <w:tc>
          <w:tcPr>
            <w:tcW w:w="14616" w:type="dxa"/>
          </w:tcPr>
          <w:p w14:paraId="528DA6E7" w14:textId="787B816B" w:rsidR="001849AE" w:rsidRPr="00324FF2" w:rsidRDefault="00585B64" w:rsidP="00CB56F6">
            <w:pPr>
              <w:rPr>
                <w:b/>
                <w:bCs/>
                <w:sz w:val="24"/>
                <w:szCs w:val="24"/>
              </w:rPr>
            </w:pPr>
            <w:r w:rsidRPr="002F6908">
              <w:rPr>
                <w:sz w:val="24"/>
                <w:szCs w:val="24"/>
                <w:lang w:val="es-ES"/>
              </w:rPr>
              <w:t xml:space="preserve">Cada centro convocará una reunión anual destinada a informar a los padres de los niños participantes sobre el programa Título I del centro, la naturaleza del programa Título I (asistencia escolar o dirigida), la elección escolar, los servicios educativos complementarios y los derechos de los padres. </w:t>
            </w:r>
            <w:r>
              <w:rPr>
                <w:sz w:val="24"/>
                <w:szCs w:val="24"/>
              </w:rPr>
              <w:t xml:space="preserve">[Sección 1118(c)(1)]. </w:t>
            </w:r>
          </w:p>
        </w:tc>
      </w:tr>
      <w:tr w:rsidR="00931AB9" w:rsidRPr="00B454D3" w14:paraId="073665BB" w14:textId="77777777" w:rsidTr="001F77A1">
        <w:tc>
          <w:tcPr>
            <w:tcW w:w="14616" w:type="dxa"/>
          </w:tcPr>
          <w:p w14:paraId="0C057671" w14:textId="65E52E16" w:rsidR="00782418" w:rsidRPr="002F6908" w:rsidRDefault="00782418" w:rsidP="00782418">
            <w:pPr>
              <w:rPr>
                <w:rFonts w:ascii="Segoe UI" w:hAnsi="Segoe UI" w:cs="Segoe UI"/>
                <w:b/>
                <w:bCs/>
                <w:sz w:val="24"/>
                <w:szCs w:val="24"/>
                <w:lang w:val="es-ES"/>
              </w:rPr>
            </w:pPr>
            <w:r w:rsidRPr="002F6908">
              <w:rPr>
                <w:rFonts w:ascii="Segoe UI" w:hAnsi="Segoe UI" w:cs="Segoe UI"/>
                <w:sz w:val="24"/>
                <w:szCs w:val="24"/>
                <w:lang w:val="es-ES"/>
              </w:rPr>
              <w:t>¿Cómo recibirás la retroalimentación grabada de los padres sobre la reunión? ¿Cómo se utilizará la opinión grabada para informar los eventos futuros?</w:t>
            </w:r>
          </w:p>
          <w:p w14:paraId="4EB9281C" w14:textId="77777777" w:rsidR="00DC56C4" w:rsidRPr="002F6908" w:rsidRDefault="00DC56C4" w:rsidP="00782418">
            <w:pPr>
              <w:rPr>
                <w:rFonts w:ascii="Segoe UI" w:hAnsi="Segoe UI" w:cs="Segoe UI"/>
                <w:b/>
                <w:bCs/>
                <w:sz w:val="24"/>
                <w:szCs w:val="24"/>
                <w:lang w:val="es-ES"/>
              </w:rPr>
            </w:pPr>
          </w:p>
          <w:p w14:paraId="5C504096" w14:textId="77777777" w:rsidR="008C67B2" w:rsidRPr="002F6908" w:rsidRDefault="008C67B2" w:rsidP="008C67B2">
            <w:pPr>
              <w:spacing w:after="120" w:line="259" w:lineRule="auto"/>
              <w:rPr>
                <w:lang w:val="es-ES"/>
              </w:rPr>
            </w:pPr>
            <w:r w:rsidRPr="002F6908">
              <w:rPr>
                <w:rFonts w:ascii="Calibri" w:eastAsia="Calibri" w:hAnsi="Calibri"/>
                <w:lang w:val="es-ES"/>
              </w:rPr>
              <w:t>Pinellas Park ES recopilará comentarios de las familias mediante encuestas en papel, formularios QR o digitales, y seguimiento de la Reunión Anual del Título I. Los comentarios serán revisados por la dirección del centro para identificar fortalezas, barreras a la participación, temas que las familias quieren abordar y apoyos que las familias creen que les ayudarían a ayudar mejor a sus hijos en casa. Los resultados se utilizarán para perfeccionar futuros eventos familiares, métodos de comunicación, programación y prioridades de gasto bajo el Título I.</w:t>
            </w:r>
          </w:p>
          <w:p w14:paraId="79707287" w14:textId="69E69F19" w:rsidR="00782418" w:rsidRPr="002F6908" w:rsidRDefault="00782418" w:rsidP="00782418">
            <w:pPr>
              <w:rPr>
                <w:rFonts w:ascii="Segoe UI" w:hAnsi="Segoe UI" w:cs="Segoe UI"/>
                <w:sz w:val="24"/>
                <w:szCs w:val="24"/>
                <w:lang w:val="es-ES"/>
              </w:rPr>
            </w:pPr>
          </w:p>
          <w:p w14:paraId="1F896719" w14:textId="7544E426" w:rsidR="00782418" w:rsidRPr="002F6908" w:rsidRDefault="00782418" w:rsidP="00782418">
            <w:pPr>
              <w:rPr>
                <w:rFonts w:ascii="Segoe UI" w:hAnsi="Segoe UI" w:cs="Segoe UI"/>
                <w:sz w:val="24"/>
                <w:szCs w:val="24"/>
                <w:lang w:val="es-ES"/>
              </w:rPr>
            </w:pPr>
          </w:p>
          <w:p w14:paraId="415E7BAE" w14:textId="5E1EAB7B" w:rsidR="00782418" w:rsidRPr="002F6908" w:rsidRDefault="00102082" w:rsidP="00782418">
            <w:pPr>
              <w:rPr>
                <w:rFonts w:ascii="Segoe UI" w:hAnsi="Segoe UI" w:cs="Segoe UI"/>
                <w:sz w:val="24"/>
                <w:szCs w:val="24"/>
                <w:lang w:val="es-ES"/>
              </w:rPr>
            </w:pPr>
            <w:r w:rsidRPr="002F6908">
              <w:rPr>
                <w:rFonts w:ascii="Segoe UI" w:hAnsi="Segoe UI" w:cs="Segoe UI"/>
                <w:sz w:val="24"/>
                <w:szCs w:val="24"/>
                <w:lang w:val="es-ES"/>
              </w:rPr>
              <w:t>¿Cómo abordarás las barreras para aumentar la asistencia y el apoyo académico en casa?</w:t>
            </w:r>
          </w:p>
          <w:p w14:paraId="06B611AF" w14:textId="77777777" w:rsidR="00CC18BB" w:rsidRPr="002F6908" w:rsidRDefault="00CC18BB" w:rsidP="00CC18BB">
            <w:pPr>
              <w:spacing w:after="120" w:line="259" w:lineRule="auto"/>
              <w:rPr>
                <w:lang w:val="es-ES"/>
              </w:rPr>
            </w:pPr>
            <w:r w:rsidRPr="002F6908">
              <w:rPr>
                <w:rFonts w:ascii="Calibri" w:eastAsia="Calibri" w:hAnsi="Calibri"/>
                <w:lang w:val="es-ES"/>
              </w:rPr>
              <w:t xml:space="preserve">El colegio abordará las barreras ofreciendo horarios de reunión familiares, recordatorios a través de múltiples plataformas y conectando a las familias con el apoyo del orientador, el trabajador social, socios comunitarios y el personal escolar cuando surjan preocupaciones de asistencia o académicas. Pinellas Park ES </w:t>
            </w:r>
            <w:r w:rsidRPr="002F6908">
              <w:rPr>
                <w:rFonts w:ascii="Calibri" w:eastAsia="Calibri" w:hAnsi="Calibri"/>
                <w:lang w:val="es-ES"/>
              </w:rPr>
              <w:lastRenderedPageBreak/>
              <w:t>continuará con incentivos de asistencia, actividades positivas de alcance familiar, reuniones del equipo de apoyo estudiantil, visitas domiciliarias cuando sea necesario y educación a los padres sobre la importancia de la asistencia y las rutinas de aprendizaje en casa. El apoyo académico en casa se reforzará mediante talleres, recursos para llevar a casa y explicaciones claras sobre cómo las familias pueden ayudar con la lectura y las matemáticas.</w:t>
            </w:r>
          </w:p>
          <w:p w14:paraId="233A17F7" w14:textId="77777777" w:rsidR="00CC18BB" w:rsidRPr="002F6908" w:rsidRDefault="00CC18BB" w:rsidP="00782418">
            <w:pPr>
              <w:rPr>
                <w:rFonts w:ascii="Segoe UI" w:hAnsi="Segoe UI" w:cs="Segoe UI"/>
                <w:sz w:val="24"/>
                <w:szCs w:val="24"/>
                <w:lang w:val="es-ES"/>
              </w:rPr>
            </w:pPr>
          </w:p>
          <w:p w14:paraId="12FB70D9" w14:textId="5324F51F" w:rsidR="00782418" w:rsidRPr="002F6908" w:rsidRDefault="00782418" w:rsidP="00782418">
            <w:pPr>
              <w:rPr>
                <w:rFonts w:ascii="Segoe UI" w:hAnsi="Segoe UI" w:cs="Segoe UI"/>
                <w:sz w:val="24"/>
                <w:szCs w:val="24"/>
                <w:lang w:val="es-ES"/>
              </w:rPr>
            </w:pPr>
          </w:p>
          <w:p w14:paraId="2C7A0FD1" w14:textId="659BB9DB" w:rsidR="00782418" w:rsidRPr="002F6908" w:rsidRDefault="00782418" w:rsidP="00782418">
            <w:pPr>
              <w:rPr>
                <w:rFonts w:ascii="Segoe UI" w:hAnsi="Segoe UI" w:cs="Segoe UI"/>
                <w:b/>
                <w:bCs/>
                <w:sz w:val="24"/>
                <w:szCs w:val="24"/>
                <w:lang w:val="es-ES"/>
              </w:rPr>
            </w:pPr>
            <w:r w:rsidRPr="002F6908">
              <w:rPr>
                <w:rFonts w:ascii="Segoe UI" w:hAnsi="Segoe UI" w:cs="Segoe UI"/>
                <w:sz w:val="24"/>
                <w:szCs w:val="24"/>
                <w:lang w:val="es-ES"/>
              </w:rPr>
              <w:t>¿Cómo harás llegar la información a los padres que utilizan diversas modalidades que no asisten?</w:t>
            </w:r>
          </w:p>
          <w:p w14:paraId="6EF17D3D" w14:textId="170B1FD7" w:rsidR="00782418" w:rsidRPr="002F6908" w:rsidRDefault="00DA446F" w:rsidP="00782418">
            <w:pPr>
              <w:rPr>
                <w:i/>
                <w:iCs/>
                <w:sz w:val="26"/>
                <w:szCs w:val="26"/>
                <w:lang w:val="es-ES"/>
              </w:rPr>
            </w:pPr>
            <w:r w:rsidRPr="002F6908">
              <w:rPr>
                <w:rFonts w:ascii="Calibri" w:eastAsia="Calibri" w:hAnsi="Calibri"/>
                <w:lang w:val="es-ES"/>
              </w:rPr>
              <w:t>Las familias que no puedan asistir recibirán la información a través de la página web del colegio, materiales impresos enviados a casa, carpetas de comunicación con los profesores, correo electrónico, llamadas telefónicas, mensajes FOCUS, redes sociales y, cuando sea posible, una presentación compartida, grabación o resumen de la reunión. Esto garantiza que los padres sigan recibiendo información del Título I, comprendan sus derechos y sepan cómo acceder al apoyo incluso si no pueden asistir en persona.</w:t>
            </w:r>
          </w:p>
          <w:p w14:paraId="2FAA2694" w14:textId="15864E01" w:rsidR="002861E0" w:rsidRPr="002F6908" w:rsidRDefault="002861E0" w:rsidP="00782418">
            <w:pPr>
              <w:rPr>
                <w:b/>
                <w:bCs/>
                <w:sz w:val="28"/>
                <w:szCs w:val="28"/>
                <w:lang w:val="es-ES"/>
              </w:rPr>
            </w:pPr>
          </w:p>
          <w:p w14:paraId="201CD30E" w14:textId="0CD98DB7" w:rsidR="006D3DC2" w:rsidRPr="002F6908" w:rsidRDefault="006D3DC2" w:rsidP="00782418">
            <w:pPr>
              <w:rPr>
                <w:b/>
                <w:bCs/>
                <w:sz w:val="28"/>
                <w:szCs w:val="28"/>
                <w:lang w:val="es-ES"/>
              </w:rPr>
            </w:pPr>
          </w:p>
          <w:p w14:paraId="111E5FDA" w14:textId="77777777" w:rsidR="006D3DC2" w:rsidRPr="002F6908" w:rsidRDefault="006D3DC2" w:rsidP="00782418">
            <w:pPr>
              <w:rPr>
                <w:b/>
                <w:bCs/>
                <w:sz w:val="28"/>
                <w:szCs w:val="28"/>
                <w:lang w:val="es-ES"/>
              </w:rPr>
            </w:pPr>
          </w:p>
          <w:p w14:paraId="390EC8B4" w14:textId="2B5CA151" w:rsidR="002861E0" w:rsidRPr="002F6908" w:rsidRDefault="002861E0" w:rsidP="002E39ED">
            <w:pPr>
              <w:rPr>
                <w:b/>
                <w:bCs/>
                <w:sz w:val="28"/>
                <w:szCs w:val="28"/>
                <w:lang w:val="es-ES"/>
              </w:rPr>
            </w:pPr>
          </w:p>
        </w:tc>
      </w:tr>
    </w:tbl>
    <w:p w14:paraId="193EB09D" w14:textId="77777777" w:rsidR="004902EC" w:rsidRPr="002F6908" w:rsidRDefault="004902EC" w:rsidP="00962E22">
      <w:pPr>
        <w:rPr>
          <w:b/>
          <w:bCs/>
          <w:sz w:val="28"/>
          <w:szCs w:val="28"/>
          <w:lang w:val="es-ES"/>
        </w:rPr>
      </w:pPr>
    </w:p>
    <w:tbl>
      <w:tblPr>
        <w:tblStyle w:val="TableGrid"/>
        <w:tblW w:w="0" w:type="auto"/>
        <w:tblLook w:val="04A0" w:firstRow="1" w:lastRow="0" w:firstColumn="1" w:lastColumn="0" w:noHBand="0" w:noVBand="1"/>
      </w:tblPr>
      <w:tblGrid>
        <w:gridCol w:w="14390"/>
      </w:tblGrid>
      <w:tr w:rsidR="00962E22" w14:paraId="3E8D4F43" w14:textId="77777777">
        <w:tc>
          <w:tcPr>
            <w:tcW w:w="14390" w:type="dxa"/>
          </w:tcPr>
          <w:p w14:paraId="522A5F0D" w14:textId="7653A976" w:rsidR="00962E22" w:rsidRDefault="00962E22">
            <w:pPr>
              <w:rPr>
                <w:b/>
                <w:bCs/>
                <w:sz w:val="28"/>
                <w:szCs w:val="28"/>
              </w:rPr>
            </w:pPr>
            <w:r>
              <w:rPr>
                <w:b/>
                <w:bCs/>
                <w:sz w:val="28"/>
                <w:szCs w:val="28"/>
              </w:rPr>
              <w:t>Comunicación</w:t>
            </w:r>
          </w:p>
        </w:tc>
      </w:tr>
      <w:tr w:rsidR="00962E22" w:rsidRPr="00B454D3" w14:paraId="39DBAD60" w14:textId="77777777">
        <w:tc>
          <w:tcPr>
            <w:tcW w:w="14390" w:type="dxa"/>
          </w:tcPr>
          <w:p w14:paraId="4E269980" w14:textId="2235EA71" w:rsidR="00962E22" w:rsidRPr="002F6908" w:rsidRDefault="00962E22">
            <w:pPr>
              <w:rPr>
                <w:b/>
                <w:bCs/>
                <w:sz w:val="24"/>
                <w:szCs w:val="24"/>
                <w:lang w:val="es-ES"/>
              </w:rPr>
            </w:pPr>
            <w:r w:rsidRPr="002F6908">
              <w:rPr>
                <w:sz w:val="24"/>
                <w:szCs w:val="24"/>
                <w:lang w:val="es-ES"/>
              </w:rPr>
              <w:t>Describir cómo proporcionará a los padres de los niños participantes lo siguiente [Sección 1118(c)(4)] • Información oportuna sobre los programas del Título I [Sección 1118(c)(4)(A)]; • Descripción y explicación del currículo del centro, las formas de evaluación académica utilizadas para medir el progreso del alumnado y los niveles de competencia que se espera que los estudiantes cumplan [Sección 1118(c)(4)(B)]; • Si los padres lo solicitan, oportunidades para reuniones regulares para formular sugerencias y participar, según corresponda, en decisiones relacionadas con la educación de sus hijos [Sección 1118(c)(4)(C)]; y • Si el plan de programa escolar según la Sección 1114 (b)(2) no es satisfactorio para los padres de los niños participantes, la escuela presentará los comentarios de los padres con el plan que se pondrá a disposición de la agencia educativa local [Sección 1118(c)(5)].</w:t>
            </w:r>
          </w:p>
        </w:tc>
      </w:tr>
      <w:tr w:rsidR="00962E22" w:rsidRPr="00B454D3" w14:paraId="7565524E" w14:textId="77777777">
        <w:tc>
          <w:tcPr>
            <w:tcW w:w="14390" w:type="dxa"/>
          </w:tcPr>
          <w:p w14:paraId="5C8106D4" w14:textId="77777777" w:rsidR="004E53AE" w:rsidRPr="002F6908" w:rsidRDefault="004E53AE" w:rsidP="004E53AE">
            <w:pPr>
              <w:spacing w:after="120" w:line="259" w:lineRule="auto"/>
              <w:rPr>
                <w:lang w:val="es-ES"/>
              </w:rPr>
            </w:pPr>
            <w:r w:rsidRPr="002F6908">
              <w:rPr>
                <w:rFonts w:ascii="Calibri" w:eastAsia="Calibri" w:hAnsi="Calibri"/>
                <w:lang w:val="es-ES"/>
              </w:rPr>
              <w:t>Pinellas Park ES proporcionará información oportuna sobre el programa Title I a través de la página web del colegio, boletines familiares, avisos impresos, correo electrónico, llamadas telefónicas, eventos familiares, sistemas de comunicación docente y redes sociales. Las familias recibirán explicaciones claras sobre el currículo, los estándares académicos, las evaluaciones, herramientas de seguimiento del progreso y los niveles esperados de competencia a través de conferencias, discusiones sobre boletines de notas, noches de padres y eventos escolares.</w:t>
            </w:r>
          </w:p>
          <w:p w14:paraId="5CEFCB21" w14:textId="77777777" w:rsidR="004E53AE" w:rsidRPr="002F6908" w:rsidRDefault="004E53AE" w:rsidP="004E53AE">
            <w:pPr>
              <w:spacing w:after="120" w:line="259" w:lineRule="auto"/>
              <w:rPr>
                <w:lang w:val="es-ES"/>
              </w:rPr>
            </w:pPr>
          </w:p>
          <w:p w14:paraId="3B97089A" w14:textId="7650A234" w:rsidR="00962E22" w:rsidRPr="002F6908" w:rsidRDefault="004E53AE" w:rsidP="004E53AE">
            <w:pPr>
              <w:rPr>
                <w:b/>
                <w:bCs/>
                <w:sz w:val="28"/>
                <w:szCs w:val="28"/>
                <w:lang w:val="es-ES"/>
              </w:rPr>
            </w:pPr>
            <w:r w:rsidRPr="002F6908">
              <w:rPr>
                <w:rFonts w:ascii="Calibri" w:eastAsia="Calibri" w:hAnsi="Calibri"/>
                <w:lang w:val="es-ES"/>
              </w:rPr>
              <w:t>El colegio ofrecerá oportunidades continuas para que los padres hagan preguntas, ofrezcan sugerencias y participen en las decisiones relacionadas con la educación de sus hijos mediante conferencias, SAC, reuniones familiares, encuestas y comunicación directa con profesores y administradores. Si los padres tienen preocupaciones sobre el plan escolar, el colegio documentará y enviará sus comentarios a la agencia educativa local según sea necesario. Los esfuerzos de comunicación enfatizarán la claridad, la coherencia y la accesibilidad para que las familias comprendan tanto lo que los estudiantes están aprendiendo como cómo pueden apoyar el rendimiento en casa.</w:t>
            </w:r>
          </w:p>
          <w:p w14:paraId="2FDE1200" w14:textId="77777777" w:rsidR="00962E22" w:rsidRPr="002F6908" w:rsidRDefault="00962E22" w:rsidP="006E3C73">
            <w:pPr>
              <w:rPr>
                <w:b/>
                <w:bCs/>
                <w:sz w:val="28"/>
                <w:szCs w:val="28"/>
                <w:lang w:val="es-ES"/>
              </w:rPr>
            </w:pPr>
          </w:p>
        </w:tc>
      </w:tr>
    </w:tbl>
    <w:p w14:paraId="254BDCD8" w14:textId="09744548" w:rsidR="00962E22" w:rsidRPr="002F6908" w:rsidRDefault="00962E22" w:rsidP="00962E22">
      <w:pPr>
        <w:rPr>
          <w:b/>
          <w:bCs/>
          <w:sz w:val="4"/>
          <w:szCs w:val="4"/>
          <w:lang w:val="es-ES"/>
        </w:rPr>
      </w:pPr>
    </w:p>
    <w:tbl>
      <w:tblPr>
        <w:tblStyle w:val="TableGrid"/>
        <w:tblW w:w="0" w:type="auto"/>
        <w:tblLook w:val="04A0" w:firstRow="1" w:lastRow="0" w:firstColumn="1" w:lastColumn="0" w:noHBand="0" w:noVBand="1"/>
      </w:tblPr>
      <w:tblGrid>
        <w:gridCol w:w="14390"/>
      </w:tblGrid>
      <w:tr w:rsidR="00297DBC" w14:paraId="54DDBDB1" w14:textId="77777777" w:rsidTr="00297DBC">
        <w:tc>
          <w:tcPr>
            <w:tcW w:w="14390" w:type="dxa"/>
          </w:tcPr>
          <w:p w14:paraId="2C79B9E8" w14:textId="18986245" w:rsidR="00297DBC" w:rsidRDefault="00297DBC">
            <w:pPr>
              <w:rPr>
                <w:b/>
                <w:bCs/>
                <w:sz w:val="28"/>
                <w:szCs w:val="28"/>
              </w:rPr>
            </w:pPr>
            <w:r>
              <w:rPr>
                <w:b/>
                <w:bCs/>
                <w:sz w:val="28"/>
                <w:szCs w:val="28"/>
              </w:rPr>
              <w:lastRenderedPageBreak/>
              <w:t>Reunión Flexible de Padres</w:t>
            </w:r>
          </w:p>
        </w:tc>
      </w:tr>
      <w:tr w:rsidR="00297DBC" w:rsidRPr="00B454D3" w14:paraId="2953E67C" w14:textId="77777777" w:rsidTr="00297DBC">
        <w:trPr>
          <w:trHeight w:val="782"/>
        </w:trPr>
        <w:tc>
          <w:tcPr>
            <w:tcW w:w="14390" w:type="dxa"/>
          </w:tcPr>
          <w:p w14:paraId="75F5586F" w14:textId="77777777" w:rsidR="00297DBC" w:rsidRPr="002F6908" w:rsidRDefault="00297DBC">
            <w:pPr>
              <w:rPr>
                <w:sz w:val="24"/>
                <w:szCs w:val="24"/>
                <w:lang w:val="es-ES"/>
              </w:rPr>
            </w:pPr>
            <w:r w:rsidRPr="002F6908">
              <w:rPr>
                <w:sz w:val="24"/>
                <w:szCs w:val="24"/>
                <w:lang w:val="es-ES"/>
              </w:rPr>
              <w:t>Describe cómo el colegio ofrecerá un número flexible de reuniones, como reuniones por la mañana o por la tarde, y puede proporcionar fondos del Título I, transportes, cuidado infantil o visitas domiciliarias como servicios relacionados con la participación parental [Sección 1118(c)(2)].</w:t>
            </w:r>
          </w:p>
          <w:p w14:paraId="3F468459" w14:textId="77777777" w:rsidR="004644E8" w:rsidRPr="002F6908" w:rsidRDefault="004644E8">
            <w:pPr>
              <w:rPr>
                <w:b/>
                <w:bCs/>
                <w:sz w:val="24"/>
                <w:szCs w:val="24"/>
                <w:lang w:val="es-ES"/>
              </w:rPr>
            </w:pPr>
          </w:p>
          <w:p w14:paraId="59C302EB" w14:textId="0F502DB1" w:rsidR="004644E8" w:rsidRPr="002F6908" w:rsidRDefault="004644E8">
            <w:pPr>
              <w:rPr>
                <w:b/>
                <w:bCs/>
                <w:sz w:val="24"/>
                <w:szCs w:val="24"/>
                <w:lang w:val="es-ES"/>
              </w:rPr>
            </w:pPr>
            <w:r w:rsidRPr="002F6908">
              <w:rPr>
                <w:rFonts w:ascii="Calibri" w:eastAsia="Calibri" w:hAnsi="Calibri"/>
                <w:lang w:val="es-ES"/>
              </w:rPr>
              <w:t>Pinellas Park ES ofrecerá un número flexible de reuniones de padres en diferentes horarios, incluyendo oportunidades por la tarde y, cuando sea apropiado, opciones por la mañana o virtuales. La información de las reuniones también se compartirá con las familias que no puedan asistir en persona. Si es permitido y disponible a través de recursos del Título I, el colegio explorará apoyos como cuidado infantil, asistencia en transporte, visitas domiciliarias y acceso virtual para reducir barreras de participación. Los horarios de las reuniones se informarán mediante la retroalimentación familiar y los datos de participación.</w:t>
            </w:r>
          </w:p>
        </w:tc>
      </w:tr>
      <w:tr w:rsidR="00962E22" w14:paraId="00E73342" w14:textId="77777777">
        <w:tc>
          <w:tcPr>
            <w:tcW w:w="14390" w:type="dxa"/>
          </w:tcPr>
          <w:p w14:paraId="6BDFB9C9" w14:textId="2DE0230D" w:rsidR="00962E22" w:rsidRDefault="00962E22">
            <w:pPr>
              <w:rPr>
                <w:b/>
                <w:bCs/>
                <w:sz w:val="28"/>
                <w:szCs w:val="28"/>
              </w:rPr>
            </w:pPr>
            <w:r>
              <w:rPr>
                <w:b/>
                <w:bCs/>
                <w:sz w:val="28"/>
                <w:szCs w:val="28"/>
              </w:rPr>
              <w:t>Accesibilidad</w:t>
            </w:r>
          </w:p>
        </w:tc>
      </w:tr>
      <w:tr w:rsidR="00962E22" w:rsidRPr="00B454D3" w14:paraId="3F27A29C" w14:textId="77777777">
        <w:tc>
          <w:tcPr>
            <w:tcW w:w="14390" w:type="dxa"/>
          </w:tcPr>
          <w:p w14:paraId="745043F7" w14:textId="77777777" w:rsidR="00962E22" w:rsidRPr="002F6908" w:rsidRDefault="00962E22">
            <w:pPr>
              <w:rPr>
                <w:sz w:val="24"/>
                <w:szCs w:val="24"/>
                <w:lang w:val="es-ES"/>
              </w:rPr>
            </w:pPr>
            <w:r w:rsidRPr="002F6908">
              <w:rPr>
                <w:sz w:val="24"/>
                <w:szCs w:val="24"/>
                <w:lang w:val="es-ES"/>
              </w:rPr>
              <w:t>Describe cómo el colegio ofrecerá oportunidades completas de participación en actividades de participación de padres y familias para todos los padres (incluidos padres con dominio limitado del inglés, discapacidades y niños migrantes). Incluye cómo el colegio planea compartir información relacionada con los programas escolares y para padres, reuniones, informes escolares y otras actividades en un formato comprensible y uniforme y, en la medida de lo posible, en un idioma que los padres puedan entender [Secciones 1118(e)(5) y 1118(f)].</w:t>
            </w:r>
          </w:p>
          <w:p w14:paraId="5DAE8B05" w14:textId="77777777" w:rsidR="00AD6ED4" w:rsidRPr="002F6908" w:rsidRDefault="00AD6ED4">
            <w:pPr>
              <w:rPr>
                <w:sz w:val="24"/>
                <w:szCs w:val="24"/>
                <w:lang w:val="es-ES"/>
              </w:rPr>
            </w:pPr>
          </w:p>
          <w:p w14:paraId="43985A90" w14:textId="77777777" w:rsidR="00AD6ED4" w:rsidRPr="002F6908" w:rsidRDefault="00AD6ED4" w:rsidP="00AD6ED4">
            <w:pPr>
              <w:spacing w:after="120" w:line="259" w:lineRule="auto"/>
              <w:rPr>
                <w:lang w:val="es-ES"/>
              </w:rPr>
            </w:pPr>
            <w:r w:rsidRPr="002F6908">
              <w:rPr>
                <w:rFonts w:ascii="Calibri" w:eastAsia="Calibri" w:hAnsi="Calibri"/>
                <w:lang w:val="es-ES"/>
              </w:rPr>
              <w:t>Pinellas Park ES ofrecerá oportunidades completas de participación en actividades de participación de padres y familias para todas las familias, incluidos padres con dominio limitado del inglés, discapacidades y familias que puedan necesitar apoyo adicional para acceder a la información escolar. El colegio compartirá información relacionada con reuniones, eventos, informes y programas en un formato comprensible y, en la medida de lo posible, en un idioma que las familias puedan entender.</w:t>
            </w:r>
          </w:p>
          <w:p w14:paraId="46D7204D" w14:textId="77777777" w:rsidR="00AD6ED4" w:rsidRPr="002F6908" w:rsidRDefault="00AD6ED4" w:rsidP="00AD6ED4">
            <w:pPr>
              <w:spacing w:after="120" w:line="259" w:lineRule="auto"/>
              <w:rPr>
                <w:lang w:val="es-ES"/>
              </w:rPr>
            </w:pPr>
          </w:p>
          <w:p w14:paraId="186A5DAC" w14:textId="45FF0995" w:rsidR="00AD6ED4" w:rsidRPr="002F6908" w:rsidRDefault="00AD6ED4" w:rsidP="00AD6ED4">
            <w:pPr>
              <w:rPr>
                <w:sz w:val="24"/>
                <w:szCs w:val="24"/>
                <w:lang w:val="es-ES"/>
              </w:rPr>
            </w:pPr>
            <w:r w:rsidRPr="002F6908">
              <w:rPr>
                <w:rFonts w:ascii="Calibri" w:eastAsia="Calibri" w:hAnsi="Calibri"/>
                <w:lang w:val="es-ES"/>
              </w:rPr>
              <w:t>Se utilizarán documentos traducidos, apoyo en la interpretación, asistencia bilingüe del personal, espacios de reuniones accesibles y múltiples formatos de comunicación para mejorar el acceso. Las familias que no puedan asistir a los eventos recibirán información de seguimiento a través de materiales impresos, comunicación digital y contacto directo del personal escolar. Estos esfuerzos ayudarán a garantizar que todas las familias puedan participar de manera significativa en la educación de sus hijos y en el programa Title I del colegio.</w:t>
            </w:r>
          </w:p>
          <w:p w14:paraId="3BC9BC97" w14:textId="77777777" w:rsidR="0058313F" w:rsidRPr="002F6908" w:rsidRDefault="0058313F">
            <w:pPr>
              <w:rPr>
                <w:sz w:val="24"/>
                <w:szCs w:val="24"/>
                <w:lang w:val="es-ES"/>
              </w:rPr>
            </w:pPr>
          </w:p>
          <w:p w14:paraId="6165A02D" w14:textId="77777777" w:rsidR="0058313F" w:rsidRPr="002F6908" w:rsidRDefault="0058313F">
            <w:pPr>
              <w:rPr>
                <w:sz w:val="24"/>
                <w:szCs w:val="24"/>
                <w:lang w:val="es-ES"/>
              </w:rPr>
            </w:pPr>
          </w:p>
          <w:p w14:paraId="40A6195C" w14:textId="24004B5E" w:rsidR="0058313F" w:rsidRPr="002F6908" w:rsidRDefault="0058313F">
            <w:pPr>
              <w:rPr>
                <w:b/>
                <w:bCs/>
                <w:sz w:val="24"/>
                <w:szCs w:val="24"/>
                <w:lang w:val="es-ES"/>
              </w:rPr>
            </w:pPr>
          </w:p>
        </w:tc>
      </w:tr>
    </w:tbl>
    <w:p w14:paraId="68881043" w14:textId="173DA9CB" w:rsidR="00297DBC" w:rsidRPr="002F6908" w:rsidRDefault="00297DBC" w:rsidP="00962E22">
      <w:pPr>
        <w:rPr>
          <w:b/>
          <w:bCs/>
          <w:sz w:val="28"/>
          <w:szCs w:val="28"/>
          <w:lang w:val="es-ES"/>
        </w:rPr>
      </w:pPr>
    </w:p>
    <w:sectPr w:rsidR="00297DBC" w:rsidRPr="002F6908" w:rsidSect="00CB56F6">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FF0C1E"/>
    <w:multiLevelType w:val="hybridMultilevel"/>
    <w:tmpl w:val="5B6EE8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883AE2"/>
    <w:multiLevelType w:val="hybridMultilevel"/>
    <w:tmpl w:val="E0ACA5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43858634">
    <w:abstractNumId w:val="1"/>
  </w:num>
  <w:num w:numId="2" w16cid:durableId="4286962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6F6"/>
    <w:rsid w:val="00013BEE"/>
    <w:rsid w:val="00036C0E"/>
    <w:rsid w:val="000D6091"/>
    <w:rsid w:val="000E5FFF"/>
    <w:rsid w:val="000F2024"/>
    <w:rsid w:val="000F2400"/>
    <w:rsid w:val="00102082"/>
    <w:rsid w:val="00107D69"/>
    <w:rsid w:val="00114ABD"/>
    <w:rsid w:val="00115555"/>
    <w:rsid w:val="0013726D"/>
    <w:rsid w:val="00137F17"/>
    <w:rsid w:val="001533F2"/>
    <w:rsid w:val="00183444"/>
    <w:rsid w:val="001849AE"/>
    <w:rsid w:val="001A422D"/>
    <w:rsid w:val="001C3EEA"/>
    <w:rsid w:val="001F77A1"/>
    <w:rsid w:val="002213DF"/>
    <w:rsid w:val="00265AAE"/>
    <w:rsid w:val="002861E0"/>
    <w:rsid w:val="00294372"/>
    <w:rsid w:val="00297DBC"/>
    <w:rsid w:val="002E086E"/>
    <w:rsid w:val="002E39ED"/>
    <w:rsid w:val="002F18C9"/>
    <w:rsid w:val="002F6908"/>
    <w:rsid w:val="00313688"/>
    <w:rsid w:val="00324FF2"/>
    <w:rsid w:val="00355869"/>
    <w:rsid w:val="0038756F"/>
    <w:rsid w:val="003960F3"/>
    <w:rsid w:val="003E4F37"/>
    <w:rsid w:val="003F7997"/>
    <w:rsid w:val="00423654"/>
    <w:rsid w:val="00443F7E"/>
    <w:rsid w:val="004644E8"/>
    <w:rsid w:val="004902EC"/>
    <w:rsid w:val="004A326D"/>
    <w:rsid w:val="004D2C60"/>
    <w:rsid w:val="004E2B96"/>
    <w:rsid w:val="004E53AE"/>
    <w:rsid w:val="004E6336"/>
    <w:rsid w:val="004F07EF"/>
    <w:rsid w:val="004F6383"/>
    <w:rsid w:val="00511DDF"/>
    <w:rsid w:val="00532FFC"/>
    <w:rsid w:val="005368E5"/>
    <w:rsid w:val="0058313F"/>
    <w:rsid w:val="00585B64"/>
    <w:rsid w:val="005C3BAA"/>
    <w:rsid w:val="00660808"/>
    <w:rsid w:val="006A3BA8"/>
    <w:rsid w:val="006D3DC2"/>
    <w:rsid w:val="006D7866"/>
    <w:rsid w:val="006E00D7"/>
    <w:rsid w:val="006E1489"/>
    <w:rsid w:val="006E37AC"/>
    <w:rsid w:val="006E3C73"/>
    <w:rsid w:val="00703A48"/>
    <w:rsid w:val="00705497"/>
    <w:rsid w:val="00713ED5"/>
    <w:rsid w:val="007452A9"/>
    <w:rsid w:val="00766E44"/>
    <w:rsid w:val="00775BDC"/>
    <w:rsid w:val="00780D6A"/>
    <w:rsid w:val="00782418"/>
    <w:rsid w:val="0078306F"/>
    <w:rsid w:val="00786B20"/>
    <w:rsid w:val="00793F59"/>
    <w:rsid w:val="007B02D5"/>
    <w:rsid w:val="007C75DA"/>
    <w:rsid w:val="007E5261"/>
    <w:rsid w:val="007F583D"/>
    <w:rsid w:val="007F597C"/>
    <w:rsid w:val="00807D21"/>
    <w:rsid w:val="00814267"/>
    <w:rsid w:val="008306EE"/>
    <w:rsid w:val="0084667C"/>
    <w:rsid w:val="00855902"/>
    <w:rsid w:val="008C67B2"/>
    <w:rsid w:val="00905EA3"/>
    <w:rsid w:val="00931AB9"/>
    <w:rsid w:val="00945BE1"/>
    <w:rsid w:val="00962E22"/>
    <w:rsid w:val="00973C33"/>
    <w:rsid w:val="00980893"/>
    <w:rsid w:val="0099178F"/>
    <w:rsid w:val="009E48E2"/>
    <w:rsid w:val="009F1090"/>
    <w:rsid w:val="00A142F5"/>
    <w:rsid w:val="00A17F1E"/>
    <w:rsid w:val="00A30EA8"/>
    <w:rsid w:val="00A514F8"/>
    <w:rsid w:val="00AC27A3"/>
    <w:rsid w:val="00AD07A2"/>
    <w:rsid w:val="00AD26E1"/>
    <w:rsid w:val="00AD300F"/>
    <w:rsid w:val="00AD4000"/>
    <w:rsid w:val="00AD6ED4"/>
    <w:rsid w:val="00B30ED4"/>
    <w:rsid w:val="00B454D3"/>
    <w:rsid w:val="00B55B50"/>
    <w:rsid w:val="00B73F9A"/>
    <w:rsid w:val="00BA2D70"/>
    <w:rsid w:val="00BC7043"/>
    <w:rsid w:val="00C05ABB"/>
    <w:rsid w:val="00C145D8"/>
    <w:rsid w:val="00C37FF7"/>
    <w:rsid w:val="00C962AF"/>
    <w:rsid w:val="00CA6212"/>
    <w:rsid w:val="00CB56F6"/>
    <w:rsid w:val="00CC02D1"/>
    <w:rsid w:val="00CC18BB"/>
    <w:rsid w:val="00CD0874"/>
    <w:rsid w:val="00CD1671"/>
    <w:rsid w:val="00CF52B8"/>
    <w:rsid w:val="00CF5340"/>
    <w:rsid w:val="00D671A5"/>
    <w:rsid w:val="00D853DF"/>
    <w:rsid w:val="00D85516"/>
    <w:rsid w:val="00DA0202"/>
    <w:rsid w:val="00DA446F"/>
    <w:rsid w:val="00DC56C4"/>
    <w:rsid w:val="00E07FA3"/>
    <w:rsid w:val="00E113F0"/>
    <w:rsid w:val="00E15051"/>
    <w:rsid w:val="00E2209D"/>
    <w:rsid w:val="00E235F6"/>
    <w:rsid w:val="00E24115"/>
    <w:rsid w:val="00E45E4C"/>
    <w:rsid w:val="00E50046"/>
    <w:rsid w:val="00E503B9"/>
    <w:rsid w:val="00E956E8"/>
    <w:rsid w:val="00ED5556"/>
    <w:rsid w:val="00EE3176"/>
    <w:rsid w:val="00EF3C24"/>
    <w:rsid w:val="00EF6BF7"/>
    <w:rsid w:val="00F06391"/>
    <w:rsid w:val="00F11D8F"/>
    <w:rsid w:val="00F21FF2"/>
    <w:rsid w:val="00F422F6"/>
    <w:rsid w:val="00F7454F"/>
    <w:rsid w:val="00F85DED"/>
    <w:rsid w:val="00F94B99"/>
    <w:rsid w:val="0653F04A"/>
    <w:rsid w:val="0C696C38"/>
    <w:rsid w:val="0C9DE5AE"/>
    <w:rsid w:val="0F2D40B3"/>
    <w:rsid w:val="11A21989"/>
    <w:rsid w:val="16002081"/>
    <w:rsid w:val="16CF7747"/>
    <w:rsid w:val="1DF20A09"/>
    <w:rsid w:val="2C08142E"/>
    <w:rsid w:val="3E389F2F"/>
    <w:rsid w:val="3EA700BF"/>
    <w:rsid w:val="45F6FF5D"/>
    <w:rsid w:val="4775E590"/>
    <w:rsid w:val="4DFA6352"/>
    <w:rsid w:val="50CC56F5"/>
    <w:rsid w:val="5213AFBE"/>
    <w:rsid w:val="6676FD67"/>
    <w:rsid w:val="6D0FD16E"/>
    <w:rsid w:val="749D4A19"/>
    <w:rsid w:val="7D161A31"/>
    <w:rsid w:val="7EBB3D4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1DD28"/>
  <w15:docId w15:val="{9E4D2AF0-7913-4CB6-97D8-B96C309BA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B56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B56F6"/>
    <w:rPr>
      <w:sz w:val="16"/>
      <w:szCs w:val="16"/>
    </w:rPr>
  </w:style>
  <w:style w:type="paragraph" w:styleId="CommentText">
    <w:name w:val="annotation text"/>
    <w:basedOn w:val="Normal"/>
    <w:link w:val="CommentTextChar"/>
    <w:uiPriority w:val="99"/>
    <w:unhideWhenUsed/>
    <w:rsid w:val="00CB56F6"/>
    <w:pPr>
      <w:spacing w:line="240" w:lineRule="auto"/>
    </w:pPr>
    <w:rPr>
      <w:sz w:val="20"/>
      <w:szCs w:val="20"/>
    </w:rPr>
  </w:style>
  <w:style w:type="character" w:customStyle="1" w:styleId="CommentTextChar">
    <w:name w:val="Comment Text Char"/>
    <w:basedOn w:val="DefaultParagraphFont"/>
    <w:link w:val="CommentText"/>
    <w:uiPriority w:val="99"/>
    <w:rsid w:val="00CB56F6"/>
    <w:rPr>
      <w:sz w:val="20"/>
      <w:szCs w:val="20"/>
    </w:rPr>
  </w:style>
  <w:style w:type="paragraph" w:styleId="CommentSubject">
    <w:name w:val="annotation subject"/>
    <w:basedOn w:val="CommentText"/>
    <w:next w:val="CommentText"/>
    <w:link w:val="CommentSubjectChar"/>
    <w:uiPriority w:val="99"/>
    <w:semiHidden/>
    <w:unhideWhenUsed/>
    <w:rsid w:val="00CB56F6"/>
    <w:rPr>
      <w:b/>
      <w:bCs/>
    </w:rPr>
  </w:style>
  <w:style w:type="character" w:customStyle="1" w:styleId="CommentSubjectChar">
    <w:name w:val="Comment Subject Char"/>
    <w:basedOn w:val="CommentTextChar"/>
    <w:link w:val="CommentSubject"/>
    <w:uiPriority w:val="99"/>
    <w:semiHidden/>
    <w:rsid w:val="00CB56F6"/>
    <w:rPr>
      <w:b/>
      <w:bCs/>
      <w:sz w:val="20"/>
      <w:szCs w:val="20"/>
    </w:rPr>
  </w:style>
  <w:style w:type="paragraph" w:styleId="ListParagraph">
    <w:name w:val="List Paragraph"/>
    <w:basedOn w:val="Normal"/>
    <w:uiPriority w:val="34"/>
    <w:qFormat/>
    <w:rsid w:val="007F597C"/>
    <w:pPr>
      <w:ind w:left="720"/>
      <w:contextualSpacing/>
    </w:pPr>
  </w:style>
  <w:style w:type="character" w:customStyle="1" w:styleId="cf01">
    <w:name w:val="cf01"/>
    <w:basedOn w:val="DefaultParagraphFont"/>
    <w:rsid w:val="007F583D"/>
    <w:rPr>
      <w:rFonts w:ascii="Segoe UI" w:hAnsi="Segoe UI" w:cs="Segoe UI" w:hint="default"/>
      <w:sz w:val="18"/>
      <w:szCs w:val="18"/>
    </w:rPr>
  </w:style>
  <w:style w:type="paragraph" w:customStyle="1" w:styleId="pf0">
    <w:name w:val="pf0"/>
    <w:basedOn w:val="Normal"/>
    <w:rsid w:val="00013BE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13ED5"/>
    <w:rPr>
      <w:color w:val="0000FF"/>
      <w:u w:val="single"/>
    </w:rPr>
  </w:style>
  <w:style w:type="character" w:styleId="FollowedHyperlink">
    <w:name w:val="FollowedHyperlink"/>
    <w:basedOn w:val="DefaultParagraphFont"/>
    <w:uiPriority w:val="99"/>
    <w:semiHidden/>
    <w:unhideWhenUsed/>
    <w:rsid w:val="004902EC"/>
    <w:rPr>
      <w:color w:val="954F72" w:themeColor="followedHyperlink"/>
      <w:u w:val="single"/>
    </w:rPr>
  </w:style>
  <w:style w:type="character" w:styleId="UnresolvedMention">
    <w:name w:val="Unresolved Mention"/>
    <w:basedOn w:val="DefaultParagraphFont"/>
    <w:uiPriority w:val="99"/>
    <w:semiHidden/>
    <w:unhideWhenUsed/>
    <w:rsid w:val="002213DF"/>
    <w:rPr>
      <w:color w:val="605E5C"/>
      <w:shd w:val="clear" w:color="auto" w:fill="E1DFDD"/>
    </w:rPr>
  </w:style>
  <w:style w:type="paragraph" w:styleId="NoSpacing">
    <w:name w:val="No Spacing"/>
    <w:uiPriority w:val="1"/>
    <w:qFormat/>
    <w:pPr>
      <w:spacing w:after="0" w:line="240" w:lineRule="auto"/>
    </w:pPr>
  </w:style>
  <w:style w:type="character" w:styleId="PlaceholderText">
    <w:name w:val="Placeholder Text"/>
    <w:basedOn w:val="DefaultParagraphFont"/>
    <w:uiPriority w:val="99"/>
    <w:semiHidden/>
    <w:rsid w:val="002F690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278524">
      <w:bodyDiv w:val="1"/>
      <w:marLeft w:val="0"/>
      <w:marRight w:val="0"/>
      <w:marTop w:val="0"/>
      <w:marBottom w:val="0"/>
      <w:divBdr>
        <w:top w:val="none" w:sz="0" w:space="0" w:color="auto"/>
        <w:left w:val="none" w:sz="0" w:space="0" w:color="auto"/>
        <w:bottom w:val="none" w:sz="0" w:space="0" w:color="auto"/>
        <w:right w:val="none" w:sz="0" w:space="0" w:color="auto"/>
      </w:divBdr>
    </w:div>
    <w:div w:id="171991959">
      <w:bodyDiv w:val="1"/>
      <w:marLeft w:val="0"/>
      <w:marRight w:val="0"/>
      <w:marTop w:val="0"/>
      <w:marBottom w:val="0"/>
      <w:divBdr>
        <w:top w:val="none" w:sz="0" w:space="0" w:color="auto"/>
        <w:left w:val="none" w:sz="0" w:space="0" w:color="auto"/>
        <w:bottom w:val="none" w:sz="0" w:space="0" w:color="auto"/>
        <w:right w:val="none" w:sz="0" w:space="0" w:color="auto"/>
      </w:divBdr>
    </w:div>
    <w:div w:id="353924101">
      <w:bodyDiv w:val="1"/>
      <w:marLeft w:val="0"/>
      <w:marRight w:val="0"/>
      <w:marTop w:val="0"/>
      <w:marBottom w:val="0"/>
      <w:divBdr>
        <w:top w:val="none" w:sz="0" w:space="0" w:color="auto"/>
        <w:left w:val="none" w:sz="0" w:space="0" w:color="auto"/>
        <w:bottom w:val="none" w:sz="0" w:space="0" w:color="auto"/>
        <w:right w:val="none" w:sz="0" w:space="0" w:color="auto"/>
      </w:divBdr>
    </w:div>
    <w:div w:id="395934832">
      <w:bodyDiv w:val="1"/>
      <w:marLeft w:val="0"/>
      <w:marRight w:val="0"/>
      <w:marTop w:val="0"/>
      <w:marBottom w:val="0"/>
      <w:divBdr>
        <w:top w:val="none" w:sz="0" w:space="0" w:color="auto"/>
        <w:left w:val="none" w:sz="0" w:space="0" w:color="auto"/>
        <w:bottom w:val="none" w:sz="0" w:space="0" w:color="auto"/>
        <w:right w:val="none" w:sz="0" w:space="0" w:color="auto"/>
      </w:divBdr>
    </w:div>
    <w:div w:id="1150058263">
      <w:bodyDiv w:val="1"/>
      <w:marLeft w:val="0"/>
      <w:marRight w:val="0"/>
      <w:marTop w:val="0"/>
      <w:marBottom w:val="0"/>
      <w:divBdr>
        <w:top w:val="none" w:sz="0" w:space="0" w:color="auto"/>
        <w:left w:val="none" w:sz="0" w:space="0" w:color="auto"/>
        <w:bottom w:val="none" w:sz="0" w:space="0" w:color="auto"/>
        <w:right w:val="none" w:sz="0" w:space="0" w:color="auto"/>
      </w:divBdr>
    </w:div>
    <w:div w:id="14125041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2070</Words>
  <Characters>11800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Pinellas County Schools</Company>
  <LinksUpToDate>false</LinksUpToDate>
  <CharactersWithSpaces>13843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Petitbois Merlande</dc:creator>
  <cp:keywords/>
  <dc:description/>
  <cp:lastModifiedBy>Nartker Kathleen</cp:lastModifiedBy>
  <cp:revision>2</cp:revision>
  <cp:lastPrinted>2023-02-27T13:28:00Z</cp:lastPrinted>
  <dcterms:created xsi:type="dcterms:W3CDTF">2026-03-11T16:58:00Z</dcterms:created>
  <dcterms:modified xsi:type="dcterms:W3CDTF">2026-09-20T17:35:00Z</dcterms:modified>
</cp:coreProperties>
</file>