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C9329D" w14:textId="77777777" w:rsidR="00A6256C" w:rsidRDefault="0070582E" w:rsidP="00EF4DD8">
      <w:pPr>
        <w:jc w:val="center"/>
      </w:pPr>
      <w:r>
        <w:rPr>
          <w:b/>
          <w:sz w:val="40"/>
        </w:rPr>
        <w:t>STUDENT ASSIGNMENT PROJECT</w:t>
      </w:r>
    </w:p>
    <w:p w14:paraId="2FA7973D" w14:textId="77777777" w:rsidR="00A6256C" w:rsidRDefault="0070582E" w:rsidP="00EF4DD8">
      <w:pPr>
        <w:jc w:val="center"/>
      </w:pPr>
      <w:r>
        <w:rPr>
          <w:b/>
          <w:sz w:val="32"/>
        </w:rPr>
        <w:t>Engagement Session #2 Online Survey Results</w:t>
      </w:r>
    </w:p>
    <w:p w14:paraId="4B61CFB5" w14:textId="77777777" w:rsidR="00A6256C" w:rsidRDefault="0070582E" w:rsidP="00EF4DD8">
      <w:pPr>
        <w:spacing w:after="100"/>
        <w:jc w:val="center"/>
      </w:pPr>
      <w:r>
        <w:t>September 21–October 6,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A6256C" w14:paraId="7FB31323" w14:textId="77777777">
        <w:trPr>
          <w:jc w:val="center"/>
        </w:trPr>
        <w:tc>
          <w:tcPr>
            <w:tcW w:w="2592" w:type="dxa"/>
            <w:vAlign w:val="center"/>
          </w:tcPr>
          <w:p w14:paraId="026A36B6" w14:textId="77777777" w:rsidR="00A6256C" w:rsidRDefault="0070582E">
            <w:pPr>
              <w:jc w:val="center"/>
            </w:pPr>
            <w:r>
              <w:rPr>
                <w:b/>
                <w:sz w:val="38"/>
              </w:rPr>
              <w:t>2,042</w:t>
            </w:r>
          </w:p>
          <w:p w14:paraId="3FC1A36F" w14:textId="77777777" w:rsidR="00A6256C" w:rsidRDefault="0070582E">
            <w:pPr>
              <w:jc w:val="center"/>
            </w:pPr>
            <w:r>
              <w:rPr>
                <w:sz w:val="15"/>
              </w:rPr>
              <w:t>respondents</w:t>
            </w:r>
          </w:p>
        </w:tc>
        <w:tc>
          <w:tcPr>
            <w:tcW w:w="2592" w:type="dxa"/>
            <w:vAlign w:val="center"/>
          </w:tcPr>
          <w:p w14:paraId="02A79F77" w14:textId="77777777" w:rsidR="00A6256C" w:rsidRDefault="0070582E">
            <w:pPr>
              <w:jc w:val="center"/>
            </w:pPr>
            <w:r>
              <w:rPr>
                <w:b/>
                <w:sz w:val="38"/>
              </w:rPr>
              <w:t>73.8%</w:t>
            </w:r>
          </w:p>
          <w:p w14:paraId="739D3CF1" w14:textId="77777777" w:rsidR="00A6256C" w:rsidRDefault="0070582E">
            <w:pPr>
              <w:jc w:val="center"/>
            </w:pPr>
            <w:r>
              <w:rPr>
                <w:sz w:val="15"/>
              </w:rPr>
              <w:t>parents/guardians</w:t>
            </w:r>
          </w:p>
        </w:tc>
        <w:tc>
          <w:tcPr>
            <w:tcW w:w="2592" w:type="dxa"/>
            <w:vAlign w:val="center"/>
          </w:tcPr>
          <w:p w14:paraId="7237E9E7" w14:textId="77777777" w:rsidR="00A6256C" w:rsidRDefault="0070582E">
            <w:pPr>
              <w:jc w:val="center"/>
            </w:pPr>
            <w:r>
              <w:rPr>
                <w:b/>
                <w:sz w:val="38"/>
              </w:rPr>
              <w:t>54.7%</w:t>
            </w:r>
          </w:p>
          <w:p w14:paraId="66153987" w14:textId="77777777" w:rsidR="00A6256C" w:rsidRDefault="0070582E">
            <w:pPr>
              <w:jc w:val="center"/>
            </w:pPr>
            <w:r>
              <w:rPr>
                <w:sz w:val="15"/>
              </w:rPr>
              <w:t>prioritize intact neighborhoods</w:t>
            </w:r>
          </w:p>
        </w:tc>
        <w:tc>
          <w:tcPr>
            <w:tcW w:w="2592" w:type="dxa"/>
            <w:vAlign w:val="center"/>
          </w:tcPr>
          <w:p w14:paraId="574CDE90" w14:textId="77777777" w:rsidR="00A6256C" w:rsidRDefault="0070582E">
            <w:pPr>
              <w:jc w:val="center"/>
            </w:pPr>
            <w:r>
              <w:rPr>
                <w:b/>
                <w:sz w:val="38"/>
              </w:rPr>
              <w:t>31.5%</w:t>
            </w:r>
          </w:p>
          <w:p w14:paraId="3B031115" w14:textId="77777777" w:rsidR="00A6256C" w:rsidRDefault="0070582E">
            <w:pPr>
              <w:jc w:val="center"/>
            </w:pPr>
            <w:r>
              <w:rPr>
                <w:sz w:val="15"/>
              </w:rPr>
              <w:t>favor a case-by-case balance</w:t>
            </w:r>
          </w:p>
        </w:tc>
      </w:tr>
    </w:tbl>
    <w:p w14:paraId="13F234FB" w14:textId="77777777" w:rsidR="00A6256C" w:rsidRDefault="00A6256C">
      <w:pPr>
        <w:spacing w:after="20"/>
      </w:pPr>
    </w:p>
    <w:p w14:paraId="4DE7400C" w14:textId="77777777" w:rsidR="00A6256C" w:rsidRDefault="0070582E">
      <w:pPr>
        <w:pStyle w:val="Heading1"/>
      </w:pPr>
      <w:r>
        <w:t>Executive read</w:t>
      </w:r>
    </w:p>
    <w:p w14:paraId="3B90F569" w14:textId="77777777" w:rsidR="00A6256C" w:rsidRDefault="0070582E">
      <w:r>
        <w:t xml:space="preserve">Session #2 shows a community that is still strongly engaged, but whose response pool is somewhat broader than Session #1. </w:t>
      </w:r>
      <w:r>
        <w:t>The clearest signal is that respondents want neighborhood and community considerations to carry significant weight, while a substantial group supports balancing those interests with district-wide capacity and equity.</w:t>
      </w:r>
    </w:p>
    <w:p w14:paraId="432389F2" w14:textId="77777777" w:rsidR="00A6256C" w:rsidRDefault="0070582E" w:rsidP="00EF4DD8">
      <w:pPr>
        <w:pStyle w:val="ListParagraph"/>
        <w:numPr>
          <w:ilvl w:val="0"/>
          <w:numId w:val="10"/>
        </w:numPr>
        <w:spacing w:after="60"/>
      </w:pPr>
      <w:r>
        <w:t xml:space="preserve">Neighborhood and community integrity remains the dominant preference: 1,117 respondents (54.7%) said the </w:t>
      </w:r>
      <w:proofErr w:type="gramStart"/>
      <w:r>
        <w:t>District</w:t>
      </w:r>
      <w:proofErr w:type="gramEnd"/>
      <w:r>
        <w:t xml:space="preserve"> should prioritize keeping neighborhoods and communities intact, even if that limits district-wide efficiency.</w:t>
      </w:r>
    </w:p>
    <w:p w14:paraId="456FE9B9" w14:textId="77777777" w:rsidR="00A6256C" w:rsidRDefault="0070582E" w:rsidP="00EF4DD8">
      <w:pPr>
        <w:pStyle w:val="ListParagraph"/>
        <w:numPr>
          <w:ilvl w:val="0"/>
          <w:numId w:val="10"/>
        </w:numPr>
        <w:spacing w:after="60"/>
      </w:pPr>
      <w:r>
        <w:t>A sizeable 644 respondents (31.5%) prefer a case-by-case approach that weighs neighborhood interests and district-wide needs equally.</w:t>
      </w:r>
    </w:p>
    <w:p w14:paraId="71662BC1" w14:textId="77777777" w:rsidR="00A6256C" w:rsidRDefault="0070582E" w:rsidP="00EF4DD8">
      <w:pPr>
        <w:pStyle w:val="ListParagraph"/>
        <w:numPr>
          <w:ilvl w:val="0"/>
          <w:numId w:val="10"/>
        </w:numPr>
        <w:spacing w:after="60"/>
      </w:pPr>
      <w:r>
        <w:t>Only 157 respondents (7.7%) chose district-wide capacity and equity as the priority when the two are in tension.</w:t>
      </w:r>
    </w:p>
    <w:p w14:paraId="77A98B3D" w14:textId="77777777" w:rsidR="00A6256C" w:rsidRDefault="0070582E" w:rsidP="00EF4DD8">
      <w:pPr>
        <w:pStyle w:val="ListParagraph"/>
        <w:numPr>
          <w:ilvl w:val="0"/>
          <w:numId w:val="10"/>
        </w:numPr>
        <w:spacing w:after="60"/>
      </w:pPr>
      <w:r>
        <w:t>Parents/guardians remain the largest audience at 73.8%, but community partners (10.4%) and school staff (10.1%) are more represented than in Session #1.</w:t>
      </w:r>
    </w:p>
    <w:p w14:paraId="3E4F943A" w14:textId="77777777" w:rsidR="00A6256C" w:rsidRDefault="0070582E" w:rsidP="00EF4DD8">
      <w:pPr>
        <w:pStyle w:val="ListParagraph"/>
        <w:numPr>
          <w:ilvl w:val="0"/>
          <w:numId w:val="10"/>
        </w:numPr>
        <w:spacing w:after="60"/>
      </w:pPr>
      <w:r>
        <w:t>School-support selections remain concentrated in Chamblee and Lakeside, with Chamblee accounting for 32.9% of the six-cluster selections and Lakeside 28.7%.</w:t>
      </w:r>
    </w:p>
    <w:p w14:paraId="0DF652A9" w14:textId="77777777" w:rsidR="00A6256C" w:rsidRDefault="0070582E">
      <w:pPr>
        <w:pStyle w:val="Heading1"/>
      </w:pPr>
      <w:r>
        <w:t>Who participated?</w:t>
      </w:r>
    </w:p>
    <w:p w14:paraId="3DCDCBDA" w14:textId="77777777" w:rsidR="00A6256C" w:rsidRDefault="0070582E">
      <w:r>
        <w:t>Parents and guardians continue to drive the response pool, but Session #2 includes a noticeably larger share of community partners and school staff than Session #1. This matters when interpreting shifts in the feedback.</w:t>
      </w:r>
    </w:p>
    <w:p w14:paraId="1B12355A" w14:textId="77777777" w:rsidR="00A6256C" w:rsidRDefault="0070582E">
      <w:r>
        <w:rPr>
          <w:noProof/>
        </w:rPr>
        <w:drawing>
          <wp:inline distT="0" distB="0" distL="0" distR="0" wp14:anchorId="35E6C49D" wp14:editId="71117CF8">
            <wp:extent cx="6309360" cy="26182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les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2618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5784B" w14:textId="77777777" w:rsidR="00A6256C" w:rsidRDefault="0070582E">
      <w:pPr>
        <w:pStyle w:val="Heading1"/>
      </w:pPr>
      <w:r>
        <w:lastRenderedPageBreak/>
        <w:t>Where respondents are connected</w:t>
      </w:r>
    </w:p>
    <w:p w14:paraId="15348A60" w14:textId="77777777" w:rsidR="00A6256C" w:rsidRDefault="0070582E">
      <w:r>
        <w:t>The school-support question allowed respondents to select more than one school. The six focus clusters account for 2,922 school-support selections, so these figures represent selections, not unique respondents.</w:t>
      </w:r>
    </w:p>
    <w:p w14:paraId="1BAD3009" w14:textId="77777777" w:rsidR="00A6256C" w:rsidRDefault="0070582E">
      <w:r>
        <w:rPr>
          <w:noProof/>
        </w:rPr>
        <w:drawing>
          <wp:inline distT="0" distB="0" distL="0" distR="0" wp14:anchorId="46F4304D" wp14:editId="20EDDDB4">
            <wp:extent cx="6309360" cy="26221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usters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262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894B9" w14:textId="77777777" w:rsidR="00A6256C" w:rsidRDefault="0070582E">
      <w:pPr>
        <w:pStyle w:val="Heading1"/>
      </w:pPr>
      <w:r>
        <w:t>What respondents say matters most</w:t>
      </w:r>
    </w:p>
    <w:p w14:paraId="700E53AC" w14:textId="77777777" w:rsidR="00A6256C" w:rsidRDefault="0070582E">
      <w:r>
        <w:rPr>
          <w:noProof/>
        </w:rPr>
        <w:drawing>
          <wp:inline distT="0" distB="0" distL="0" distR="0" wp14:anchorId="605F1329" wp14:editId="3A6F04C1">
            <wp:extent cx="6309360" cy="243072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cisio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2430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CDED9" w14:textId="77777777" w:rsidR="00A6256C" w:rsidRDefault="0070582E">
      <w:r>
        <w:t>The central tension is clear: most respondents want the District to protect neighborhood and community connections, but nearly one-third want those interests weighed equally with district-wide needs on a case-by-case basis. The results do not support a simple “local versus district” split.</w:t>
      </w:r>
    </w:p>
    <w:p w14:paraId="32EE244B" w14:textId="77777777" w:rsidR="00A6256C" w:rsidRDefault="0070582E">
      <w:pPr>
        <w:pStyle w:val="Heading1"/>
      </w:pPr>
      <w:r>
        <w:t>Themes reflected in Session #2</w:t>
      </w:r>
    </w:p>
    <w:p w14:paraId="1050526C" w14:textId="77777777" w:rsidR="00A6256C" w:rsidRDefault="0070582E" w:rsidP="00EF4DD8">
      <w:pPr>
        <w:pStyle w:val="ListParagraph"/>
        <w:numPr>
          <w:ilvl w:val="0"/>
          <w:numId w:val="11"/>
        </w:numPr>
        <w:spacing w:after="60"/>
      </w:pPr>
      <w:r>
        <w:t>Neighborhoods and community: The strongest theme, reflected directly in the leading response option.</w:t>
      </w:r>
    </w:p>
    <w:p w14:paraId="7476A909" w14:textId="77777777" w:rsidR="00A6256C" w:rsidRDefault="0070582E" w:rsidP="00EF4DD8">
      <w:pPr>
        <w:pStyle w:val="ListParagraph"/>
        <w:numPr>
          <w:ilvl w:val="0"/>
          <w:numId w:val="11"/>
        </w:numPr>
        <w:spacing w:after="60"/>
      </w:pPr>
      <w:r>
        <w:t xml:space="preserve">Balance and case-by-case judgment: Nearly one-third of respondents want the </w:t>
      </w:r>
      <w:proofErr w:type="gramStart"/>
      <w:r>
        <w:t>District</w:t>
      </w:r>
      <w:proofErr w:type="gramEnd"/>
      <w:r>
        <w:t xml:space="preserve"> to weigh local and district-wide interests together rather than apply one rule to every situation.</w:t>
      </w:r>
    </w:p>
    <w:p w14:paraId="073FBA21" w14:textId="77777777" w:rsidR="00A6256C" w:rsidRDefault="0070582E" w:rsidP="00EF4DD8">
      <w:pPr>
        <w:pStyle w:val="ListParagraph"/>
        <w:numPr>
          <w:ilvl w:val="0"/>
          <w:numId w:val="11"/>
        </w:numPr>
        <w:spacing w:after="60"/>
      </w:pPr>
      <w:r>
        <w:t>Capacity and equity: A smaller group explicitly prioritizes district-wide capacity and equity, showing that some respondents place system-level considerations first.</w:t>
      </w:r>
    </w:p>
    <w:p w14:paraId="32D44135" w14:textId="77777777" w:rsidR="00A6256C" w:rsidRDefault="0070582E" w:rsidP="00EF4DD8">
      <w:pPr>
        <w:pStyle w:val="ListParagraph"/>
        <w:numPr>
          <w:ilvl w:val="0"/>
          <w:numId w:val="11"/>
        </w:numPr>
        <w:spacing w:after="60"/>
      </w:pPr>
      <w:r>
        <w:t>Policy and consistency: A small but clear group wants Board Policy AD itself to serve as the deciding framework.</w:t>
      </w:r>
    </w:p>
    <w:p w14:paraId="13D65118" w14:textId="77777777" w:rsidR="00A6256C" w:rsidRDefault="0070582E">
      <w:pPr>
        <w:pStyle w:val="Heading1"/>
      </w:pPr>
      <w:r>
        <w:lastRenderedPageBreak/>
        <w:t>Top schools selected for support</w:t>
      </w:r>
    </w:p>
    <w:p w14:paraId="1FF1BA19" w14:textId="77777777" w:rsidR="00A6256C" w:rsidRDefault="0070582E">
      <w:r>
        <w:rPr>
          <w:noProof/>
        </w:rPr>
        <w:drawing>
          <wp:inline distT="0" distB="0" distL="0" distR="0" wp14:anchorId="1D304C38" wp14:editId="60E8CBF2">
            <wp:extent cx="6309360" cy="262416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2624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D0349" w14:textId="77777777" w:rsidR="00A6256C" w:rsidRDefault="0070582E">
      <w:pPr>
        <w:pStyle w:val="Heading1"/>
      </w:pPr>
      <w:r>
        <w:t>Notable and surprising patterns</w:t>
      </w:r>
    </w:p>
    <w:p w14:paraId="31F3D5D2" w14:textId="77777777" w:rsidR="00A6256C" w:rsidRDefault="0070582E" w:rsidP="00EF4DD8">
      <w:pPr>
        <w:pStyle w:val="ListParagraph"/>
        <w:numPr>
          <w:ilvl w:val="0"/>
          <w:numId w:val="12"/>
        </w:numPr>
        <w:spacing w:after="60"/>
      </w:pPr>
      <w:r>
        <w:t>The respondent pool broadened. Parents/guardians fell from 81.2% in Session #1 to 73.8% in Session #2, while community partners rose from 5.4% to 10.4% and school staff from 7.4% to 10.1%.</w:t>
      </w:r>
    </w:p>
    <w:p w14:paraId="725EAC02" w14:textId="77777777" w:rsidR="00A6256C" w:rsidRDefault="0070582E" w:rsidP="00EF4DD8">
      <w:pPr>
        <w:pStyle w:val="ListParagraph"/>
        <w:numPr>
          <w:ilvl w:val="0"/>
          <w:numId w:val="12"/>
        </w:numPr>
        <w:spacing w:after="60"/>
      </w:pPr>
      <w:r>
        <w:t xml:space="preserve">The neighborhood preference remains strong, but it is not absolute. More than three in 10 respondents prefer a case-by-case balance, which gives the </w:t>
      </w:r>
      <w:proofErr w:type="gramStart"/>
      <w:r>
        <w:t>District</w:t>
      </w:r>
      <w:proofErr w:type="gramEnd"/>
      <w:r>
        <w:t xml:space="preserve"> room to present tradeoffs rather than frame the discussion as neighborhood protection versus district needs.</w:t>
      </w:r>
    </w:p>
    <w:p w14:paraId="34F9B6F2" w14:textId="77777777" w:rsidR="00A6256C" w:rsidRDefault="0070582E" w:rsidP="00EF4DD8">
      <w:pPr>
        <w:pStyle w:val="ListParagraph"/>
        <w:numPr>
          <w:ilvl w:val="0"/>
          <w:numId w:val="12"/>
        </w:numPr>
        <w:spacing w:after="60"/>
      </w:pPr>
      <w:r>
        <w:t>Chamblee and Lakeside continue to dominate school-support selections. Together they represent 61.6% of the six-focus-cluster selections.</w:t>
      </w:r>
    </w:p>
    <w:p w14:paraId="6AEC433E" w14:textId="77777777" w:rsidR="00A6256C" w:rsidRDefault="0070582E" w:rsidP="00EF4DD8">
      <w:pPr>
        <w:pStyle w:val="ListParagraph"/>
        <w:numPr>
          <w:ilvl w:val="0"/>
          <w:numId w:val="12"/>
        </w:numPr>
        <w:spacing w:after="60"/>
      </w:pPr>
      <w:r>
        <w:t>Ashford Park remains the single most-selected school, with 371 selections. Chamblee Middle and Chamblee High also remain among the most frequently selected schools.</w:t>
      </w:r>
    </w:p>
    <w:p w14:paraId="04DC9FDB" w14:textId="77777777" w:rsidR="00A6256C" w:rsidRDefault="0070582E" w:rsidP="00EF4DD8">
      <w:pPr>
        <w:pStyle w:val="ListParagraph"/>
        <w:numPr>
          <w:ilvl w:val="0"/>
          <w:numId w:val="12"/>
        </w:numPr>
        <w:spacing w:after="60"/>
      </w:pPr>
      <w:r>
        <w:t>Sequoyah MS drew 68 selections. Because it is part of the Cross Keys school-support list in this export, it materially increases the Cross Keys cluster's selection count compared with Session #1. This should be considered when comparing cluster totals across sessions.</w:t>
      </w:r>
    </w:p>
    <w:p w14:paraId="1EED517A" w14:textId="77777777" w:rsidR="00A6256C" w:rsidRDefault="0070582E">
      <w:pPr>
        <w:pStyle w:val="Heading1"/>
      </w:pPr>
      <w:r>
        <w:t>Implications for Engagement Session #3</w:t>
      </w:r>
    </w:p>
    <w:p w14:paraId="115B82A6" w14:textId="77777777" w:rsidR="00A6256C" w:rsidRDefault="0070582E" w:rsidP="00EF4DD8">
      <w:pPr>
        <w:pStyle w:val="ListParagraph"/>
        <w:numPr>
          <w:ilvl w:val="0"/>
          <w:numId w:val="13"/>
        </w:numPr>
        <w:spacing w:after="60"/>
      </w:pPr>
      <w:r>
        <w:t xml:space="preserve">Show the tradeoffs. Participants are giving the </w:t>
      </w:r>
      <w:proofErr w:type="gramStart"/>
      <w:r>
        <w:t>District</w:t>
      </w:r>
      <w:proofErr w:type="gramEnd"/>
      <w:r>
        <w:t xml:space="preserve"> permission to weigh competing considerations, but they want to understand why a particular option is the better choice.</w:t>
      </w:r>
    </w:p>
    <w:p w14:paraId="7EAFDF29" w14:textId="77777777" w:rsidR="00A6256C" w:rsidRDefault="0070582E" w:rsidP="00EF4DD8">
      <w:pPr>
        <w:pStyle w:val="ListParagraph"/>
        <w:numPr>
          <w:ilvl w:val="0"/>
          <w:numId w:val="13"/>
        </w:numPr>
        <w:spacing w:after="60"/>
      </w:pPr>
      <w:r>
        <w:t>Make the decision framework visible. For each proposed zone change, show neighborhood continuity, capacity impact, feeder implications, transportation and student impact together.</w:t>
      </w:r>
    </w:p>
    <w:p w14:paraId="3C112553" w14:textId="77777777" w:rsidR="00A6256C" w:rsidRDefault="0070582E" w:rsidP="00EF4DD8">
      <w:pPr>
        <w:pStyle w:val="ListParagraph"/>
        <w:numPr>
          <w:ilvl w:val="0"/>
          <w:numId w:val="13"/>
        </w:numPr>
        <w:spacing w:after="60"/>
      </w:pPr>
      <w:r>
        <w:t>Avoid treating every neighborhood preference as an absolute. The 31.5% case-by-case response suggests an opportunity to explain where district-wide needs may reasonably outweigh local preferences.</w:t>
      </w:r>
    </w:p>
    <w:p w14:paraId="78D1BD89" w14:textId="77777777" w:rsidR="00A6256C" w:rsidRDefault="0070582E" w:rsidP="00EF4DD8">
      <w:pPr>
        <w:pStyle w:val="ListParagraph"/>
        <w:numPr>
          <w:ilvl w:val="0"/>
          <w:numId w:val="13"/>
        </w:numPr>
        <w:spacing w:after="60"/>
      </w:pPr>
      <w:r>
        <w:t>Continue broad outreach. The larger community-partner and staff presence in Session #2 suggests value in maintaining multiple engagement pathways, not only parent-focused communication.</w:t>
      </w:r>
    </w:p>
    <w:p w14:paraId="21612F8D" w14:textId="77777777" w:rsidR="00A6256C" w:rsidRDefault="0070582E" w:rsidP="00EF4DD8">
      <w:pPr>
        <w:pStyle w:val="ListParagraph"/>
        <w:numPr>
          <w:ilvl w:val="0"/>
          <w:numId w:val="13"/>
        </w:numPr>
        <w:spacing w:after="60"/>
      </w:pPr>
      <w:r>
        <w:t>Be precise about what the survey can and cannot tell us. This export does not include individual written comments, so qualitative conclusions should remain limited to the closed-ended responses and school-selection patterns.</w:t>
      </w:r>
    </w:p>
    <w:p w14:paraId="03D8F976" w14:textId="5F216C22" w:rsidR="00A6256C" w:rsidRDefault="00A6256C"/>
    <w:sectPr w:rsidR="00A6256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B305B4"/>
    <w:multiLevelType w:val="hybridMultilevel"/>
    <w:tmpl w:val="E4182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12616A"/>
    <w:multiLevelType w:val="hybridMultilevel"/>
    <w:tmpl w:val="F21CB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77022"/>
    <w:multiLevelType w:val="hybridMultilevel"/>
    <w:tmpl w:val="3B64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DD35A7"/>
    <w:multiLevelType w:val="hybridMultilevel"/>
    <w:tmpl w:val="210C4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9700066">
    <w:abstractNumId w:val="8"/>
  </w:num>
  <w:num w:numId="2" w16cid:durableId="1264265303">
    <w:abstractNumId w:val="6"/>
  </w:num>
  <w:num w:numId="3" w16cid:durableId="408117686">
    <w:abstractNumId w:val="5"/>
  </w:num>
  <w:num w:numId="4" w16cid:durableId="2037147280">
    <w:abstractNumId w:val="4"/>
  </w:num>
  <w:num w:numId="5" w16cid:durableId="682323154">
    <w:abstractNumId w:val="7"/>
  </w:num>
  <w:num w:numId="6" w16cid:durableId="191575202">
    <w:abstractNumId w:val="3"/>
  </w:num>
  <w:num w:numId="7" w16cid:durableId="1235511713">
    <w:abstractNumId w:val="2"/>
  </w:num>
  <w:num w:numId="8" w16cid:durableId="1909530265">
    <w:abstractNumId w:val="1"/>
  </w:num>
  <w:num w:numId="9" w16cid:durableId="1506748131">
    <w:abstractNumId w:val="0"/>
  </w:num>
  <w:num w:numId="10" w16cid:durableId="918976624">
    <w:abstractNumId w:val="9"/>
  </w:num>
  <w:num w:numId="11" w16cid:durableId="738134941">
    <w:abstractNumId w:val="11"/>
  </w:num>
  <w:num w:numId="12" w16cid:durableId="1760980119">
    <w:abstractNumId w:val="10"/>
  </w:num>
  <w:num w:numId="13" w16cid:durableId="865750282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0582E"/>
    <w:rsid w:val="00A343EE"/>
    <w:rsid w:val="00A6256C"/>
    <w:rsid w:val="00AA1D8D"/>
    <w:rsid w:val="00B47730"/>
    <w:rsid w:val="00CB0664"/>
    <w:rsid w:val="00EF4D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DAE97D"/>
  <w14:defaultImageDpi w14:val="300"/>
  <w15:docId w15:val="{FB2CB43E-729F-F646-AABC-4C441DF0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Jonathan Goldman (Department Of Communication)</cp:lastModifiedBy>
  <cp:revision>2</cp:revision>
  <dcterms:created xsi:type="dcterms:W3CDTF">2026-10-07T16:16:00Z</dcterms:created>
  <dcterms:modified xsi:type="dcterms:W3CDTF">2026-10-07T16:16:00Z</dcterms:modified>
  <cp:category/>
</cp:coreProperties>
</file>