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AB5" w:rsidRDefault="00935AB5">
      <w:pPr>
        <w:spacing w:before="71"/>
        <w:ind w:right="83"/>
        <w:jc w:val="center"/>
        <w:rPr>
          <w:b/>
          <w:bCs/>
          <w:sz w:val="24"/>
          <w:szCs w:val="24"/>
        </w:rPr>
      </w:pPr>
    </w:p>
    <w:p w:rsidR="00935AB5" w:rsidRDefault="00935AB5">
      <w:pPr>
        <w:pBdr>
          <w:top w:val="nil"/>
          <w:left w:val="nil"/>
          <w:bottom w:val="nil"/>
          <w:right w:val="nil"/>
          <w:between w:val="nil"/>
        </w:pBdr>
        <w:spacing w:before="84"/>
        <w:rPr>
          <w:b/>
          <w:bCs/>
          <w:color w:val="000000"/>
          <w:sz w:val="24"/>
          <w:szCs w:val="24"/>
        </w:rPr>
      </w:pPr>
    </w:p>
    <w:p w:rsidR="00935AB5" w:rsidRDefault="00ED514D">
      <w:pPr>
        <w:ind w:right="3"/>
        <w:jc w:val="center"/>
        <w:rPr>
          <w:b/>
          <w:bCs/>
          <w:sz w:val="24"/>
          <w:szCs w:val="24"/>
        </w:rPr>
      </w:pPr>
      <w:r>
        <w:rPr>
          <w:b/>
          <w:bCs/>
          <w:sz w:val="24"/>
          <w:szCs w:val="24"/>
        </w:rPr>
        <w:t>Federal Procurement</w:t>
      </w:r>
    </w:p>
    <w:p w:rsidR="00935AB5" w:rsidRDefault="00ED514D">
      <w:pPr>
        <w:pBdr>
          <w:top w:val="nil"/>
          <w:left w:val="nil"/>
          <w:bottom w:val="nil"/>
          <w:right w:val="nil"/>
          <w:between w:val="nil"/>
        </w:pBdr>
        <w:spacing w:before="176"/>
        <w:ind w:left="87" w:right="84"/>
        <w:rPr>
          <w:color w:val="000000"/>
          <w:sz w:val="24"/>
          <w:szCs w:val="24"/>
        </w:rPr>
      </w:pPr>
      <w:r>
        <w:rPr>
          <w:color w:val="000000"/>
          <w:sz w:val="24"/>
          <w:szCs w:val="24"/>
        </w:rPr>
        <w:t xml:space="preserve">This policy and its accompanying regulation </w:t>
      </w:r>
      <w:r w:rsidRPr="008A191A">
        <w:rPr>
          <w:bCs/>
          <w:color w:val="000000"/>
          <w:sz w:val="24"/>
          <w:szCs w:val="24"/>
        </w:rPr>
        <w:t>(DJB-R)</w:t>
      </w:r>
      <w:r w:rsidRPr="008A191A">
        <w:rPr>
          <w:color w:val="000000"/>
          <w:sz w:val="24"/>
          <w:szCs w:val="24"/>
        </w:rPr>
        <w:t xml:space="preserve"> apply </w:t>
      </w:r>
      <w:r>
        <w:rPr>
          <w:color w:val="000000"/>
          <w:sz w:val="24"/>
          <w:szCs w:val="24"/>
        </w:rPr>
        <w:t>to the purchase of services, supplies, equipment, or other property with federal funds that are subject to the federal Uniform Grant Guidance (UGG) and other applicable federal law, including but not limited to the Education Department General Admin</w:t>
      </w:r>
      <w:r>
        <w:rPr>
          <w:color w:val="000000"/>
          <w:sz w:val="24"/>
          <w:szCs w:val="24"/>
        </w:rPr>
        <w:t>istration Regulations (EDGAR), and the United States Department of Agriculture (USDA) regulations governing school food service programs. In the event this policy or its accompanying regulation conflict or are otherwise inconsistent with mandatory provisio</w:t>
      </w:r>
      <w:r>
        <w:rPr>
          <w:color w:val="000000"/>
          <w:sz w:val="24"/>
          <w:szCs w:val="24"/>
        </w:rPr>
        <w:t>ns of the UGG, EDGAR, or other applicable federal law, the mandatory provisions of such laws control.</w:t>
      </w:r>
    </w:p>
    <w:p w:rsidR="00935AB5" w:rsidRDefault="00ED514D">
      <w:pPr>
        <w:pBdr>
          <w:top w:val="nil"/>
          <w:left w:val="nil"/>
          <w:bottom w:val="nil"/>
          <w:right w:val="nil"/>
          <w:between w:val="nil"/>
        </w:pBdr>
        <w:spacing w:before="180"/>
        <w:ind w:left="87" w:right="84"/>
        <w:rPr>
          <w:color w:val="000000"/>
          <w:sz w:val="24"/>
          <w:szCs w:val="24"/>
        </w:rPr>
      </w:pPr>
      <w:r>
        <w:rPr>
          <w:color w:val="000000"/>
          <w:sz w:val="24"/>
          <w:szCs w:val="24"/>
        </w:rPr>
        <w:t>District employees must follow Board policy concerning employee purchasing authority when making any purchase with federal funds and must obtain prior Boa</w:t>
      </w:r>
      <w:r>
        <w:rPr>
          <w:color w:val="000000"/>
          <w:sz w:val="24"/>
          <w:szCs w:val="24"/>
        </w:rPr>
        <w:t>rd approval in those instances when it is required by Board policy. District employees must also follow applicable state law and Board policy concerning competitive bidding, to the extent state law and/or Board policy establish additional requirements or p</w:t>
      </w:r>
      <w:r>
        <w:rPr>
          <w:color w:val="000000"/>
          <w:sz w:val="24"/>
          <w:szCs w:val="24"/>
        </w:rPr>
        <w:t>rocedures--including conducting criminal background checks for any person providing direct services to students pursuant to a written contract--that do not conflict with this policy and its accompanying regulation.</w:t>
      </w: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spacing w:before="89"/>
        <w:rPr>
          <w:color w:val="000000"/>
          <w:sz w:val="24"/>
          <w:szCs w:val="24"/>
        </w:rPr>
      </w:pPr>
    </w:p>
    <w:p w:rsidR="00935AB5" w:rsidRDefault="00ED514D">
      <w:pPr>
        <w:ind w:left="87"/>
        <w:rPr>
          <w:b/>
          <w:bCs/>
          <w:sz w:val="24"/>
          <w:szCs w:val="24"/>
        </w:rPr>
      </w:pPr>
      <w:r>
        <w:rPr>
          <w:b/>
          <w:bCs/>
          <w:sz w:val="24"/>
          <w:szCs w:val="24"/>
        </w:rPr>
        <w:t xml:space="preserve">Federal micro-purchases (less than </w:t>
      </w:r>
      <w:r>
        <w:rPr>
          <w:b/>
          <w:bCs/>
          <w:sz w:val="24"/>
          <w:szCs w:val="24"/>
        </w:rPr>
        <w:t>$15,000)</w:t>
      </w:r>
    </w:p>
    <w:p w:rsidR="00935AB5" w:rsidRDefault="00ED514D">
      <w:pPr>
        <w:pBdr>
          <w:top w:val="nil"/>
          <w:left w:val="nil"/>
          <w:bottom w:val="nil"/>
          <w:right w:val="nil"/>
          <w:between w:val="nil"/>
        </w:pBdr>
        <w:spacing w:before="176"/>
        <w:ind w:left="87" w:right="84"/>
        <w:rPr>
          <w:color w:val="000000"/>
          <w:sz w:val="24"/>
          <w:szCs w:val="24"/>
        </w:rPr>
      </w:pPr>
      <w:r w:rsidRPr="008A191A">
        <w:rPr>
          <w:color w:val="000000"/>
          <w:sz w:val="24"/>
          <w:szCs w:val="24"/>
        </w:rPr>
        <w:t xml:space="preserve">A </w:t>
      </w:r>
      <w:r w:rsidRPr="008A191A">
        <w:rPr>
          <w:bCs/>
          <w:color w:val="000000"/>
          <w:sz w:val="24"/>
          <w:szCs w:val="24"/>
          <w:u w:val="single"/>
        </w:rPr>
        <w:t>Micro-Purchase</w:t>
      </w:r>
      <w:r w:rsidRPr="008A191A">
        <w:rPr>
          <w:color w:val="000000"/>
          <w:sz w:val="24"/>
          <w:szCs w:val="24"/>
        </w:rPr>
        <w:t xml:space="preserve"> is</w:t>
      </w:r>
      <w:r>
        <w:rPr>
          <w:color w:val="000000"/>
          <w:sz w:val="24"/>
          <w:szCs w:val="24"/>
        </w:rPr>
        <w:t xml:space="preserve"> a purchase of supplies or services using simplified acquisition procedures, the aggregate amount of which does not exceed the micro-purchase threshold.</w:t>
      </w:r>
    </w:p>
    <w:p w:rsidR="00935AB5" w:rsidRDefault="00ED514D">
      <w:pPr>
        <w:pBdr>
          <w:top w:val="nil"/>
          <w:left w:val="nil"/>
          <w:bottom w:val="nil"/>
          <w:right w:val="nil"/>
          <w:between w:val="nil"/>
        </w:pBdr>
        <w:spacing w:before="180"/>
        <w:ind w:left="87" w:right="264"/>
        <w:jc w:val="both"/>
        <w:rPr>
          <w:color w:val="000000"/>
          <w:sz w:val="24"/>
          <w:szCs w:val="24"/>
        </w:rPr>
      </w:pPr>
      <w:r>
        <w:rPr>
          <w:color w:val="000000"/>
          <w:sz w:val="24"/>
          <w:szCs w:val="24"/>
        </w:rPr>
        <w:t>Micro-purchases may be made or awarded without soliciting competitive price</w:t>
      </w:r>
      <w:r>
        <w:rPr>
          <w:color w:val="000000"/>
          <w:sz w:val="24"/>
          <w:szCs w:val="24"/>
        </w:rPr>
        <w:t xml:space="preserve"> or rate quotations, if </w:t>
      </w:r>
      <w:r>
        <w:rPr>
          <w:color w:val="000000"/>
          <w:sz w:val="24"/>
          <w:szCs w:val="24"/>
        </w:rPr>
        <w:t>D</w:t>
      </w:r>
      <w:r>
        <w:rPr>
          <w:color w:val="000000"/>
          <w:sz w:val="24"/>
          <w:szCs w:val="24"/>
        </w:rPr>
        <w:t xml:space="preserve">istrict </w:t>
      </w:r>
      <w:r>
        <w:rPr>
          <w:b/>
          <w:bCs/>
          <w:color w:val="000000"/>
          <w:sz w:val="24"/>
          <w:szCs w:val="24"/>
        </w:rPr>
        <w:t>S</w:t>
      </w:r>
      <w:r>
        <w:rPr>
          <w:color w:val="000000"/>
          <w:sz w:val="24"/>
          <w:szCs w:val="24"/>
        </w:rPr>
        <w:t>taff considers the price to be reasonable based on research, experience, purchase history, or other information and documents its files accordingly.</w:t>
      </w:r>
    </w:p>
    <w:p w:rsidR="00935AB5" w:rsidRDefault="00ED514D">
      <w:pPr>
        <w:pBdr>
          <w:top w:val="nil"/>
          <w:left w:val="nil"/>
          <w:bottom w:val="nil"/>
          <w:right w:val="nil"/>
          <w:between w:val="nil"/>
        </w:pBdr>
        <w:spacing w:before="180"/>
        <w:ind w:left="87" w:right="543"/>
        <w:rPr>
          <w:color w:val="000000"/>
          <w:sz w:val="24"/>
          <w:szCs w:val="24"/>
        </w:rPr>
      </w:pPr>
      <w:r>
        <w:rPr>
          <w:color w:val="000000"/>
          <w:sz w:val="24"/>
          <w:szCs w:val="24"/>
        </w:rPr>
        <w:t>To the extent practicable, the</w:t>
      </w:r>
      <w:r>
        <w:rPr>
          <w:color w:val="000000"/>
          <w:sz w:val="24"/>
          <w:szCs w:val="24"/>
        </w:rPr>
        <w:t xml:space="preserve"> D</w:t>
      </w:r>
      <w:r>
        <w:rPr>
          <w:color w:val="000000"/>
          <w:sz w:val="24"/>
          <w:szCs w:val="24"/>
        </w:rPr>
        <w:t>istrict may distribute micro-purchases equitably among qualified suppliers when the same</w:t>
      </w:r>
      <w:r>
        <w:rPr>
          <w:b/>
          <w:bCs/>
          <w:color w:val="000000"/>
          <w:sz w:val="24"/>
          <w:szCs w:val="24"/>
        </w:rPr>
        <w:t>,</w:t>
      </w:r>
      <w:r>
        <w:rPr>
          <w:color w:val="000000"/>
          <w:sz w:val="24"/>
          <w:szCs w:val="24"/>
        </w:rPr>
        <w:t xml:space="preserve"> or materially interchangeable</w:t>
      </w:r>
      <w:r>
        <w:rPr>
          <w:b/>
          <w:bCs/>
          <w:color w:val="000000"/>
          <w:sz w:val="24"/>
          <w:szCs w:val="24"/>
        </w:rPr>
        <w:t>,</w:t>
      </w:r>
      <w:r>
        <w:rPr>
          <w:color w:val="000000"/>
          <w:sz w:val="24"/>
          <w:szCs w:val="24"/>
        </w:rPr>
        <w:t xml:space="preserve"> products are identified and such suppliers offer effectively equivalent rates, prices, and other terms.</w:t>
      </w: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spacing w:before="89"/>
        <w:rPr>
          <w:color w:val="000000"/>
          <w:sz w:val="24"/>
          <w:szCs w:val="24"/>
        </w:rPr>
      </w:pPr>
    </w:p>
    <w:p w:rsidR="00935AB5" w:rsidRDefault="00ED514D">
      <w:pPr>
        <w:ind w:left="87"/>
        <w:jc w:val="both"/>
        <w:rPr>
          <w:b/>
          <w:bCs/>
          <w:sz w:val="24"/>
          <w:szCs w:val="24"/>
        </w:rPr>
      </w:pPr>
      <w:r>
        <w:rPr>
          <w:b/>
          <w:bCs/>
          <w:sz w:val="24"/>
          <w:szCs w:val="24"/>
        </w:rPr>
        <w:t>Federal simplified acquisition threshold ($15,000 to under $350,000)</w:t>
      </w:r>
    </w:p>
    <w:p w:rsidR="00935AB5" w:rsidRDefault="00ED514D">
      <w:pPr>
        <w:pBdr>
          <w:top w:val="nil"/>
          <w:left w:val="nil"/>
          <w:bottom w:val="nil"/>
          <w:right w:val="nil"/>
          <w:between w:val="nil"/>
        </w:pBdr>
        <w:spacing w:before="175"/>
        <w:ind w:left="87" w:right="84"/>
        <w:rPr>
          <w:color w:val="000000"/>
          <w:sz w:val="24"/>
          <w:szCs w:val="24"/>
        </w:rPr>
      </w:pPr>
      <w:r w:rsidRPr="008A191A">
        <w:rPr>
          <w:bCs/>
          <w:color w:val="000000"/>
          <w:sz w:val="24"/>
          <w:szCs w:val="24"/>
          <w:u w:val="single"/>
        </w:rPr>
        <w:t xml:space="preserve">Simplified Acquisition </w:t>
      </w:r>
      <w:r w:rsidRPr="008A191A">
        <w:rPr>
          <w:bCs/>
          <w:color w:val="000000"/>
          <w:sz w:val="24"/>
          <w:szCs w:val="24"/>
        </w:rPr>
        <w:t>Threshold</w:t>
      </w:r>
      <w:r>
        <w:rPr>
          <w:b/>
          <w:bCs/>
          <w:color w:val="000000"/>
          <w:sz w:val="24"/>
          <w:szCs w:val="24"/>
        </w:rPr>
        <w:t xml:space="preserve"> </w:t>
      </w:r>
      <w:r>
        <w:rPr>
          <w:color w:val="000000"/>
          <w:sz w:val="24"/>
          <w:szCs w:val="24"/>
        </w:rPr>
        <w:t>means the dollar amount below which a non-</w:t>
      </w:r>
      <w:r>
        <w:rPr>
          <w:color w:val="000000"/>
          <w:sz w:val="24"/>
          <w:szCs w:val="24"/>
        </w:rPr>
        <w:t>f</w:t>
      </w:r>
      <w:r>
        <w:rPr>
          <w:color w:val="000000"/>
          <w:sz w:val="24"/>
          <w:szCs w:val="24"/>
        </w:rPr>
        <w:t>ederal entity may purchase property or services using small purchase methods. Non-</w:t>
      </w:r>
      <w:r>
        <w:rPr>
          <w:color w:val="000000"/>
          <w:sz w:val="24"/>
          <w:szCs w:val="24"/>
        </w:rPr>
        <w:t>f</w:t>
      </w:r>
      <w:r>
        <w:rPr>
          <w:color w:val="000000"/>
          <w:sz w:val="24"/>
          <w:szCs w:val="24"/>
        </w:rPr>
        <w:t xml:space="preserve">ederal entities adopt small </w:t>
      </w:r>
      <w:r>
        <w:rPr>
          <w:color w:val="000000"/>
          <w:sz w:val="24"/>
          <w:szCs w:val="24"/>
        </w:rPr>
        <w:t>purchase procedures</w:t>
      </w:r>
      <w:r>
        <w:rPr>
          <w:sz w:val="24"/>
          <w:szCs w:val="24"/>
        </w:rPr>
        <w:t xml:space="preserve"> </w:t>
      </w:r>
      <w:r>
        <w:rPr>
          <w:color w:val="000000"/>
          <w:sz w:val="24"/>
          <w:szCs w:val="24"/>
        </w:rPr>
        <w:t>to expedite the purchase of items costing less than the simplified acquisition threshold.</w:t>
      </w:r>
    </w:p>
    <w:p w:rsidR="00935AB5" w:rsidRDefault="00ED514D">
      <w:pPr>
        <w:pBdr>
          <w:top w:val="nil"/>
          <w:left w:val="nil"/>
          <w:bottom w:val="nil"/>
          <w:right w:val="nil"/>
          <w:between w:val="nil"/>
        </w:pBdr>
        <w:spacing w:before="181"/>
        <w:ind w:left="87" w:right="331"/>
        <w:jc w:val="both"/>
        <w:rPr>
          <w:color w:val="000000"/>
          <w:sz w:val="24"/>
          <w:szCs w:val="24"/>
        </w:rPr>
      </w:pPr>
      <w:r>
        <w:rPr>
          <w:color w:val="000000"/>
          <w:sz w:val="24"/>
          <w:szCs w:val="24"/>
        </w:rPr>
        <w:t>For small purchases, price or rate quotes must be obtained in advance from a reasonable number of qualified sources, as detailed in this policy's accompanying regulation, unless:</w:t>
      </w:r>
    </w:p>
    <w:p w:rsidR="00935AB5" w:rsidRDefault="00ED514D">
      <w:pPr>
        <w:numPr>
          <w:ilvl w:val="0"/>
          <w:numId w:val="1"/>
        </w:numPr>
        <w:pBdr>
          <w:top w:val="nil"/>
          <w:left w:val="nil"/>
          <w:bottom w:val="nil"/>
          <w:right w:val="nil"/>
          <w:between w:val="nil"/>
        </w:pBdr>
        <w:tabs>
          <w:tab w:val="left" w:pos="387"/>
        </w:tabs>
        <w:spacing w:before="180"/>
        <w:ind w:left="87" w:right="470" w:firstLine="0"/>
        <w:rPr>
          <w:color w:val="000000"/>
        </w:rPr>
      </w:pPr>
      <w:r>
        <w:rPr>
          <w:color w:val="000000"/>
          <w:sz w:val="24"/>
          <w:szCs w:val="24"/>
        </w:rPr>
        <w:t xml:space="preserve">a valid basis exists under the federal Uniform Grant Guidance for relying on </w:t>
      </w:r>
      <w:r>
        <w:rPr>
          <w:color w:val="000000"/>
          <w:sz w:val="24"/>
          <w:szCs w:val="24"/>
        </w:rPr>
        <w:t>procurement by a noncompetitive proposal (i.e., "single source" procurement); or</w:t>
      </w:r>
    </w:p>
    <w:p w:rsidR="00935AB5" w:rsidRDefault="00ED514D">
      <w:pPr>
        <w:numPr>
          <w:ilvl w:val="0"/>
          <w:numId w:val="1"/>
        </w:numPr>
        <w:pBdr>
          <w:top w:val="nil"/>
          <w:left w:val="nil"/>
          <w:bottom w:val="nil"/>
          <w:right w:val="nil"/>
          <w:between w:val="nil"/>
        </w:pBdr>
        <w:tabs>
          <w:tab w:val="left" w:pos="387"/>
        </w:tabs>
        <w:spacing w:before="103"/>
        <w:ind w:left="387" w:hanging="300"/>
        <w:rPr>
          <w:color w:val="000000"/>
        </w:rPr>
        <w:sectPr w:rsidR="00935AB5">
          <w:headerReference w:type="default" r:id="rId8"/>
          <w:footerReference w:type="default" r:id="rId9"/>
          <w:pgSz w:w="11920" w:h="16850"/>
          <w:pgMar w:top="1720" w:right="992" w:bottom="280" w:left="992" w:header="720" w:footer="720" w:gutter="0"/>
          <w:pgNumType w:start="1"/>
          <w:cols w:space="720"/>
        </w:sectPr>
      </w:pPr>
      <w:r>
        <w:rPr>
          <w:color w:val="000000"/>
          <w:sz w:val="24"/>
          <w:szCs w:val="24"/>
        </w:rPr>
        <w:t>the district elects to use a more formal competitive bid or request for proposal process.</w:t>
      </w:r>
    </w:p>
    <w:p w:rsidR="00935AB5" w:rsidRDefault="00ED514D">
      <w:pPr>
        <w:spacing w:before="71"/>
        <w:ind w:left="87"/>
        <w:rPr>
          <w:b/>
          <w:bCs/>
          <w:sz w:val="24"/>
          <w:szCs w:val="24"/>
        </w:rPr>
      </w:pPr>
      <w:r>
        <w:rPr>
          <w:b/>
          <w:bCs/>
          <w:sz w:val="24"/>
          <w:szCs w:val="24"/>
        </w:rPr>
        <w:lastRenderedPageBreak/>
        <w:t>Competitive bidding threshold ($350,000 or more)</w:t>
      </w:r>
    </w:p>
    <w:p w:rsidR="00935AB5" w:rsidRDefault="00ED514D">
      <w:pPr>
        <w:pBdr>
          <w:top w:val="nil"/>
          <w:left w:val="nil"/>
          <w:bottom w:val="nil"/>
          <w:right w:val="nil"/>
          <w:between w:val="nil"/>
        </w:pBdr>
        <w:spacing w:before="175"/>
        <w:ind w:left="87" w:right="84"/>
        <w:rPr>
          <w:color w:val="000000"/>
          <w:sz w:val="24"/>
          <w:szCs w:val="24"/>
        </w:rPr>
      </w:pPr>
      <w:r>
        <w:rPr>
          <w:color w:val="000000"/>
          <w:sz w:val="24"/>
          <w:szCs w:val="24"/>
        </w:rPr>
        <w:t xml:space="preserve">The </w:t>
      </w:r>
      <w:r>
        <w:rPr>
          <w:color w:val="000000"/>
          <w:sz w:val="24"/>
          <w:szCs w:val="24"/>
        </w:rPr>
        <w:t>D</w:t>
      </w:r>
      <w:r>
        <w:rPr>
          <w:color w:val="000000"/>
          <w:sz w:val="24"/>
          <w:szCs w:val="24"/>
        </w:rPr>
        <w:t xml:space="preserve">istrict must conduct a cost or price analysis for purchases that exceed the </w:t>
      </w:r>
      <w:r>
        <w:rPr>
          <w:color w:val="000000"/>
          <w:sz w:val="24"/>
          <w:szCs w:val="24"/>
        </w:rPr>
        <w:t>S</w:t>
      </w:r>
      <w:r>
        <w:rPr>
          <w:color w:val="000000"/>
          <w:sz w:val="24"/>
          <w:szCs w:val="24"/>
        </w:rPr>
        <w:t xml:space="preserve">implified </w:t>
      </w:r>
      <w:r>
        <w:rPr>
          <w:color w:val="000000"/>
          <w:sz w:val="24"/>
          <w:szCs w:val="24"/>
        </w:rPr>
        <w:t>A</w:t>
      </w:r>
      <w:r>
        <w:rPr>
          <w:color w:val="000000"/>
          <w:sz w:val="24"/>
          <w:szCs w:val="24"/>
        </w:rPr>
        <w:t>cqu</w:t>
      </w:r>
      <w:r>
        <w:rPr>
          <w:color w:val="000000"/>
          <w:sz w:val="24"/>
          <w:szCs w:val="24"/>
        </w:rPr>
        <w:t xml:space="preserve">isition </w:t>
      </w:r>
      <w:r>
        <w:rPr>
          <w:color w:val="000000"/>
          <w:sz w:val="24"/>
          <w:szCs w:val="24"/>
        </w:rPr>
        <w:t>T</w:t>
      </w:r>
      <w:r>
        <w:rPr>
          <w:color w:val="000000"/>
          <w:sz w:val="24"/>
          <w:szCs w:val="24"/>
        </w:rPr>
        <w:t xml:space="preserve">hreshold. At a minimum, this must include making an independent estimate before receiving bids or proposals (including noncompetitive proposals). A </w:t>
      </w:r>
      <w:r>
        <w:rPr>
          <w:color w:val="000000"/>
          <w:sz w:val="24"/>
          <w:szCs w:val="24"/>
          <w:u w:val="single"/>
        </w:rPr>
        <w:t>C</w:t>
      </w:r>
      <w:r>
        <w:rPr>
          <w:color w:val="000000"/>
          <w:sz w:val="24"/>
          <w:szCs w:val="24"/>
          <w:u w:val="single"/>
        </w:rPr>
        <w:t xml:space="preserve">ost </w:t>
      </w:r>
      <w:r>
        <w:rPr>
          <w:color w:val="000000"/>
          <w:sz w:val="24"/>
          <w:szCs w:val="24"/>
          <w:u w:val="single"/>
        </w:rPr>
        <w:t>A</w:t>
      </w:r>
      <w:r>
        <w:rPr>
          <w:color w:val="000000"/>
          <w:sz w:val="24"/>
          <w:szCs w:val="24"/>
          <w:u w:val="single"/>
        </w:rPr>
        <w:t>nalysis</w:t>
      </w:r>
      <w:r>
        <w:rPr>
          <w:color w:val="000000"/>
          <w:sz w:val="24"/>
          <w:szCs w:val="24"/>
        </w:rPr>
        <w:t xml:space="preserve"> means evaluating the separate cost elements that make up the price. A</w:t>
      </w:r>
      <w:r>
        <w:rPr>
          <w:color w:val="000000"/>
          <w:sz w:val="24"/>
          <w:szCs w:val="24"/>
        </w:rPr>
        <w:t xml:space="preserve"> </w:t>
      </w:r>
      <w:r>
        <w:rPr>
          <w:color w:val="000000"/>
          <w:sz w:val="24"/>
          <w:szCs w:val="24"/>
          <w:u w:val="single"/>
        </w:rPr>
        <w:t>P</w:t>
      </w:r>
      <w:r>
        <w:rPr>
          <w:color w:val="000000"/>
          <w:sz w:val="24"/>
          <w:szCs w:val="24"/>
          <w:u w:val="single"/>
        </w:rPr>
        <w:t xml:space="preserve">rice </w:t>
      </w:r>
      <w:r>
        <w:rPr>
          <w:color w:val="000000"/>
          <w:sz w:val="24"/>
          <w:szCs w:val="24"/>
          <w:u w:val="single"/>
        </w:rPr>
        <w:t>A</w:t>
      </w:r>
      <w:r>
        <w:rPr>
          <w:color w:val="000000"/>
          <w:sz w:val="24"/>
          <w:szCs w:val="24"/>
          <w:u w:val="single"/>
        </w:rPr>
        <w:t>nalysis</w:t>
      </w:r>
      <w:r>
        <w:rPr>
          <w:color w:val="000000"/>
          <w:sz w:val="24"/>
          <w:szCs w:val="24"/>
        </w:rPr>
        <w:t xml:space="preserve"> means evaluating the total price, without looking at the individual cost elements.</w:t>
      </w:r>
    </w:p>
    <w:p w:rsidR="00935AB5" w:rsidRDefault="00ED514D">
      <w:pPr>
        <w:pBdr>
          <w:top w:val="nil"/>
          <w:left w:val="nil"/>
          <w:bottom w:val="nil"/>
          <w:right w:val="nil"/>
          <w:between w:val="nil"/>
        </w:pBdr>
        <w:spacing w:before="181"/>
        <w:ind w:left="87" w:right="543"/>
        <w:rPr>
          <w:color w:val="000000"/>
          <w:sz w:val="24"/>
          <w:szCs w:val="24"/>
        </w:rPr>
      </w:pPr>
      <w:r>
        <w:rPr>
          <w:color w:val="000000"/>
          <w:sz w:val="24"/>
          <w:szCs w:val="24"/>
        </w:rPr>
        <w:t>Whenever appropriate and relevant to the specific transaction, the cost analysis may include life-cycle cost estimates which must then be incorporated into any solicitations of bids or proposals.</w:t>
      </w: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spacing w:before="88"/>
        <w:rPr>
          <w:color w:val="000000"/>
          <w:sz w:val="24"/>
          <w:szCs w:val="24"/>
        </w:rPr>
      </w:pPr>
    </w:p>
    <w:p w:rsidR="00935AB5" w:rsidRDefault="00ED514D">
      <w:pPr>
        <w:ind w:left="87"/>
        <w:rPr>
          <w:b/>
          <w:bCs/>
          <w:sz w:val="24"/>
          <w:szCs w:val="24"/>
        </w:rPr>
      </w:pPr>
      <w:r>
        <w:rPr>
          <w:b/>
          <w:bCs/>
          <w:sz w:val="24"/>
          <w:szCs w:val="24"/>
        </w:rPr>
        <w:t>Unnecessary or duplicative items</w:t>
      </w:r>
    </w:p>
    <w:p w:rsidR="00935AB5" w:rsidRDefault="00ED514D">
      <w:pPr>
        <w:pBdr>
          <w:top w:val="nil"/>
          <w:left w:val="nil"/>
          <w:bottom w:val="nil"/>
          <w:right w:val="nil"/>
          <w:between w:val="nil"/>
        </w:pBdr>
        <w:spacing w:before="176"/>
        <w:ind w:left="87"/>
        <w:rPr>
          <w:color w:val="000000"/>
          <w:sz w:val="24"/>
          <w:szCs w:val="24"/>
        </w:rPr>
      </w:pPr>
      <w:r>
        <w:rPr>
          <w:color w:val="000000"/>
          <w:sz w:val="24"/>
          <w:szCs w:val="24"/>
        </w:rPr>
        <w:t>The</w:t>
      </w:r>
      <w:r>
        <w:rPr>
          <w:color w:val="000000"/>
          <w:sz w:val="24"/>
          <w:szCs w:val="24"/>
        </w:rPr>
        <w:t xml:space="preserve"> D</w:t>
      </w:r>
      <w:r>
        <w:rPr>
          <w:color w:val="000000"/>
          <w:sz w:val="24"/>
          <w:szCs w:val="24"/>
        </w:rPr>
        <w:t>istrict must avoid t</w:t>
      </w:r>
      <w:r>
        <w:rPr>
          <w:color w:val="000000"/>
          <w:sz w:val="24"/>
          <w:szCs w:val="24"/>
        </w:rPr>
        <w:t>he acquisition of unnecessary or duplicative items.</w:t>
      </w:r>
    </w:p>
    <w:p w:rsidR="00935AB5" w:rsidRDefault="00ED514D">
      <w:pPr>
        <w:pBdr>
          <w:top w:val="nil"/>
          <w:left w:val="nil"/>
          <w:bottom w:val="nil"/>
          <w:right w:val="nil"/>
          <w:between w:val="nil"/>
        </w:pBdr>
        <w:spacing w:before="180"/>
        <w:ind w:left="87" w:right="84"/>
        <w:rPr>
          <w:color w:val="000000"/>
          <w:sz w:val="24"/>
          <w:szCs w:val="24"/>
        </w:rPr>
      </w:pPr>
      <w:r>
        <w:rPr>
          <w:color w:val="000000"/>
          <w:sz w:val="24"/>
          <w:szCs w:val="24"/>
        </w:rPr>
        <w:t>Consideration must also be given to consolidating or breaking out purchases to obtain a more economical purchase.</w:t>
      </w:r>
    </w:p>
    <w:p w:rsidR="00935AB5" w:rsidRDefault="00ED514D">
      <w:pPr>
        <w:spacing w:before="185"/>
        <w:ind w:left="87"/>
        <w:rPr>
          <w:b/>
          <w:bCs/>
          <w:sz w:val="24"/>
          <w:szCs w:val="24"/>
        </w:rPr>
      </w:pPr>
      <w:r>
        <w:rPr>
          <w:b/>
          <w:bCs/>
          <w:sz w:val="24"/>
          <w:szCs w:val="24"/>
        </w:rPr>
        <w:t>Recordkeeping</w:t>
      </w:r>
    </w:p>
    <w:p w:rsidR="00935AB5" w:rsidRDefault="00ED514D">
      <w:pPr>
        <w:pBdr>
          <w:top w:val="nil"/>
          <w:left w:val="nil"/>
          <w:bottom w:val="nil"/>
          <w:right w:val="nil"/>
          <w:between w:val="nil"/>
        </w:pBdr>
        <w:spacing w:before="175"/>
        <w:ind w:left="87" w:right="84"/>
        <w:rPr>
          <w:color w:val="000000"/>
          <w:sz w:val="24"/>
          <w:szCs w:val="24"/>
        </w:rPr>
      </w:pPr>
      <w:r>
        <w:rPr>
          <w:color w:val="000000"/>
          <w:sz w:val="24"/>
          <w:szCs w:val="24"/>
        </w:rPr>
        <w:t>The</w:t>
      </w:r>
      <w:r>
        <w:rPr>
          <w:color w:val="000000"/>
          <w:sz w:val="24"/>
          <w:szCs w:val="24"/>
        </w:rPr>
        <w:t xml:space="preserve"> D</w:t>
      </w:r>
      <w:r>
        <w:rPr>
          <w:color w:val="000000"/>
          <w:sz w:val="24"/>
          <w:szCs w:val="24"/>
        </w:rPr>
        <w:t>istrict must maintain records sufficient to detail the history of procurements made with federal funds. These records may include, but not necessarily be limited to, the following: rationale for the method of procurement, contractor selection or rejection,</w:t>
      </w:r>
      <w:r>
        <w:rPr>
          <w:color w:val="000000"/>
          <w:sz w:val="24"/>
          <w:szCs w:val="24"/>
        </w:rPr>
        <w:t xml:space="preserve"> and the basis for the contract price (including a cost or price analysis).</w:t>
      </w:r>
    </w:p>
    <w:p w:rsidR="00935AB5" w:rsidRDefault="00ED514D">
      <w:pPr>
        <w:pBdr>
          <w:top w:val="nil"/>
          <w:left w:val="nil"/>
          <w:bottom w:val="nil"/>
          <w:right w:val="nil"/>
          <w:between w:val="nil"/>
        </w:pBdr>
        <w:spacing w:before="6"/>
        <w:ind w:left="87" w:right="84"/>
        <w:rPr>
          <w:color w:val="000000"/>
          <w:sz w:val="24"/>
          <w:szCs w:val="24"/>
        </w:rPr>
      </w:pPr>
      <w:r>
        <w:rPr>
          <w:color w:val="000000"/>
          <w:sz w:val="24"/>
          <w:szCs w:val="24"/>
        </w:rPr>
        <w:t>Retention of such procurement records must be in accordance with applicable law and Board policy. Adoption: February 19, 2019</w:t>
      </w:r>
    </w:p>
    <w:p w:rsidR="00935AB5" w:rsidRDefault="00ED514D">
      <w:pPr>
        <w:pBdr>
          <w:top w:val="nil"/>
          <w:left w:val="nil"/>
          <w:bottom w:val="nil"/>
          <w:right w:val="nil"/>
          <w:between w:val="nil"/>
        </w:pBdr>
        <w:spacing w:before="7"/>
        <w:ind w:left="87"/>
        <w:rPr>
          <w:color w:val="000000"/>
          <w:sz w:val="24"/>
          <w:szCs w:val="24"/>
        </w:rPr>
      </w:pPr>
      <w:r>
        <w:rPr>
          <w:color w:val="000000"/>
          <w:sz w:val="24"/>
          <w:szCs w:val="24"/>
        </w:rPr>
        <w:t>Revision:  December 10, 2020</w:t>
      </w:r>
    </w:p>
    <w:p w:rsidR="00935AB5" w:rsidRDefault="00ED514D">
      <w:pPr>
        <w:pBdr>
          <w:top w:val="nil"/>
          <w:left w:val="nil"/>
          <w:bottom w:val="nil"/>
          <w:right w:val="nil"/>
          <w:between w:val="nil"/>
        </w:pBdr>
        <w:tabs>
          <w:tab w:val="left" w:pos="1168"/>
        </w:tabs>
        <w:ind w:left="87"/>
        <w:rPr>
          <w:color w:val="000000"/>
          <w:sz w:val="24"/>
          <w:szCs w:val="24"/>
        </w:rPr>
      </w:pPr>
      <w:r>
        <w:rPr>
          <w:color w:val="000000"/>
          <w:sz w:val="24"/>
          <w:szCs w:val="24"/>
        </w:rPr>
        <w:t>Revised:</w:t>
      </w:r>
      <w:r>
        <w:rPr>
          <w:color w:val="000000"/>
          <w:sz w:val="24"/>
          <w:szCs w:val="24"/>
        </w:rPr>
        <w:tab/>
        <w:t>May 17, 2022</w:t>
      </w:r>
    </w:p>
    <w:p w:rsidR="00935AB5" w:rsidRPr="008A191A" w:rsidRDefault="00ED514D">
      <w:pPr>
        <w:pBdr>
          <w:top w:val="nil"/>
          <w:left w:val="nil"/>
          <w:bottom w:val="nil"/>
          <w:right w:val="nil"/>
          <w:between w:val="nil"/>
        </w:pBdr>
        <w:tabs>
          <w:tab w:val="left" w:pos="1168"/>
        </w:tabs>
        <w:ind w:left="87"/>
        <w:rPr>
          <w:bCs/>
          <w:color w:val="000000"/>
          <w:sz w:val="24"/>
          <w:szCs w:val="24"/>
        </w:rPr>
      </w:pPr>
      <w:r w:rsidRPr="008A191A">
        <w:rPr>
          <w:bCs/>
          <w:color w:val="000000"/>
          <w:sz w:val="24"/>
          <w:szCs w:val="24"/>
        </w:rPr>
        <w:t>Revised:</w:t>
      </w: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ED514D">
      <w:pPr>
        <w:pBdr>
          <w:top w:val="nil"/>
          <w:left w:val="nil"/>
          <w:bottom w:val="nil"/>
          <w:right w:val="nil"/>
          <w:between w:val="nil"/>
        </w:pBdr>
        <w:ind w:left="1828" w:right="84" w:hanging="1741"/>
        <w:rPr>
          <w:color w:val="000000"/>
          <w:sz w:val="24"/>
          <w:szCs w:val="24"/>
        </w:rPr>
      </w:pPr>
      <w:r>
        <w:rPr>
          <w:color w:val="000000"/>
          <w:sz w:val="24"/>
          <w:szCs w:val="24"/>
        </w:rPr>
        <w:t>LEGAL REFS.: 2 C.F.R. Part 200 Subpart D (post-award requirements under the federal Uniform Grant(Guidance)</w:t>
      </w:r>
    </w:p>
    <w:p w:rsidR="00935AB5" w:rsidRDefault="00ED514D">
      <w:pPr>
        <w:pBdr>
          <w:top w:val="nil"/>
          <w:left w:val="nil"/>
          <w:bottom w:val="nil"/>
          <w:right w:val="nil"/>
          <w:between w:val="nil"/>
        </w:pBdr>
        <w:ind w:left="1842" w:right="242"/>
        <w:rPr>
          <w:color w:val="000000"/>
          <w:sz w:val="24"/>
          <w:szCs w:val="24"/>
        </w:rPr>
      </w:pPr>
      <w:r>
        <w:rPr>
          <w:color w:val="000000"/>
          <w:sz w:val="24"/>
          <w:szCs w:val="24"/>
        </w:rPr>
        <w:t>2 C.F.R. 200.318 (general standards for procurement supported by federal funds) 2 C.F.R. 200.319 (written procurement standards required)</w:t>
      </w:r>
    </w:p>
    <w:p w:rsidR="00935AB5" w:rsidRDefault="00ED514D">
      <w:pPr>
        <w:pBdr>
          <w:top w:val="nil"/>
          <w:left w:val="nil"/>
          <w:bottom w:val="nil"/>
          <w:right w:val="nil"/>
          <w:between w:val="nil"/>
        </w:pBdr>
        <w:ind w:left="1842" w:right="2360"/>
        <w:rPr>
          <w:color w:val="000000"/>
          <w:sz w:val="24"/>
          <w:szCs w:val="24"/>
        </w:rPr>
      </w:pPr>
      <w:r>
        <w:rPr>
          <w:color w:val="000000"/>
          <w:sz w:val="24"/>
          <w:szCs w:val="24"/>
        </w:rPr>
        <w:t>2 C.F.R. 200.320 (methods of procurement to be followed) 2 C.F.R. 200.323 (cost or price analysis)</w:t>
      </w:r>
    </w:p>
    <w:p w:rsidR="00935AB5" w:rsidRDefault="00ED514D">
      <w:pPr>
        <w:pBdr>
          <w:top w:val="nil"/>
          <w:left w:val="nil"/>
          <w:bottom w:val="nil"/>
          <w:right w:val="nil"/>
          <w:between w:val="nil"/>
        </w:pBdr>
        <w:ind w:left="1842"/>
        <w:rPr>
          <w:color w:val="000000"/>
          <w:sz w:val="24"/>
          <w:szCs w:val="24"/>
        </w:rPr>
      </w:pPr>
      <w:r>
        <w:rPr>
          <w:color w:val="000000"/>
          <w:sz w:val="24"/>
          <w:szCs w:val="24"/>
        </w:rPr>
        <w:t>2 C.F.R. 200.333 (r</w:t>
      </w:r>
      <w:r>
        <w:rPr>
          <w:color w:val="000000"/>
          <w:sz w:val="24"/>
          <w:szCs w:val="24"/>
        </w:rPr>
        <w:t>ecord retention requirements)</w:t>
      </w:r>
    </w:p>
    <w:p w:rsidR="00935AB5" w:rsidRDefault="00ED514D">
      <w:pPr>
        <w:pBdr>
          <w:top w:val="nil"/>
          <w:left w:val="nil"/>
          <w:bottom w:val="nil"/>
          <w:right w:val="nil"/>
          <w:between w:val="nil"/>
        </w:pBdr>
        <w:spacing w:before="1"/>
        <w:ind w:left="1842"/>
        <w:rPr>
          <w:color w:val="000000"/>
          <w:sz w:val="24"/>
          <w:szCs w:val="24"/>
        </w:rPr>
      </w:pPr>
      <w:r>
        <w:rPr>
          <w:color w:val="000000"/>
          <w:sz w:val="24"/>
          <w:szCs w:val="24"/>
        </w:rPr>
        <w:t>2 C.F.R. 200.336 (access to records)</w:t>
      </w:r>
    </w:p>
    <w:p w:rsidR="00935AB5" w:rsidRDefault="00ED514D">
      <w:pPr>
        <w:pBdr>
          <w:top w:val="nil"/>
          <w:left w:val="nil"/>
          <w:bottom w:val="nil"/>
          <w:right w:val="nil"/>
          <w:between w:val="nil"/>
        </w:pBdr>
        <w:ind w:left="1842"/>
        <w:rPr>
          <w:color w:val="000000"/>
          <w:sz w:val="24"/>
          <w:szCs w:val="24"/>
        </w:rPr>
      </w:pPr>
      <w:r>
        <w:rPr>
          <w:color w:val="000000"/>
          <w:sz w:val="24"/>
          <w:szCs w:val="24"/>
        </w:rPr>
        <w:t>7 C.F.R. 226 (USDA procurement thresholds)</w:t>
      </w:r>
    </w:p>
    <w:p w:rsidR="00935AB5" w:rsidRDefault="00ED514D">
      <w:pPr>
        <w:pBdr>
          <w:top w:val="nil"/>
          <w:left w:val="nil"/>
          <w:bottom w:val="nil"/>
          <w:right w:val="nil"/>
          <w:between w:val="nil"/>
        </w:pBdr>
        <w:ind w:left="1842"/>
        <w:rPr>
          <w:color w:val="000000"/>
          <w:sz w:val="24"/>
          <w:szCs w:val="24"/>
        </w:rPr>
      </w:pPr>
      <w:r>
        <w:rPr>
          <w:color w:val="000000"/>
          <w:sz w:val="24"/>
          <w:szCs w:val="24"/>
        </w:rPr>
        <w:t>7 C.F.R. 3016.36 (USDA's procurement standards)</w:t>
      </w:r>
    </w:p>
    <w:p w:rsidR="00935AB5" w:rsidRDefault="00ED514D">
      <w:pPr>
        <w:pBdr>
          <w:top w:val="nil"/>
          <w:left w:val="nil"/>
          <w:bottom w:val="nil"/>
          <w:right w:val="nil"/>
          <w:between w:val="nil"/>
        </w:pBdr>
        <w:ind w:left="1842"/>
        <w:rPr>
          <w:color w:val="000000"/>
          <w:sz w:val="24"/>
          <w:szCs w:val="24"/>
        </w:rPr>
      </w:pPr>
      <w:r>
        <w:rPr>
          <w:color w:val="000000"/>
          <w:sz w:val="24"/>
          <w:szCs w:val="24"/>
        </w:rPr>
        <w:t>7 C.F.R. 3016.37 (USDA's procurement requirements for subgrants)</w:t>
      </w:r>
    </w:p>
    <w:p w:rsidR="00935AB5" w:rsidRDefault="00ED514D">
      <w:pPr>
        <w:pBdr>
          <w:top w:val="nil"/>
          <w:left w:val="nil"/>
          <w:bottom w:val="nil"/>
          <w:right w:val="nil"/>
          <w:between w:val="nil"/>
        </w:pBdr>
        <w:ind w:left="1842" w:right="242"/>
        <w:rPr>
          <w:color w:val="000000"/>
          <w:sz w:val="24"/>
          <w:szCs w:val="24"/>
        </w:rPr>
      </w:pPr>
      <w:r>
        <w:rPr>
          <w:color w:val="000000"/>
          <w:sz w:val="24"/>
          <w:szCs w:val="24"/>
        </w:rPr>
        <w:t>34 C.F.R. Parts 75, 76 (EDGAR - Education Department General Administrative Regulations)</w:t>
      </w:r>
    </w:p>
    <w:p w:rsidR="00935AB5" w:rsidRDefault="00ED514D">
      <w:pPr>
        <w:pBdr>
          <w:top w:val="nil"/>
          <w:left w:val="nil"/>
          <w:bottom w:val="nil"/>
          <w:right w:val="nil"/>
          <w:between w:val="nil"/>
        </w:pBdr>
        <w:ind w:left="1842"/>
        <w:rPr>
          <w:color w:val="000000"/>
          <w:sz w:val="24"/>
          <w:szCs w:val="24"/>
        </w:rPr>
      </w:pPr>
      <w:r>
        <w:rPr>
          <w:color w:val="000000"/>
          <w:sz w:val="24"/>
          <w:szCs w:val="24"/>
        </w:rPr>
        <w:t>48 C.F.R. Subpart 2.1 (micro-purchase and competitive bidding thresholds)</w:t>
      </w:r>
    </w:p>
    <w:p w:rsidR="00935AB5" w:rsidRDefault="00ED514D">
      <w:pPr>
        <w:pBdr>
          <w:top w:val="nil"/>
          <w:left w:val="nil"/>
          <w:bottom w:val="nil"/>
          <w:right w:val="nil"/>
          <w:between w:val="nil"/>
        </w:pBdr>
        <w:ind w:left="1842"/>
        <w:rPr>
          <w:color w:val="000000"/>
          <w:sz w:val="24"/>
          <w:szCs w:val="24"/>
        </w:rPr>
      </w:pPr>
      <w:r>
        <w:rPr>
          <w:color w:val="000000"/>
          <w:sz w:val="24"/>
          <w:szCs w:val="24"/>
        </w:rPr>
        <w:t xml:space="preserve">C.R.S. </w:t>
      </w:r>
      <w:r>
        <w:rPr>
          <w:color w:val="0000FF"/>
          <w:sz w:val="24"/>
          <w:szCs w:val="24"/>
          <w:u w:val="single"/>
        </w:rPr>
        <w:t>22-32-144</w:t>
      </w:r>
      <w:r>
        <w:rPr>
          <w:color w:val="0000FF"/>
          <w:sz w:val="24"/>
          <w:szCs w:val="24"/>
        </w:rPr>
        <w:t xml:space="preserve"> </w:t>
      </w:r>
      <w:r>
        <w:rPr>
          <w:color w:val="000000"/>
          <w:sz w:val="24"/>
          <w:szCs w:val="24"/>
        </w:rPr>
        <w:t>(4) (background check provision required in service contracts)</w:t>
      </w:r>
    </w:p>
    <w:p w:rsidR="00935AB5" w:rsidRDefault="00935AB5">
      <w:pPr>
        <w:pBdr>
          <w:top w:val="nil"/>
          <w:left w:val="nil"/>
          <w:bottom w:val="nil"/>
          <w:right w:val="nil"/>
          <w:between w:val="nil"/>
        </w:pBdr>
        <w:rPr>
          <w:color w:val="000000"/>
          <w:sz w:val="24"/>
          <w:szCs w:val="24"/>
        </w:rPr>
      </w:pPr>
    </w:p>
    <w:p w:rsidR="00935AB5" w:rsidRDefault="00ED514D">
      <w:pPr>
        <w:pBdr>
          <w:top w:val="nil"/>
          <w:left w:val="nil"/>
          <w:bottom w:val="nil"/>
          <w:right w:val="nil"/>
          <w:between w:val="nil"/>
        </w:pBdr>
        <w:tabs>
          <w:tab w:val="left" w:pos="1852"/>
        </w:tabs>
        <w:ind w:left="1842" w:right="3404" w:hanging="1755"/>
        <w:rPr>
          <w:color w:val="000000"/>
          <w:sz w:val="24"/>
          <w:szCs w:val="24"/>
        </w:rPr>
        <w:sectPr w:rsidR="00935AB5">
          <w:pgSz w:w="11920" w:h="16850"/>
          <w:pgMar w:top="1360" w:right="992" w:bottom="280" w:left="992" w:header="720" w:footer="720" w:gutter="0"/>
          <w:cols w:space="720"/>
        </w:sectPr>
      </w:pPr>
      <w:r>
        <w:rPr>
          <w:color w:val="000000"/>
          <w:sz w:val="24"/>
          <w:szCs w:val="24"/>
        </w:rPr>
        <w:t>CROSS REFS.:</w:t>
      </w:r>
      <w:r>
        <w:rPr>
          <w:color w:val="000000"/>
          <w:sz w:val="24"/>
          <w:szCs w:val="24"/>
        </w:rPr>
        <w:tab/>
      </w:r>
      <w:r>
        <w:rPr>
          <w:color w:val="000000"/>
          <w:sz w:val="24"/>
          <w:szCs w:val="24"/>
        </w:rPr>
        <w:tab/>
      </w:r>
      <w:r>
        <w:rPr>
          <w:color w:val="0000FF"/>
          <w:sz w:val="24"/>
          <w:szCs w:val="24"/>
          <w:u w:val="single"/>
        </w:rPr>
        <w:t>BCB</w:t>
      </w:r>
      <w:r>
        <w:rPr>
          <w:color w:val="000000"/>
          <w:sz w:val="24"/>
          <w:szCs w:val="24"/>
        </w:rPr>
        <w:t xml:space="preserve">, School Board Member Conflict of Interest </w:t>
      </w:r>
      <w:r>
        <w:rPr>
          <w:color w:val="0000FF"/>
          <w:sz w:val="24"/>
          <w:szCs w:val="24"/>
          <w:u w:val="single"/>
        </w:rPr>
        <w:t>DAC*</w:t>
      </w:r>
      <w:r>
        <w:rPr>
          <w:color w:val="000000"/>
          <w:sz w:val="24"/>
          <w:szCs w:val="24"/>
        </w:rPr>
        <w:t>, Federal Fiscal Compliance</w:t>
      </w:r>
    </w:p>
    <w:p w:rsidR="00935AB5" w:rsidRDefault="00ED514D">
      <w:pPr>
        <w:pBdr>
          <w:top w:val="nil"/>
          <w:left w:val="nil"/>
          <w:bottom w:val="nil"/>
          <w:right w:val="nil"/>
          <w:between w:val="nil"/>
        </w:pBdr>
        <w:spacing w:before="66"/>
        <w:ind w:left="1842" w:right="3582"/>
        <w:rPr>
          <w:color w:val="000000"/>
          <w:sz w:val="24"/>
          <w:szCs w:val="24"/>
        </w:rPr>
      </w:pPr>
      <w:r>
        <w:rPr>
          <w:color w:val="0000FF"/>
          <w:sz w:val="24"/>
          <w:szCs w:val="24"/>
          <w:u w:val="single"/>
        </w:rPr>
        <w:lastRenderedPageBreak/>
        <w:t>DJ/DJA</w:t>
      </w:r>
      <w:r>
        <w:rPr>
          <w:color w:val="000000"/>
          <w:sz w:val="24"/>
          <w:szCs w:val="24"/>
        </w:rPr>
        <w:t xml:space="preserve">, Purchasing/Purchasing Authority </w:t>
      </w:r>
      <w:r>
        <w:rPr>
          <w:color w:val="0000FF"/>
          <w:sz w:val="24"/>
          <w:szCs w:val="24"/>
          <w:u w:val="single"/>
        </w:rPr>
        <w:t>DJE</w:t>
      </w:r>
      <w:r>
        <w:rPr>
          <w:color w:val="000000"/>
          <w:sz w:val="24"/>
          <w:szCs w:val="24"/>
        </w:rPr>
        <w:t>, Bidding Procedures</w:t>
      </w:r>
    </w:p>
    <w:p w:rsidR="00935AB5" w:rsidRDefault="00ED514D">
      <w:pPr>
        <w:pBdr>
          <w:top w:val="nil"/>
          <w:left w:val="nil"/>
          <w:bottom w:val="nil"/>
          <w:right w:val="nil"/>
          <w:between w:val="nil"/>
        </w:pBdr>
        <w:ind w:left="1842" w:right="1092"/>
        <w:rPr>
          <w:color w:val="000000"/>
          <w:sz w:val="24"/>
          <w:szCs w:val="24"/>
        </w:rPr>
      </w:pPr>
      <w:r>
        <w:rPr>
          <w:color w:val="0000FF"/>
          <w:sz w:val="24"/>
          <w:szCs w:val="24"/>
          <w:u w:val="single"/>
        </w:rPr>
        <w:t>DKC</w:t>
      </w:r>
      <w:r>
        <w:rPr>
          <w:color w:val="000000"/>
          <w:sz w:val="24"/>
          <w:szCs w:val="24"/>
        </w:rPr>
        <w:t xml:space="preserve">, Expense Authorization/Reimbursement (Mileage and Travel) </w:t>
      </w:r>
      <w:r>
        <w:rPr>
          <w:color w:val="0000FF"/>
          <w:sz w:val="24"/>
          <w:szCs w:val="24"/>
          <w:u w:val="single"/>
        </w:rPr>
        <w:t>EHB</w:t>
      </w:r>
      <w:r>
        <w:rPr>
          <w:color w:val="000000"/>
          <w:sz w:val="24"/>
          <w:szCs w:val="24"/>
        </w:rPr>
        <w:t>, Records Retention</w:t>
      </w:r>
    </w:p>
    <w:p w:rsidR="00935AB5" w:rsidRDefault="00ED514D">
      <w:pPr>
        <w:pBdr>
          <w:top w:val="nil"/>
          <w:left w:val="nil"/>
          <w:bottom w:val="nil"/>
          <w:right w:val="nil"/>
          <w:between w:val="nil"/>
        </w:pBdr>
        <w:spacing w:before="1"/>
        <w:ind w:left="1842"/>
        <w:rPr>
          <w:color w:val="000000"/>
          <w:sz w:val="24"/>
          <w:szCs w:val="24"/>
        </w:rPr>
      </w:pPr>
      <w:r>
        <w:rPr>
          <w:color w:val="0000FF"/>
          <w:sz w:val="24"/>
          <w:szCs w:val="24"/>
          <w:u w:val="single"/>
        </w:rPr>
        <w:t>GBEA</w:t>
      </w:r>
      <w:r>
        <w:rPr>
          <w:color w:val="000000"/>
          <w:sz w:val="24"/>
          <w:szCs w:val="24"/>
        </w:rPr>
        <w:t>, Staff Ethics/Conflict of Interest</w:t>
      </w:r>
    </w:p>
    <w:p w:rsidR="00935AB5" w:rsidRDefault="00935AB5">
      <w:pPr>
        <w:pBdr>
          <w:top w:val="nil"/>
          <w:left w:val="nil"/>
          <w:bottom w:val="nil"/>
          <w:right w:val="nil"/>
          <w:between w:val="nil"/>
        </w:pBdr>
        <w:spacing w:before="53" w:after="1"/>
        <w:rPr>
          <w:color w:val="000000"/>
          <w:sz w:val="20"/>
          <w:szCs w:val="20"/>
        </w:rPr>
      </w:pPr>
    </w:p>
    <w:tbl>
      <w:tblPr>
        <w:tblStyle w:val="a"/>
        <w:tblW w:w="9736" w:type="dxa"/>
        <w:tblInd w:w="1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68"/>
        <w:gridCol w:w="4868"/>
      </w:tblGrid>
      <w:tr w:rsidR="00935AB5">
        <w:trPr>
          <w:trHeight w:val="1232"/>
        </w:trPr>
        <w:tc>
          <w:tcPr>
            <w:tcW w:w="9736" w:type="dxa"/>
            <w:gridSpan w:val="2"/>
          </w:tcPr>
          <w:p w:rsidR="00935AB5" w:rsidRDefault="00ED514D">
            <w:pPr>
              <w:pBdr>
                <w:top w:val="nil"/>
                <w:left w:val="nil"/>
                <w:bottom w:val="nil"/>
                <w:right w:val="nil"/>
                <w:between w:val="nil"/>
              </w:pBdr>
              <w:spacing w:before="157"/>
              <w:ind w:left="60" w:right="80"/>
              <w:rPr>
                <w:color w:val="000000"/>
                <w:sz w:val="24"/>
                <w:szCs w:val="24"/>
              </w:rPr>
            </w:pPr>
            <w:r>
              <w:rPr>
                <w:color w:val="000000"/>
                <w:sz w:val="24"/>
                <w:szCs w:val="24"/>
              </w:rPr>
              <w:t xml:space="preserve">NOTE: The federal government periodically adjusts the threshold amounts for federal procurement.  This table lists the amounts effective as of </w:t>
            </w:r>
            <w:r w:rsidRPr="008A191A">
              <w:rPr>
                <w:bCs/>
                <w:color w:val="000000"/>
                <w:sz w:val="24"/>
                <w:szCs w:val="24"/>
              </w:rPr>
              <w:t>October 2025</w:t>
            </w:r>
            <w:r w:rsidRPr="008A191A">
              <w:rPr>
                <w:color w:val="000000"/>
                <w:sz w:val="24"/>
                <w:szCs w:val="24"/>
              </w:rPr>
              <w:t>:</w:t>
            </w:r>
            <w:bookmarkStart w:id="0" w:name="_GoBack"/>
            <w:bookmarkEnd w:id="0"/>
          </w:p>
        </w:tc>
      </w:tr>
      <w:tr w:rsidR="00935AB5">
        <w:trPr>
          <w:trHeight w:val="681"/>
        </w:trPr>
        <w:tc>
          <w:tcPr>
            <w:tcW w:w="4868" w:type="dxa"/>
          </w:tcPr>
          <w:p w:rsidR="00935AB5" w:rsidRDefault="00ED514D">
            <w:pPr>
              <w:pBdr>
                <w:top w:val="nil"/>
                <w:left w:val="nil"/>
                <w:bottom w:val="nil"/>
                <w:right w:val="nil"/>
                <w:between w:val="nil"/>
              </w:pBdr>
              <w:spacing w:before="162"/>
              <w:ind w:left="1375"/>
              <w:rPr>
                <w:b/>
                <w:bCs/>
                <w:i/>
                <w:iCs/>
                <w:color w:val="000000"/>
                <w:sz w:val="24"/>
                <w:szCs w:val="24"/>
              </w:rPr>
            </w:pPr>
            <w:r>
              <w:rPr>
                <w:b/>
                <w:bCs/>
                <w:i/>
                <w:iCs/>
                <w:color w:val="000000"/>
                <w:sz w:val="24"/>
                <w:szCs w:val="24"/>
              </w:rPr>
              <w:t>Procurement Method</w:t>
            </w:r>
          </w:p>
        </w:tc>
        <w:tc>
          <w:tcPr>
            <w:tcW w:w="4868" w:type="dxa"/>
          </w:tcPr>
          <w:p w:rsidR="00935AB5" w:rsidRDefault="00ED514D">
            <w:pPr>
              <w:pBdr>
                <w:top w:val="nil"/>
                <w:left w:val="nil"/>
                <w:bottom w:val="nil"/>
                <w:right w:val="nil"/>
                <w:between w:val="nil"/>
              </w:pBdr>
              <w:spacing w:before="162"/>
              <w:ind w:left="17"/>
              <w:jc w:val="center"/>
              <w:rPr>
                <w:b/>
                <w:bCs/>
                <w:i/>
                <w:iCs/>
                <w:color w:val="000000"/>
                <w:sz w:val="24"/>
                <w:szCs w:val="24"/>
              </w:rPr>
            </w:pPr>
            <w:r>
              <w:rPr>
                <w:b/>
                <w:bCs/>
                <w:i/>
                <w:iCs/>
                <w:color w:val="000000"/>
                <w:sz w:val="24"/>
                <w:szCs w:val="24"/>
              </w:rPr>
              <w:t>Amount</w:t>
            </w:r>
          </w:p>
        </w:tc>
      </w:tr>
      <w:tr w:rsidR="00935AB5">
        <w:trPr>
          <w:trHeight w:val="1869"/>
        </w:trPr>
        <w:tc>
          <w:tcPr>
            <w:tcW w:w="4868" w:type="dxa"/>
          </w:tcPr>
          <w:p w:rsidR="00935AB5" w:rsidRDefault="00ED514D">
            <w:pPr>
              <w:pBdr>
                <w:top w:val="nil"/>
                <w:left w:val="nil"/>
                <w:bottom w:val="nil"/>
                <w:right w:val="nil"/>
                <w:between w:val="nil"/>
              </w:pBdr>
              <w:spacing w:before="17" w:line="456" w:lineRule="auto"/>
              <w:ind w:left="321" w:right="155" w:firstLine="837"/>
              <w:rPr>
                <w:color w:val="000000"/>
                <w:sz w:val="24"/>
                <w:szCs w:val="24"/>
              </w:rPr>
            </w:pPr>
            <w:r>
              <w:rPr>
                <w:color w:val="000000"/>
                <w:sz w:val="24"/>
                <w:szCs w:val="24"/>
              </w:rPr>
              <w:t>Micro Purchase Threshold Simplified Acquisition Threshold (for small</w:t>
            </w:r>
          </w:p>
          <w:p w:rsidR="00935AB5" w:rsidRDefault="00ED514D">
            <w:pPr>
              <w:pBdr>
                <w:top w:val="nil"/>
                <w:left w:val="nil"/>
                <w:bottom w:val="nil"/>
                <w:right w:val="nil"/>
                <w:between w:val="nil"/>
              </w:pBdr>
              <w:spacing w:line="237" w:lineRule="auto"/>
              <w:ind w:left="1920"/>
              <w:rPr>
                <w:color w:val="000000"/>
                <w:sz w:val="24"/>
                <w:szCs w:val="24"/>
              </w:rPr>
            </w:pPr>
            <w:r>
              <w:rPr>
                <w:color w:val="000000"/>
                <w:sz w:val="24"/>
                <w:szCs w:val="24"/>
              </w:rPr>
              <w:t>purchases)</w:t>
            </w:r>
          </w:p>
          <w:p w:rsidR="00935AB5" w:rsidRDefault="00ED514D">
            <w:pPr>
              <w:pBdr>
                <w:top w:val="nil"/>
                <w:left w:val="nil"/>
                <w:bottom w:val="nil"/>
                <w:right w:val="nil"/>
                <w:between w:val="nil"/>
              </w:pBdr>
              <w:spacing w:before="180"/>
              <w:ind w:left="876"/>
              <w:rPr>
                <w:color w:val="000000"/>
                <w:sz w:val="24"/>
                <w:szCs w:val="24"/>
              </w:rPr>
            </w:pPr>
            <w:r>
              <w:rPr>
                <w:color w:val="000000"/>
                <w:sz w:val="24"/>
                <w:szCs w:val="24"/>
              </w:rPr>
              <w:t>Competitive Bidding Threshold</w:t>
            </w:r>
          </w:p>
        </w:tc>
        <w:tc>
          <w:tcPr>
            <w:tcW w:w="4868" w:type="dxa"/>
          </w:tcPr>
          <w:p w:rsidR="00935AB5" w:rsidRPr="008A191A" w:rsidRDefault="00ED514D">
            <w:pPr>
              <w:pBdr>
                <w:top w:val="nil"/>
                <w:left w:val="nil"/>
                <w:bottom w:val="nil"/>
                <w:right w:val="nil"/>
                <w:between w:val="nil"/>
              </w:pBdr>
              <w:spacing w:before="158"/>
              <w:ind w:left="17" w:right="1"/>
              <w:jc w:val="center"/>
              <w:rPr>
                <w:color w:val="000000"/>
                <w:sz w:val="24"/>
                <w:szCs w:val="24"/>
              </w:rPr>
            </w:pPr>
            <w:r w:rsidRPr="008A191A">
              <w:rPr>
                <w:bCs/>
                <w:color w:val="000000"/>
                <w:sz w:val="24"/>
                <w:szCs w:val="24"/>
              </w:rPr>
              <w:t>$15,000</w:t>
            </w:r>
            <w:r w:rsidRPr="008A191A">
              <w:rPr>
                <w:color w:val="000000"/>
                <w:sz w:val="24"/>
                <w:szCs w:val="24"/>
              </w:rPr>
              <w:t xml:space="preserve"> or less</w:t>
            </w:r>
          </w:p>
          <w:p w:rsidR="00935AB5" w:rsidRPr="008A191A" w:rsidRDefault="00ED514D">
            <w:pPr>
              <w:pBdr>
                <w:top w:val="nil"/>
                <w:left w:val="nil"/>
                <w:bottom w:val="nil"/>
                <w:right w:val="nil"/>
                <w:between w:val="nil"/>
              </w:pBdr>
              <w:spacing w:before="180"/>
              <w:ind w:left="17" w:right="4"/>
              <w:jc w:val="center"/>
              <w:rPr>
                <w:bCs/>
                <w:color w:val="000000"/>
                <w:sz w:val="24"/>
                <w:szCs w:val="24"/>
              </w:rPr>
            </w:pPr>
            <w:r w:rsidRPr="008A191A">
              <w:rPr>
                <w:color w:val="000000"/>
                <w:sz w:val="24"/>
                <w:szCs w:val="24"/>
              </w:rPr>
              <w:t xml:space="preserve"> </w:t>
            </w:r>
            <w:r w:rsidRPr="008A191A">
              <w:rPr>
                <w:bCs/>
                <w:color w:val="000000"/>
                <w:sz w:val="24"/>
                <w:szCs w:val="24"/>
              </w:rPr>
              <w:t>$15,000</w:t>
            </w:r>
            <w:r w:rsidRPr="008A191A">
              <w:rPr>
                <w:color w:val="000000"/>
                <w:sz w:val="24"/>
                <w:szCs w:val="24"/>
              </w:rPr>
              <w:t xml:space="preserve">- </w:t>
            </w:r>
            <w:r w:rsidRPr="008A191A">
              <w:rPr>
                <w:bCs/>
                <w:color w:val="000000"/>
                <w:sz w:val="24"/>
                <w:szCs w:val="24"/>
              </w:rPr>
              <w:t>$350,000</w:t>
            </w:r>
          </w:p>
          <w:p w:rsidR="00935AB5" w:rsidRDefault="00ED514D">
            <w:pPr>
              <w:pBdr>
                <w:top w:val="nil"/>
                <w:left w:val="nil"/>
                <w:bottom w:val="nil"/>
                <w:right w:val="nil"/>
                <w:between w:val="nil"/>
              </w:pBdr>
              <w:spacing w:before="360"/>
              <w:ind w:left="14"/>
              <w:jc w:val="center"/>
              <w:rPr>
                <w:color w:val="000000"/>
                <w:sz w:val="24"/>
                <w:szCs w:val="24"/>
              </w:rPr>
            </w:pPr>
            <w:r w:rsidRPr="008A191A">
              <w:rPr>
                <w:bCs/>
                <w:color w:val="000000"/>
                <w:sz w:val="24"/>
                <w:szCs w:val="24"/>
              </w:rPr>
              <w:t xml:space="preserve"> $350,000</w:t>
            </w:r>
            <w:r w:rsidRPr="008A191A">
              <w:rPr>
                <w:color w:val="000000"/>
                <w:sz w:val="24"/>
                <w:szCs w:val="24"/>
              </w:rPr>
              <w:t xml:space="preserve"> or more</w:t>
            </w:r>
          </w:p>
        </w:tc>
      </w:tr>
    </w:tbl>
    <w:p w:rsidR="00935AB5" w:rsidRDefault="00935AB5">
      <w:pPr>
        <w:pBdr>
          <w:top w:val="nil"/>
          <w:left w:val="nil"/>
          <w:bottom w:val="nil"/>
          <w:right w:val="nil"/>
          <w:between w:val="nil"/>
        </w:pBdr>
        <w:spacing w:before="98"/>
        <w:ind w:left="2" w:right="3"/>
        <w:jc w:val="center"/>
        <w:rPr>
          <w:color w:val="000000"/>
          <w:sz w:val="24"/>
          <w:szCs w:val="24"/>
        </w:rPr>
      </w:pPr>
    </w:p>
    <w:p w:rsidR="00935AB5" w:rsidRDefault="00ED514D">
      <w:pPr>
        <w:pBdr>
          <w:top w:val="nil"/>
          <w:left w:val="nil"/>
          <w:bottom w:val="nil"/>
          <w:right w:val="nil"/>
          <w:between w:val="nil"/>
        </w:pBdr>
        <w:spacing w:before="98"/>
        <w:ind w:left="2" w:right="3"/>
        <w:jc w:val="center"/>
        <w:rPr>
          <w:color w:val="000000"/>
          <w:sz w:val="24"/>
          <w:szCs w:val="24"/>
        </w:rPr>
      </w:pPr>
      <w:r>
        <w:rPr>
          <w:color w:val="000000"/>
          <w:sz w:val="24"/>
          <w:szCs w:val="24"/>
        </w:rPr>
        <w:t>*Districts may self-certify a micro-purchase threshold up to $50,000</w:t>
      </w: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rPr>
          <w:color w:val="000000"/>
          <w:sz w:val="24"/>
          <w:szCs w:val="24"/>
        </w:rPr>
      </w:pPr>
    </w:p>
    <w:p w:rsidR="00935AB5" w:rsidRDefault="00935AB5">
      <w:pPr>
        <w:pBdr>
          <w:top w:val="nil"/>
          <w:left w:val="nil"/>
          <w:bottom w:val="nil"/>
          <w:right w:val="nil"/>
          <w:between w:val="nil"/>
        </w:pBdr>
        <w:spacing w:before="26"/>
        <w:rPr>
          <w:color w:val="000000"/>
          <w:sz w:val="24"/>
          <w:szCs w:val="24"/>
        </w:rPr>
      </w:pPr>
    </w:p>
    <w:p w:rsidR="00935AB5" w:rsidRDefault="00935AB5">
      <w:pPr>
        <w:pBdr>
          <w:top w:val="nil"/>
          <w:left w:val="nil"/>
          <w:bottom w:val="nil"/>
          <w:right w:val="nil"/>
          <w:between w:val="nil"/>
        </w:pBdr>
        <w:ind w:left="3" w:right="3"/>
        <w:jc w:val="center"/>
        <w:rPr>
          <w:color w:val="000000"/>
          <w:sz w:val="24"/>
          <w:szCs w:val="24"/>
        </w:rPr>
      </w:pPr>
      <w:bookmarkStart w:id="1" w:name="_heading=h.7i8vdpfmb0me" w:colFirst="0" w:colLast="0"/>
      <w:bookmarkEnd w:id="1"/>
    </w:p>
    <w:sectPr w:rsidR="00935AB5">
      <w:pgSz w:w="11920" w:h="16850"/>
      <w:pgMar w:top="1360" w:right="992" w:bottom="280" w:left="99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14D" w:rsidRDefault="00ED514D">
      <w:r>
        <w:separator/>
      </w:r>
    </w:p>
  </w:endnote>
  <w:endnote w:type="continuationSeparator" w:id="0">
    <w:p w:rsidR="00ED514D" w:rsidRDefault="00ED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CF5E0415-B92C-481A-91DC-2FB4866385C9}"/>
  </w:font>
  <w:font w:name="Cambria">
    <w:panose1 w:val="02040503050406030204"/>
    <w:charset w:val="00"/>
    <w:family w:val="roman"/>
    <w:pitch w:val="variable"/>
    <w:sig w:usb0="E00006FF" w:usb1="420024FF" w:usb2="02000000" w:usb3="00000000" w:csb0="0000019F" w:csb1="00000000"/>
    <w:embedRegular r:id="rId2" w:fontKey="{64D628F5-253A-4EA9-8112-93782F1AEB2D}"/>
  </w:font>
  <w:font w:name="Calibri">
    <w:panose1 w:val="020F0502020204030204"/>
    <w:charset w:val="00"/>
    <w:family w:val="swiss"/>
    <w:pitch w:val="variable"/>
    <w:sig w:usb0="E4002EFF" w:usb1="C200247B" w:usb2="00000009" w:usb3="00000000" w:csb0="000001FF" w:csb1="00000000"/>
    <w:embedRegular r:id="rId3" w:fontKey="{62C97EF3-D5CC-47A1-9099-DF2537EDDC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AB5" w:rsidRDefault="00ED514D">
    <w:pPr>
      <w:pBdr>
        <w:top w:val="nil"/>
        <w:left w:val="nil"/>
        <w:bottom w:val="nil"/>
        <w:right w:val="nil"/>
        <w:between w:val="nil"/>
      </w:pBdr>
      <w:tabs>
        <w:tab w:val="center" w:pos="4680"/>
        <w:tab w:val="right" w:pos="9360"/>
      </w:tabs>
      <w:rPr>
        <w:color w:val="000000"/>
      </w:rPr>
    </w:pPr>
    <w:r>
      <w:rPr>
        <w:color w:val="000000"/>
      </w:rPr>
      <w:t>North Conejos Board Policy Manual</w:t>
    </w:r>
    <w:r>
      <w:rPr>
        <w:color w:val="000000"/>
      </w:rPr>
      <w:tab/>
    </w:r>
    <w:r>
      <w:rPr>
        <w:color w:val="000000"/>
      </w:rPr>
      <w:tab/>
      <w:t xml:space="preserve"> Page </w:t>
    </w:r>
    <w:r>
      <w:rPr>
        <w:color w:val="000000"/>
        <w:sz w:val="24"/>
        <w:szCs w:val="24"/>
      </w:rPr>
      <w:fldChar w:fldCharType="begin"/>
    </w:r>
    <w:r>
      <w:rPr>
        <w:color w:val="000000"/>
        <w:sz w:val="24"/>
        <w:szCs w:val="24"/>
      </w:rPr>
      <w:instrText>PAGE</w:instrText>
    </w:r>
    <w:r w:rsidR="008A191A">
      <w:rPr>
        <w:color w:val="000000"/>
        <w:sz w:val="24"/>
        <w:szCs w:val="24"/>
      </w:rPr>
      <w:fldChar w:fldCharType="separate"/>
    </w:r>
    <w:r w:rsidR="008A191A">
      <w:rPr>
        <w:noProof/>
        <w:color w:val="000000"/>
        <w:sz w:val="24"/>
        <w:szCs w:val="24"/>
      </w:rPr>
      <w:t>1</w:t>
    </w:r>
    <w:r>
      <w:rPr>
        <w:color w:val="000000"/>
        <w:sz w:val="24"/>
        <w:szCs w:val="24"/>
      </w:rPr>
      <w:fldChar w:fldCharType="end"/>
    </w:r>
    <w:r>
      <w:rPr>
        <w:color w:val="000000"/>
      </w:rPr>
      <w:t xml:space="preserve"> of </w:t>
    </w:r>
    <w:r>
      <w:rPr>
        <w:color w:val="000000"/>
        <w:sz w:val="24"/>
        <w:szCs w:val="24"/>
      </w:rPr>
      <w:fldChar w:fldCharType="begin"/>
    </w:r>
    <w:r>
      <w:rPr>
        <w:color w:val="000000"/>
        <w:sz w:val="24"/>
        <w:szCs w:val="24"/>
      </w:rPr>
      <w:instrText>NUMPAGES</w:instrText>
    </w:r>
    <w:r w:rsidR="008A191A">
      <w:rPr>
        <w:color w:val="000000"/>
        <w:sz w:val="24"/>
        <w:szCs w:val="24"/>
      </w:rPr>
      <w:fldChar w:fldCharType="separate"/>
    </w:r>
    <w:r w:rsidR="008A191A">
      <w:rPr>
        <w:noProof/>
        <w:color w:val="000000"/>
        <w:sz w:val="24"/>
        <w:szCs w:val="24"/>
      </w:rPr>
      <w:t>3</w:t>
    </w:r>
    <w:r>
      <w:rPr>
        <w:color w:val="000000"/>
        <w:sz w:val="24"/>
        <w:szCs w:val="24"/>
      </w:rPr>
      <w:fldChar w:fldCharType="end"/>
    </w:r>
  </w:p>
  <w:p w:rsidR="00935AB5" w:rsidRDefault="00935AB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14D" w:rsidRDefault="00ED514D">
      <w:r>
        <w:separator/>
      </w:r>
    </w:p>
  </w:footnote>
  <w:footnote w:type="continuationSeparator" w:id="0">
    <w:p w:rsidR="00ED514D" w:rsidRDefault="00ED51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AB5" w:rsidRDefault="00ED514D">
    <w:pPr>
      <w:pBdr>
        <w:top w:val="nil"/>
        <w:left w:val="nil"/>
        <w:bottom w:val="nil"/>
        <w:right w:val="nil"/>
        <w:between w:val="nil"/>
      </w:pBdr>
      <w:tabs>
        <w:tab w:val="center" w:pos="4680"/>
        <w:tab w:val="right" w:pos="9360"/>
      </w:tabs>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DJB</w:t>
    </w:r>
  </w:p>
  <w:p w:rsidR="00935AB5" w:rsidRDefault="00935AB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AB283A"/>
    <w:multiLevelType w:val="multilevel"/>
    <w:tmpl w:val="D046CB26"/>
    <w:lvl w:ilvl="0">
      <w:start w:val="1"/>
      <w:numFmt w:val="decimal"/>
      <w:lvlText w:val="%1."/>
      <w:lvlJc w:val="left"/>
      <w:pPr>
        <w:ind w:left="88" w:hanging="301"/>
      </w:pPr>
      <w:rPr>
        <w:rFonts w:ascii="Times New Roman" w:eastAsia="Times New Roman" w:hAnsi="Times New Roman" w:cs="Times New Roman"/>
        <w:b w:val="0"/>
        <w:bCs w:val="0"/>
        <w:i w:val="0"/>
        <w:iCs w:val="0"/>
        <w:sz w:val="24"/>
        <w:szCs w:val="24"/>
      </w:rPr>
    </w:lvl>
    <w:lvl w:ilvl="1">
      <w:numFmt w:val="bullet"/>
      <w:lvlText w:val="•"/>
      <w:lvlJc w:val="left"/>
      <w:pPr>
        <w:ind w:left="1064" w:hanging="300"/>
      </w:pPr>
    </w:lvl>
    <w:lvl w:ilvl="2">
      <w:numFmt w:val="bullet"/>
      <w:lvlText w:val="•"/>
      <w:lvlJc w:val="left"/>
      <w:pPr>
        <w:ind w:left="2049" w:hanging="301"/>
      </w:pPr>
    </w:lvl>
    <w:lvl w:ilvl="3">
      <w:numFmt w:val="bullet"/>
      <w:lvlText w:val="•"/>
      <w:lvlJc w:val="left"/>
      <w:pPr>
        <w:ind w:left="3034" w:hanging="301"/>
      </w:pPr>
    </w:lvl>
    <w:lvl w:ilvl="4">
      <w:numFmt w:val="bullet"/>
      <w:lvlText w:val="•"/>
      <w:lvlJc w:val="left"/>
      <w:pPr>
        <w:ind w:left="4018" w:hanging="301"/>
      </w:pPr>
    </w:lvl>
    <w:lvl w:ilvl="5">
      <w:numFmt w:val="bullet"/>
      <w:lvlText w:val="•"/>
      <w:lvlJc w:val="left"/>
      <w:pPr>
        <w:ind w:left="5003" w:hanging="301"/>
      </w:pPr>
    </w:lvl>
    <w:lvl w:ilvl="6">
      <w:numFmt w:val="bullet"/>
      <w:lvlText w:val="•"/>
      <w:lvlJc w:val="left"/>
      <w:pPr>
        <w:ind w:left="5988" w:hanging="301"/>
      </w:pPr>
    </w:lvl>
    <w:lvl w:ilvl="7">
      <w:numFmt w:val="bullet"/>
      <w:lvlText w:val="•"/>
      <w:lvlJc w:val="left"/>
      <w:pPr>
        <w:ind w:left="6973" w:hanging="301"/>
      </w:pPr>
    </w:lvl>
    <w:lvl w:ilvl="8">
      <w:numFmt w:val="bullet"/>
      <w:lvlText w:val="•"/>
      <w:lvlJc w:val="left"/>
      <w:pPr>
        <w:ind w:left="7957" w:hanging="301"/>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AB5"/>
    <w:rsid w:val="008A191A"/>
    <w:rsid w:val="00935AB5"/>
    <w:rsid w:val="00ED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0B3FD-86E5-4141-80D9-8419A560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03"/>
      <w:ind w:left="87" w:hanging="300"/>
    </w:pPr>
  </w:style>
  <w:style w:type="paragraph" w:customStyle="1" w:styleId="TableParagraph">
    <w:name w:val="Table Paragraph"/>
    <w:basedOn w:val="Normal"/>
    <w:uiPriority w:val="1"/>
    <w:qFormat/>
    <w:pPr>
      <w:spacing w:before="180"/>
      <w:ind w:left="17"/>
    </w:pPr>
  </w:style>
  <w:style w:type="paragraph" w:styleId="Header">
    <w:name w:val="header"/>
    <w:basedOn w:val="Normal"/>
    <w:link w:val="HeaderChar"/>
    <w:uiPriority w:val="99"/>
    <w:unhideWhenUsed/>
    <w:rsid w:val="0036329D"/>
    <w:pPr>
      <w:tabs>
        <w:tab w:val="center" w:pos="4680"/>
        <w:tab w:val="right" w:pos="9360"/>
      </w:tabs>
    </w:pPr>
  </w:style>
  <w:style w:type="character" w:customStyle="1" w:styleId="HeaderChar">
    <w:name w:val="Header Char"/>
    <w:basedOn w:val="DefaultParagraphFont"/>
    <w:link w:val="Header"/>
    <w:uiPriority w:val="99"/>
    <w:rsid w:val="0036329D"/>
    <w:rPr>
      <w:rFonts w:ascii="Times New Roman" w:eastAsia="Times New Roman" w:hAnsi="Times New Roman" w:cs="Times New Roman"/>
    </w:rPr>
  </w:style>
  <w:style w:type="paragraph" w:styleId="Footer">
    <w:name w:val="footer"/>
    <w:basedOn w:val="Normal"/>
    <w:link w:val="FooterChar"/>
    <w:uiPriority w:val="99"/>
    <w:unhideWhenUsed/>
    <w:rsid w:val="0036329D"/>
    <w:pPr>
      <w:tabs>
        <w:tab w:val="center" w:pos="4680"/>
        <w:tab w:val="right" w:pos="9360"/>
      </w:tabs>
    </w:pPr>
  </w:style>
  <w:style w:type="character" w:customStyle="1" w:styleId="FooterChar">
    <w:name w:val="Footer Char"/>
    <w:basedOn w:val="DefaultParagraphFont"/>
    <w:link w:val="Footer"/>
    <w:uiPriority w:val="99"/>
    <w:rsid w:val="0036329D"/>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pZa1TVjG/Gbs9VUSkpLBcUx96w==">CgMxLjAyDmguN2k4dmRwZm1iMG1lOAByITFVbXVxMTRQMlhOT2NkazEtLXd6bVdQQ1J3b0tUdm1DRA==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2026-09-03T15:18:00Z</dcterms:created>
  <dcterms:modified xsi:type="dcterms:W3CDTF">2026-09-03T15:18:00Z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2022-05-24T00:00:00Z</vt:filetime>
  </property>
  <property fmtid="{D5CDD505-2E9C-101B-9397-08002B2CF9AE}" pid="4" name="Creator">
    <vt:lpwstr>Microsoft® Word 2016</vt:lpwstr>
  </property>
  <property fmtid="{D5CDD505-2E9C-101B-9397-08002B2CF9AE}" pid="5" name="LastSaved">
    <vt:filetime>2026-08-02T00:00:00Z</vt:filetime>
  </property>
  <property fmtid="{D5CDD505-2E9C-101B-9397-08002B2CF9AE}" pid="6" name="Producer">
    <vt:lpwstr>Microsoft® Word 2016</vt:lpwstr>
  </property>
</Properties>
</file>