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spacing w:after="4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  <w:b w:val="1"/>
          <w:bCs w:val="1"/>
        </w:rPr>
        <w:t xml:space="preserve">September 9, 2026 DPO Meeting Minutes</w:t>
      </w:r>
    </w:p>
    <w:p>
      <w:pPr>
        <w:spacing w:after="20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  <w:b w:val="1"/>
          <w:bCs w:val="1"/>
        </w:rPr>
        <w:t xml:space="preserve">7:00–8:00 pm  |  Held via Zoom  |  Meeting called to order ~7:03 pm</w:t>
      </w:r>
    </w:p>
    <w:p>
      <w:pPr>
        <w:spacing w:before="100" w:after="10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  <w:b w:val="1"/>
          <w:bCs w:val="1"/>
        </w:rPr>
        <w:t xml:space="preserve">OPENING: Welcome from DPO Board</w:t>
      </w:r>
    </w:p>
    <w:p>
      <w:pPr>
        <w:spacing w:after="16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Attendees: Charlie Eastham, Laura Ebinger, Terra Hartley, Emily, DPO Co-President (full attendee list not captured on the recording – see Zoom participant report)</w:t>
      </w:r>
    </w:p>
    <w:p>
      <w:pPr>
        <w:spacing w:before="280" w:after="10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  <w:b w:val="1"/>
          <w:bCs w:val="1"/>
        </w:rPr>
        <w:t xml:space="preserve">DPO OFFICER REPORTS</w:t>
      </w:r>
    </w:p>
    <w:p>
      <w:pPr>
        <w:numPr>
          <w:ilvl w:val="0"/>
          <w:numId w:val="2"/>
        </w:numPr>
        <w:spacing w:after="6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Co-President Update:</w:t>
      </w:r>
    </w:p>
    <w:p>
      <w:pPr>
        <w:numPr>
          <w:ilvl w:val="1"/>
          <w:numId w:val="2"/>
        </w:numPr>
        <w:spacing w:after="8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Continuing PTO/PTSO site visits this year to introduce the DPO board, meet families, and learn what each group needs; outreach happening by email – groups not yet contacted should reach out</w:t>
      </w:r>
    </w:p>
    <w:p>
      <w:pPr>
        <w:numPr>
          <w:ilvl w:val="1"/>
          <w:numId w:val="2"/>
        </w:numPr>
        <w:spacing w:after="8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New PTO Resources page live on district website (PTO tax info, PTO Boot Camp materials now posted online instead of a live session, and other links) – still a work in progress, feedback welcome</w:t>
      </w:r>
    </w:p>
    <w:p>
      <w:pPr>
        <w:numPr>
          <w:ilvl w:val="2"/>
          <w:numId w:val="2"/>
        </w:numPr>
        <w:spacing w:after="8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https://www.iowacityschools.org/students-families/get-involved/pto-resources</w:t>
      </w:r>
    </w:p>
    <w:p>
      <w:pPr>
        <w:numPr>
          <w:ilvl w:val="1"/>
          <w:numId w:val="2"/>
        </w:numPr>
        <w:spacing w:after="16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DPO community survey results shared at a high level – top requested topics: school budget, laptops/cell phones, curriculum/assessment/instruction; this year’s meeting schedule built around those topics; a follow-up survey will go out again at year-end</w:t>
      </w:r>
    </w:p>
    <w:p>
      <w:pPr>
        <w:spacing w:before="280" w:after="10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  <w:b w:val="1"/>
          <w:bCs w:val="1"/>
        </w:rPr>
        <w:t xml:space="preserve">IOWA CITY COMMUNITY SCHOOL DISTRICT REPORTS - If representatives are available</w:t>
      </w:r>
    </w:p>
    <w:p>
      <w:pPr>
        <w:numPr>
          <w:ilvl w:val="0"/>
          <w:numId w:val="3"/>
        </w:numPr>
        <w:spacing w:after="8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Administration Representative – Superintendent Amy Kortemeyer unable to attend (prior travel commitment); permanent superintendent search process is underway; no further admin report given</w:t>
      </w:r>
    </w:p>
    <w:p>
      <w:pPr>
        <w:numPr>
          <w:ilvl w:val="0"/>
          <w:numId w:val="3"/>
        </w:numPr>
        <w:spacing w:after="16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School Board Representative – Charlie Eastham: district forming a new Educational Technology work group to study tech use at all grade levels district-wide; committee still finalizing membership, work expected to start within a few weeks and wrap by March</w:t>
      </w:r>
    </w:p>
    <w:p>
      <w:pPr>
        <w:spacing w:before="280" w:after="10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  <w:b w:val="1"/>
          <w:bCs w:val="1"/>
        </w:rPr>
        <w:t xml:space="preserve">SPEAKERS AND TOPICS – Foundation Overview and Q&amp;A</w:t>
      </w:r>
    </w:p>
    <w:p>
      <w:pPr>
        <w:spacing w:after="10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  <w:i w:val="1"/>
          <w:iCs w:val="1"/>
        </w:rPr>
        <w:t xml:space="preserve">Laura Ebinger, Director, Foundation for ICCSD</w:t>
      </w:r>
    </w:p>
    <w:p>
      <w:pPr>
        <w:numPr>
          <w:ilvl w:val="0"/>
          <w:numId w:val="1"/>
        </w:numPr>
        <w:spacing w:after="8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Foundation for ICCSD is a separate 501(c)(3), 45th year in operation; mission is to connect schools with the community so every student has strong learning experiences and to inspire students and teachers to grow</w:t>
      </w:r>
    </w:p>
    <w:p>
      <w:pPr>
        <w:numPr>
          <w:ilvl w:val="0"/>
          <w:numId w:val="1"/>
        </w:numPr>
        <w:spacing w:after="8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Grants: Big/Little Idea Hunt grant cycles fund classroom projects; current cycle ~$196,000 requested across ~179 applications from every school; reviewed by a committee of board, curriculum, admin, ICEA teacher reps, and Foundation board; decisions going out by end of week</w:t>
      </w:r>
    </w:p>
    <w:p>
      <w:pPr>
        <w:numPr>
          <w:ilvl w:val="0"/>
          <w:numId w:val="1"/>
        </w:numPr>
        <w:spacing w:after="8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Scholarships: 123+ awarded each year, including the DPO scholarship; Endowments provide permanent funding for specific schools/programs (e.g., West High)</w:t>
      </w:r>
    </w:p>
    <w:p>
      <w:pPr>
        <w:numPr>
          <w:ilvl w:val="0"/>
          <w:numId w:val="1"/>
        </w:numPr>
        <w:spacing w:after="8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Fundraising events: Education Is Everybody’s Business Breakfast (spring); Run for the Schools – Sun. Oct 18, family fun run/walk downtown, funds grants plus a per-school participation bonus (~$40K/yr raised); Dine Out for Education – Thurs. Sept 17 (corrected from the 18th), 59 restaurant partners, raised a record $56K last year</w:t>
      </w:r>
    </w:p>
    <w:p>
      <w:pPr>
        <w:numPr>
          <w:ilvl w:val="0"/>
          <w:numId w:val="1"/>
        </w:numPr>
        <w:spacing w:after="8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Foundation also provides fundraising/online-giving-page support for PTOs and clubs once a fundraiser is approved through the school board’s fundraising-approval policy (principal sign-off, then Foundation sets up a designated account/giving page); Foundation office is a small 3-person team, so groups should allow lead time</w:t>
      </w:r>
    </w:p>
    <w:p>
      <w:pPr>
        <w:numPr>
          <w:ilvl w:val="0"/>
          <w:numId w:val="1"/>
        </w:numPr>
        <w:spacing w:after="8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Any Given Child / signature programs: district holds a Kennedy Center “Any Given Child” designation (1 of 28 in the U.S.); grade-by-grade fine-arts field trips (K: Kinder Tales; 1st: Frog and Toad + intro to Shakespeare; 2nd: Peter and the Wolf; 3rd: Stanley Museum tour + Opera Iowa; 4th: Symphony Sparks + FilmScene animation workshops; 5th: School of the Wild outdoor-ed week at Lake McBride + a women’s volleyball game; 6th: improv/acting; 7th: FilmScene documentary program; 8th: mariachi performance at the Englert)</w:t>
      </w:r>
    </w:p>
    <w:p>
      <w:pPr>
        <w:numPr>
          <w:ilvl w:val="0"/>
          <w:numId w:val="1"/>
        </w:numPr>
        <w:spacing w:after="8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New Center for Innovation-based programs (enabled by the CFI space): BizTown (6th), Flood Heroes (4th), Box Town Builders (1st), Careers on Wheels</w:t>
      </w:r>
    </w:p>
    <w:p>
      <w:pPr>
        <w:numPr>
          <w:ilvl w:val="0"/>
          <w:numId w:val="1"/>
        </w:numPr>
        <w:spacing w:after="8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Visiting Author program (2nd grade, late Oct., sponsored by Hills Bank) – this year’s author is Dan Santat</w:t>
      </w:r>
    </w:p>
    <w:p>
      <w:pPr>
        <w:numPr>
          <w:ilvl w:val="0"/>
          <w:numId w:val="1"/>
        </w:numPr>
        <w:spacing w:after="8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SFA/Family Support: Student Family Advocates in every building; back-to-school supply distribution; flexible family emergency fund support (utilities, fees, shoes, glasses, etc.); partnerships supporting food access and housing stability</w:t>
      </w:r>
    </w:p>
    <w:p>
      <w:pPr>
        <w:numPr>
          <w:ilvl w:val="0"/>
          <w:numId w:val="1"/>
        </w:numPr>
        <w:spacing w:after="8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Staff recognition: SHINE Awards, Silver Salute (retiree celebration), Ed Rising (future-educator pipeline)</w:t>
      </w:r>
    </w:p>
    <w:p>
      <w:pPr>
        <w:numPr>
          <w:ilvl w:val="0"/>
          <w:numId w:val="1"/>
        </w:numPr>
        <w:spacing w:after="8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New this year: with a gift from donors Pete and Catherine Wallace and Foundation Board approval, the Foundation is now funding ~200 Bridge Care Scholarships for after-school care for families in significant need – stepping in as the district faces budget pressure</w:t>
      </w:r>
    </w:p>
    <w:p>
      <w:pPr>
        <w:numPr>
          <w:ilvl w:val="0"/>
          <w:numId w:val="5"/>
        </w:numPr>
        <w:spacing w:after="6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Q: How does a school get an online donation/campaign page set up through the Foundation website?</w:t>
      </w:r>
    </w:p>
    <w:p>
      <w:pPr>
        <w:numPr>
          <w:ilvl w:val="1"/>
          <w:numId w:val="5"/>
        </w:numPr>
        <w:spacing w:after="16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A: Fundraiser must first go through the school board’s fundraising-approval policy (school determines purpose, principal signs off); once approved, contact the Foundation for a giving page – funds go into a Foundation-designated account restricted to that purpose (new fund or existing school general fund)</w:t>
      </w:r>
    </w:p>
    <w:p>
      <w:pPr>
        <w:spacing w:after="10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Charlie Eastham thanked Laura Ebinger and the Foundation, on his own behalf and the board’s, for their work supporting students district-wide.</w:t>
      </w:r>
    </w:p>
    <w:p>
      <w:pPr>
        <w:spacing w:after="20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  <w:i w:val="1"/>
          <w:iCs w:val="1"/>
        </w:rPr>
        <w:t xml:space="preserve">Note: PTO Bootcamp and PTO Visits (listed on the agenda for Cristy Walcher-Chevillet) was not presented as a separate item – covered above under the Co-President’s report (new PTO Resources page).</w:t>
      </w:r>
    </w:p>
    <w:p>
      <w:pPr>
        <w:spacing w:before="280" w:after="10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  <w:b w:val="1"/>
          <w:bCs w:val="1"/>
        </w:rPr>
        <w:t xml:space="preserve">ADJOURNMENT (7:44 pm)</w:t>
      </w:r>
    </w:p>
    <w:p>
      <w:pPr>
        <w:rPr>
          <w:rFonts w:ascii="Montserrat" w:cs="Montserrat" w:eastAsia="Montserrat" w:hAnsi="Montserrat"/>
        </w:rPr>
      </w:pPr>
    </w:p>
    <w:p>
      <w:pPr>
        <w:spacing w:after="6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  <w:u w:val="single"/>
        </w:rPr>
        <w:t xml:space="preserve">District Parent Organization Executive Board:</w:t>
      </w:r>
    </w:p>
    <w:p>
      <w:pPr>
        <w:spacing w:after="2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Co-Presidents: Cristy Walcher-Chevillet &amp; Anna Flaming</w:t>
      </w:r>
    </w:p>
    <w:p>
      <w:pPr>
        <w:spacing w:after="2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Co-Past Presidents: Laura Voshell &amp; Allison Strickland</w:t>
      </w:r>
    </w:p>
    <w:p>
      <w:pPr>
        <w:spacing w:after="2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Secretary: Angela Romero</w:t>
      </w:r>
    </w:p>
    <w:p>
      <w:pPr>
        <w:spacing w:after="20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Treasurer: Hanna Zembrzuska</w:t>
      </w:r>
    </w:p>
    <w:p>
      <w:pPr>
        <w:spacing w:after="6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  <w:u w:val="single"/>
        </w:rPr>
        <w:t xml:space="preserve">Future Meetings</w:t>
      </w:r>
    </w:p>
    <w:p>
      <w:pPr>
        <w:spacing w:after="2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October 14, 2026 – ICCSD Center for Innovation &amp; Zoom – School Budget and Financial Management – Pat Moore and Kurt Pratt (names as heard on recording, please confirm spelling)</w:t>
      </w:r>
    </w:p>
    <w:p>
      <w:pPr>
        <w:spacing w:after="2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November 11, 2026 – details TBD</w:t>
      </w:r>
    </w:p>
    <w:p>
      <w:pPr>
        <w:spacing w:after="20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No meeting December 9, 2026; meetings resume in January 2027 and continue through the school year</w:t>
      </w:r>
    </w:p>
    <w:p>
      <w:pPr>
        <w:spacing w:after="100"/>
        <w:rPr>
          <w:rFonts w:ascii="Montserrat" w:cs="Montserrat" w:eastAsia="Montserrat" w:hAnsi="Montserrat"/>
        </w:rPr>
      </w:pPr>
      <w:r>
        <w:rPr>
          <w:rFonts w:ascii="Montserrat" w:cs="Montserrat" w:eastAsia="Montserrat" w:hAnsi="Montserrat"/>
        </w:rPr>
        <w:t xml:space="preserve">For more information, questions, or feedback, please contact the DPO at DPOICCSD@gmail.com</w:t>
      </w:r>
    </w:p>
    <w:sectPr>
      <w:headerReference r:id="rId6" w:type="default"/>
      <w:footerReference r:id="rId7" w:type="default"/>
      <w:footerReference r:id="rId8" w:type="first"/>
      <w:pgSz w:h="15840" w:w="12240" w:orient="portrait"/>
      <w:pgMar w:bottom="360" w:top="1440" w:left="720" w:right="7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jalla One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jc w:val="center"/>
      <w:rPr>
        <w:rFonts w:ascii="Montserrat" w:cs="Montserrat" w:eastAsia="Montserrat" w:hAnsi="Montserrat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jc w:val="center"/>
      <w:rPr>
        <w:rFonts w:ascii="Montserrat" w:cs="Montserrat" w:eastAsia="Montserrat" w:hAnsi="Montserrat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jc w:val="center"/>
      <w:rPr>
        <w:rFonts w:ascii="Montserrat" w:cs="Montserrat" w:eastAsia="Montserrat" w:hAnsi="Montserrat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jc w:val="center"/>
      <w:rPr>
        <w:rFonts w:ascii="Montserrat" w:cs="Montserrat" w:eastAsia="Montserrat" w:hAnsi="Montserrat"/>
        <w:sz w:val="14"/>
        <w:szCs w:val="1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-238124</wp:posOffset>
          </wp:positionH>
          <wp:positionV relativeFrom="paragraph">
            <wp:posOffset>116804</wp:posOffset>
          </wp:positionV>
          <wp:extent cx="2740012" cy="121443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40012" cy="12144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3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4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5">
    <w:pPr>
      <w:ind w:left="0" w:firstLine="0"/>
      <w:jc w:val="right"/>
      <w:rPr>
        <w:rFonts w:ascii="Fjalla One" w:cs="Fjalla One" w:eastAsia="Fjalla One" w:hAnsi="Fjalla One"/>
        <w:b w:val="1"/>
        <w:bCs w:val="1"/>
        <w:color w:val="404040"/>
        <w:sz w:val="28"/>
        <w:szCs w:val="28"/>
      </w:rPr>
    </w:pPr>
    <w:r w:rsidDel="00000000" w:rsidR="00000000" w:rsidRPr="00000000">
      <w:rPr>
        <w:rFonts w:ascii="Fjalla One" w:cs="Fjalla One" w:eastAsia="Fjalla One" w:hAnsi="Fjalla One"/>
        <w:b w:val="1"/>
        <w:bCs w:val="1"/>
        <w:color w:val="404040"/>
        <w:sz w:val="28"/>
        <w:szCs w:val="28"/>
        <w:rtl w:val="0"/>
      </w:rPr>
      <w:t xml:space="preserve">Districtwide Parents Organization</w:t>
    </w:r>
  </w:p>
  <w:p w:rsidR="00000000" w:rsidDel="00000000" w:rsidP="00000000" w:rsidRDefault="00000000" w:rsidRPr="00000000" w14:paraId="00000006">
    <w:pPr>
      <w:widowControl w:val="0"/>
      <w:spacing w:line="240" w:lineRule="auto"/>
      <w:jc w:val="right"/>
      <w:rPr>
        <w:rFonts w:ascii="Montserrat" w:cs="Montserrat" w:eastAsia="Montserrat" w:hAnsi="Montserrat"/>
        <w:color w:val="404040"/>
      </w:rPr>
    </w:pPr>
    <w:r w:rsidDel="00000000" w:rsidR="00000000" w:rsidRPr="00000000">
      <w:rPr>
        <w:rFonts w:ascii="Montserrat" w:cs="Montserrat" w:eastAsia="Montserrat" w:hAnsi="Montserrat"/>
        <w:color w:val="404040"/>
        <w:rtl w:val="0"/>
      </w:rPr>
      <w:t xml:space="preserve">Iowa City Community School District</w:t>
    </w:r>
    <w:r w:rsidDel="00000000" w:rsidR="00000000" w:rsidRPr="00000000">
      <w:rPr>
        <w:rFonts w:ascii="Montserrat" w:cs="Montserrat" w:eastAsia="Montserrat" w:hAnsi="Montserrat"/>
        <w:color w:val="404040"/>
        <w:rtl w:val="0"/>
      </w:rPr>
      <w:br w:type="textWrapping"/>
    </w:r>
    <w:hyperlink r:id="rId2">
      <w:r w:rsidDel="00000000" w:rsidR="00000000" w:rsidRPr="00000000">
        <w:rPr>
          <w:rFonts w:ascii="Montserrat" w:cs="Montserrat" w:eastAsia="Montserrat" w:hAnsi="Montserrat"/>
          <w:color w:val="1155cc"/>
          <w:u w:val="single"/>
          <w:rtl w:val="0"/>
        </w:rPr>
        <w:t xml:space="preserve">dpoiccsd@gmail.com</w:t>
      </w:r>
    </w:hyperlink>
    <w:r w:rsidDel="00000000" w:rsidR="00000000" w:rsidRPr="00000000">
      <w:rPr>
        <w:rFonts w:ascii="Montserrat" w:cs="Montserrat" w:eastAsia="Montserrat" w:hAnsi="Montserrat"/>
        <w:color w:val="404040"/>
        <w:rtl w:val="0"/>
      </w:rPr>
      <w:t xml:space="preserve"> • </w:t>
    </w:r>
    <w:hyperlink r:id="rId3">
      <w:r w:rsidDel="00000000" w:rsidR="00000000" w:rsidRPr="00000000">
        <w:rPr>
          <w:rFonts w:ascii="Montserrat" w:cs="Montserrat" w:eastAsia="Montserrat" w:hAnsi="Montserrat"/>
          <w:color w:val="1155cc"/>
          <w:u w:val="single"/>
          <w:rtl w:val="0"/>
        </w:rPr>
        <w:t xml:space="preserve">www.iowacityschools.org/dpo</w:t>
      </w:r>
    </w:hyperlink>
    <w:r w:rsidDel="00000000" w:rsidR="00000000" w:rsidRPr="00000000">
      <w:rPr>
        <w:rFonts w:ascii="Montserrat" w:cs="Montserrat" w:eastAsia="Montserrat" w:hAnsi="Montserrat"/>
        <w:color w:val="404040"/>
        <w:rtl w:val="0"/>
      </w:rPr>
      <w:t xml:space="preserve"> </w:t>
    </w:r>
  </w:p>
  <w:p w:rsidR="00000000" w:rsidDel="00000000" w:rsidP="00000000" w:rsidRDefault="00000000" w:rsidRPr="00000000" w14:paraId="00000007">
    <w:pPr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-476249</wp:posOffset>
          </wp:positionH>
          <wp:positionV relativeFrom="paragraph">
            <wp:posOffset>265544</wp:posOffset>
          </wp:positionV>
          <wp:extent cx="7810500" cy="17238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10500" cy="1723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8">
    <w:pPr>
      <w:widowControl w:val="0"/>
      <w:spacing w:line="240" w:lineRule="auto"/>
      <w:jc w:val="right"/>
      <w:rPr>
        <w:rFonts w:ascii="Montserrat" w:cs="Montserrat" w:eastAsia="Montserrat" w:hAnsi="Montserrat"/>
        <w:color w:val="40404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9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A">
    <w:pPr>
      <w:widowControl w:val="0"/>
      <w:spacing w:line="240" w:lineRule="auto"/>
      <w:jc w:val="right"/>
      <w:rPr>
        <w:rFonts w:ascii="Montserrat" w:cs="Montserrat" w:eastAsia="Montserrat" w:hAnsi="Montserrat"/>
        <w:color w:val="40404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B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ind w:left="4320" w:firstLine="0"/>
      <w:jc w:val="center"/>
      <w:rPr>
        <w:rFonts w:ascii="Montserrat" w:cs="Montserrat" w:eastAsia="Montserrat" w:hAnsi="Montserrat"/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FjallaOne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dpoiccsd@gmail.com" TargetMode="External"/><Relationship Id="rId3" Type="http://schemas.openxmlformats.org/officeDocument/2006/relationships/hyperlink" Target="http://www.iowacityschools.org/dpo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