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Standard 4: Learning Support</w:t>
      </w:r>
    </w:p>
    <w:p>
      <w:pPr>
        <w:pStyle w:val="Subtitle"/>
      </w:pPr>
      <w:r>
        <w:rPr>
          <w:i/>
        </w:rPr>
        <w:t>For public schools, districts, centers, and programs</w:t>
      </w:r>
    </w:p>
    <w:p>
      <w:pPr>
        <w:pStyle w:val="Heading1"/>
      </w:pPr>
      <w:r>
        <w:rPr>
          <w:b/>
        </w:rPr>
        <w:t>Instructions</w:t>
      </w:r>
    </w:p>
    <w:p>
      <w:pPr/>
      <w:r>
        <w:t>Follow these steps to draft your narrative for each principle. All teal text is guidance and should be deleted before you submit.</w:t>
      </w:r>
    </w:p>
    <w:p>
      <w:pPr>
        <w:pStyle w:val="ListNumber"/>
      </w:pPr>
      <w:r>
        <w:t xml:space="preserve">Each principle begins with the </w:t>
      </w:r>
      <w:r>
        <w:rPr>
          <w:b/>
        </w:rPr>
        <w:t>principle statement</w:t>
      </w:r>
      <w:r>
        <w:t>. If needed, add language from the Principles Rubric or another qualifier to describe how well the school aligns (for example, ‘Learners are beginning to experience a wide range of assessment practices to support and improve learning.’).</w:t>
      </w:r>
    </w:p>
    <w:p>
      <w:pPr>
        <w:pStyle w:val="ListNumber"/>
      </w:pPr>
      <w:r>
        <w:t xml:space="preserve">The </w:t>
      </w:r>
      <w:r>
        <w:rPr>
          <w:b/>
        </w:rPr>
        <w:t>descriptors</w:t>
      </w:r>
      <w:r>
        <w:t xml:space="preserve"> follow the principle statement. The descriptors are </w:t>
      </w:r>
      <w:r>
        <w:rPr>
          <w:b/>
        </w:rPr>
        <w:t>not a checklist</w:t>
      </w:r>
      <w:r>
        <w:t>: you do not need to respond to every one, though in many cases a school will address most or all of them. Explain how the school aligns, or plans to align, and use two to three examples of support.</w:t>
      </w:r>
    </w:p>
    <w:p>
      <w:pPr>
        <w:pStyle w:val="ListNumber"/>
      </w:pPr>
      <w:r>
        <w:t xml:space="preserve">The descriptors are also </w:t>
      </w:r>
      <w:r>
        <w:rPr>
          <w:b/>
        </w:rPr>
        <w:t>not exhaustive</w:t>
      </w:r>
      <w:r>
        <w:t xml:space="preserve">. A school may align with the principle in ways that are not directly related to a descriptor. When that happens, use the </w:t>
      </w:r>
      <w:r>
        <w:rPr>
          <w:b/>
        </w:rPr>
        <w:t>Additional Evidence or Information</w:t>
      </w:r>
      <w:r>
        <w:t xml:space="preserve"> space to share evidence and information that supports the principle. This is optional and not an expectation for every principle; it simply provides room for examples that do not fit neatly under a descriptor.</w:t>
      </w:r>
    </w:p>
    <w:p>
      <w:pPr>
        <w:pStyle w:val="ListNumber"/>
      </w:pPr>
      <w:r>
        <w:t>If the school has no information for a descriptor, you may say so (for example, from Principle 1.4: ‘We have yet to collaborate as problem-solvers and co-learners as often as we would like due to lack of time.’). If the school has plans for the future, you may state them.</w:t>
      </w:r>
    </w:p>
    <w:p>
      <w:pPr>
        <w:pStyle w:val="ListNumber"/>
      </w:pPr>
      <w:r>
        <w:t xml:space="preserve">End each principle with the </w:t>
      </w:r>
      <w:r>
        <w:rPr>
          <w:b/>
        </w:rPr>
        <w:t>concluding statement and rating</w:t>
      </w:r>
      <w:r>
        <w:t>. Use the Principles Rubric to determine the phase, and select only one.</w:t>
      </w:r>
    </w:p>
    <w:p>
      <w:pPr>
        <w:pStyle w:val="ListNumber"/>
      </w:pPr>
      <w:r>
        <w:t xml:space="preserve">After completing all principles, write the </w:t>
      </w:r>
      <w:r>
        <w:rPr>
          <w:b/>
        </w:rPr>
        <w:t>Strengths</w:t>
      </w:r>
      <w:r>
        <w:t xml:space="preserve"> and </w:t>
      </w:r>
      <w:r>
        <w:rPr>
          <w:b/>
        </w:rPr>
        <w:t>Areas of Growth</w:t>
      </w:r>
      <w:r>
        <w:t xml:space="preserve"> for the entire Standard, using the language of the principles and descriptors.</w:t>
      </w:r>
    </w:p>
    <w:p>
      <w:pPr>
        <w:pStyle w:val="ListNumber"/>
      </w:pPr>
      <w:r>
        <w:t>Delete all teal instructional text (including this list) and format your response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2"/>
      </w:pPr>
      <w:r>
        <w:rPr>
          <w:b/>
        </w:rPr>
        <w:t>Principle 4.1</w:t>
      </w:r>
    </w:p>
    <w:p>
      <w:pPr>
        <w:pStyle w:val="Heading7"/>
      </w:pPr>
      <w:r>
        <w:rPr>
          <w:b/>
          <w:color w:val="457582"/>
        </w:rPr>
        <w:t>PRINCIPLE STATEMENT</w:t>
      </w:r>
    </w:p>
    <w:p>
      <w:pPr/>
      <w:r>
        <w:t xml:space="preserve">All students receive appropriate intervention strategies to support their academic, social, and emotional success.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school provides a range of timely, coordinated, and directive intervention strategies for all students, including identified and at-risk students, that support each student’s success and well-being.</w:t>
      </w:r>
    </w:p>
    <w:p>
      <w:pPr>
        <w:pStyle w:val="ListBullet"/>
      </w:pPr>
      <w:r>
        <w:t>The school provides a formal tiered system of support for identified and non-identified students.</w:t>
      </w:r>
    </w:p>
    <w:p>
      <w:pPr>
        <w:pStyle w:val="ListBullet"/>
      </w:pPr>
      <w:r>
        <w:t>The school provides a formal, defined process to identify and refer students who need additional assistance.</w:t>
      </w:r>
    </w:p>
    <w:p>
      <w:pPr>
        <w:pStyle w:val="ListBullet"/>
      </w:pPr>
      <w:r>
        <w:t>The school provides outreach to families about available support services, especially to those most in need.</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4.1.</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4.2</w:t>
      </w:r>
    </w:p>
    <w:p>
      <w:pPr>
        <w:pStyle w:val="Heading7"/>
      </w:pPr>
      <w:r>
        <w:rPr>
          <w:b/>
          <w:color w:val="457582"/>
        </w:rPr>
        <w:t>PRINCIPLE STATEMENT</w:t>
      </w:r>
    </w:p>
    <w:p>
      <w:pPr/>
      <w:r>
        <w:t xml:space="preserve">All students receive counseling services that meet their personal, social, emotional, academic, career, and college counseling needs from adequate, certified/licensed personnel.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School counseling services include adequate, certified/licensed personnel and support staff to deliver effective services to students.</w:t>
      </w:r>
    </w:p>
    <w:p>
      <w:pPr>
        <w:pStyle w:val="ListBullet"/>
      </w:pPr>
      <w:r>
        <w:t>School counseling services include a written, developmental program.</w:t>
      </w:r>
    </w:p>
    <w:p>
      <w:pPr>
        <w:pStyle w:val="ListBullet"/>
      </w:pPr>
      <w:r>
        <w:t>School counseling services include regular meetings with students to provide personal, social, emotional, academic, career, and college counseling.</w:t>
      </w:r>
    </w:p>
    <w:p>
      <w:pPr>
        <w:pStyle w:val="ListBullet"/>
      </w:pPr>
      <w:r>
        <w:t>School counseling services include collaboration with community and area mental health agencies and social service providers.</w:t>
      </w:r>
    </w:p>
    <w:p>
      <w:pPr>
        <w:pStyle w:val="ListBullet"/>
      </w:pPr>
      <w:r>
        <w:t>School counseling services include the use of graduate follow-up studies to improve programming and curriculum development.</w:t>
      </w:r>
    </w:p>
    <w:p>
      <w:pPr>
        <w:pStyle w:val="ListBullet"/>
      </w:pPr>
      <w:r>
        <w:t>School counseling services include opportunities for students to identify career aptitudes and interests.</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4.2.</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4.3</w:t>
      </w:r>
    </w:p>
    <w:p>
      <w:pPr>
        <w:pStyle w:val="Heading7"/>
      </w:pPr>
      <w:r>
        <w:rPr>
          <w:b/>
          <w:color w:val="457582"/>
        </w:rPr>
        <w:t>PRINCIPLE STATEMENT</w:t>
      </w:r>
    </w:p>
    <w:p>
      <w:pPr/>
      <w:r>
        <w:t xml:space="preserve">All students receive health services that ensure their physical and emotional well-being from adequate, certified/licensed personnel.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School health services have adequate, certified/licensed personnel and support staff to deliver appropriate health services to students.</w:t>
      </w:r>
    </w:p>
    <w:p>
      <w:pPr>
        <w:pStyle w:val="ListBullet"/>
      </w:pPr>
      <w:r>
        <w:t>School health services include preventative health services and direct intervention services.</w:t>
      </w:r>
    </w:p>
    <w:p>
      <w:pPr>
        <w:pStyle w:val="ListBullet"/>
      </w:pPr>
      <w:r>
        <w:t>School health services ensure the use of an appropriate referral process.</w:t>
      </w:r>
    </w:p>
    <w:p>
      <w:pPr>
        <w:pStyle w:val="ListBullet"/>
      </w:pPr>
      <w:r>
        <w:t>School health services are informed by ongoing student health assessments.</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4.3.</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4.4</w:t>
      </w:r>
    </w:p>
    <w:p>
      <w:pPr>
        <w:pStyle w:val="Heading7"/>
      </w:pPr>
      <w:r>
        <w:rPr>
          <w:b/>
          <w:color w:val="457582"/>
        </w:rPr>
        <w:t>PRINCIPLE STATEMENT</w:t>
      </w:r>
    </w:p>
    <w:p>
      <w:pPr/>
      <w:r>
        <w:t xml:space="preserve">All students receive library/information services that support their learning from adequate, certified/licensed personnel.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Library/information services have adequate, certified/licensed personnel and support staff possessing professional expertise in literature, research, technology, and inquiry.</w:t>
      </w:r>
    </w:p>
    <w:p>
      <w:pPr>
        <w:pStyle w:val="ListBullet"/>
      </w:pPr>
      <w:r>
        <w:t>Library/information services have personnel and staff who are actively engaged in the implementation of the school’s curriculum and instructional practices and support teachers in enhancing student learning.</w:t>
      </w:r>
    </w:p>
    <w:p>
      <w:pPr>
        <w:pStyle w:val="ListBullet"/>
      </w:pPr>
      <w:r>
        <w:t>Library/information services provide professional support to classroom teachers to ensure high-quality instruction on information literacy, research techniques, citing sources, and accessing literature from a variety of genres.</w:t>
      </w:r>
    </w:p>
    <w:p>
      <w:pPr>
        <w:pStyle w:val="ListBullet"/>
      </w:pPr>
      <w:r>
        <w:t>Library/information services are responsive to students’ interests and needs to support independent reading and lifelong learning.</w:t>
      </w:r>
    </w:p>
    <w:p>
      <w:pPr>
        <w:pStyle w:val="ListBullet"/>
      </w:pPr>
      <w:r>
        <w:t>Library/information services assist students in becoming active learners who have opportunities to lead their learning.</w:t>
      </w:r>
    </w:p>
    <w:p>
      <w:pPr>
        <w:pStyle w:val="ListBullet"/>
      </w:pPr>
      <w:r>
        <w:t>The library/information facility has up-to-date technology, materials, supplies, and furnishings.</w:t>
      </w:r>
    </w:p>
    <w:p>
      <w:pPr>
        <w:pStyle w:val="ListBullet"/>
      </w:pPr>
      <w:r>
        <w:t>The library/information facility has a collection of materials that supports the curriculum, is reflective of the diversity of the student body, and offers a comprehensive range of cultures and backgrounds.</w:t>
      </w:r>
    </w:p>
    <w:p>
      <w:pPr>
        <w:pStyle w:val="ListBullet"/>
      </w:pPr>
      <w:r>
        <w:t>The library/information facility has a physical setting that encourages collaboration among students, opportunities for inquiry, and authentic learning.</w:t>
      </w:r>
    </w:p>
    <w:p>
      <w:pPr>
        <w:pStyle w:val="ListBullet"/>
      </w:pPr>
      <w:r>
        <w:t>The library/information facility is open and available for students and adults before, during, and after school.</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4.4.</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4.5</w:t>
      </w:r>
    </w:p>
    <w:p>
      <w:pPr>
        <w:pStyle w:val="Heading7"/>
      </w:pPr>
      <w:r>
        <w:rPr>
          <w:b/>
          <w:color w:val="457582"/>
        </w:rPr>
        <w:t>PRINCIPLE STATEMENT</w:t>
      </w:r>
    </w:p>
    <w:p>
      <w:pPr/>
      <w:r>
        <w:t xml:space="preserve">English language learners and students with special needs and 504 plans receive appropriate programs and services that support their learning from adequate, certified/licensed personnel.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Support services have adequate, certified/licensed personnel and support staff to meet students’ needs.</w:t>
      </w:r>
    </w:p>
    <w:p>
      <w:pPr>
        <w:pStyle w:val="ListBullet"/>
      </w:pPr>
      <w:r>
        <w:t>Support services include collaboration among all educators, counselors, targeted services, and other support staff to meet each student’s goals.</w:t>
      </w:r>
    </w:p>
    <w:p>
      <w:pPr>
        <w:pStyle w:val="ListBullet"/>
      </w:pPr>
      <w:r>
        <w:t>Support services include appropriate and challenging educational experiences.</w:t>
      </w:r>
    </w:p>
    <w:p>
      <w:pPr>
        <w:pStyle w:val="ListBullet"/>
      </w:pPr>
      <w:r>
        <w:t>Support services provide inclusive learning opportunities and instruction.</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4.5.</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1"/>
      </w:pPr>
      <w:r>
        <w:rPr>
          <w:b/>
        </w:rPr>
        <w:t>Standard 4 Strengths</w:t>
      </w:r>
    </w:p>
    <w:p>
      <w:pPr/>
      <w:r>
        <w:rPr>
          <w:i/>
          <w:color w:val="457582"/>
        </w:rPr>
        <w:t>(Using the language of the principles and descriptors, summarize the key strengths across Standard 4.)</w:t>
      </w:r>
    </w:p>
    <w:p>
      <w:pPr>
        <w:pStyle w:val="Heading1"/>
      </w:pPr>
      <w:r>
        <w:rPr>
          <w:b/>
        </w:rPr>
        <w:t>Standard 4 Areas of Growth</w:t>
      </w:r>
    </w:p>
    <w:p>
      <w:pPr/>
      <w:r>
        <w:rPr>
          <w:i/>
          <w:color w:val="457582"/>
        </w:rPr>
        <w:t>(Using the language of the principles and descriptors, summarize the key areas of growth across Standard 4.)</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Standard 4: Learning Support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F7CA8644-3761-4092-A062-503B79290686}"/>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