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Standard 2: Student Learning</w:t>
      </w:r>
    </w:p>
    <w:p>
      <w:pPr>
        <w:pStyle w:val="Subtitle"/>
      </w:pPr>
      <w:r>
        <w:rPr>
          <w:i/>
        </w:rPr>
        <w:t>For public schools, districts, centers, and programs</w:t>
      </w:r>
    </w:p>
    <w:p>
      <w:pPr>
        <w:pStyle w:val="Heading1"/>
      </w:pPr>
      <w:r>
        <w:rPr>
          <w:b/>
        </w:rPr>
        <w:t>Instructions</w:t>
      </w:r>
    </w:p>
    <w:p>
      <w:pPr/>
      <w:r>
        <w:t>Follow these steps to draft your narrative for each principle. All teal text is guidance and should be deleted before you submit.</w:t>
      </w:r>
    </w:p>
    <w:p>
      <w:pPr>
        <w:pStyle w:val="ListNumber"/>
      </w:pPr>
      <w:r>
        <w:t xml:space="preserve">Each principle begins with the </w:t>
      </w:r>
      <w:r>
        <w:rPr>
          <w:b/>
        </w:rPr>
        <w:t>principle statement</w:t>
      </w:r>
      <w:r>
        <w:t>. If needed, add language from the Principles Rubric or another qualifier to describe how well the school aligns (for example, ‘Learners are beginning to experience a wide range of assessment practices to support and improve learning.’).</w:t>
      </w:r>
    </w:p>
    <w:p>
      <w:pPr>
        <w:pStyle w:val="ListNumber"/>
      </w:pPr>
      <w:r>
        <w:t xml:space="preserve">The </w:t>
      </w:r>
      <w:r>
        <w:rPr>
          <w:b/>
        </w:rPr>
        <w:t>descriptors</w:t>
      </w:r>
      <w:r>
        <w:t xml:space="preserve"> follow the principle statement. The descriptors are </w:t>
      </w:r>
      <w:r>
        <w:rPr>
          <w:b/>
        </w:rPr>
        <w:t>not a checklist</w:t>
      </w:r>
      <w:r>
        <w:t>: you do not need to respond to every one, though in many cases a school will address most or all of them. Explain how the school aligns, or plans to align, and use two to three examples of support.</w:t>
      </w:r>
    </w:p>
    <w:p>
      <w:pPr>
        <w:pStyle w:val="ListNumber"/>
      </w:pPr>
      <w:r>
        <w:t xml:space="preserve">The descriptors are also </w:t>
      </w:r>
      <w:r>
        <w:rPr>
          <w:b/>
        </w:rPr>
        <w:t>not exhaustive</w:t>
      </w:r>
      <w:r>
        <w:t xml:space="preserve">. A school may align with the principle in ways that are not directly related to a descriptor. When that happens, use the </w:t>
      </w:r>
      <w:r>
        <w:rPr>
          <w:b/>
        </w:rPr>
        <w:t>Additional Evidence or Information</w:t>
      </w:r>
      <w:r>
        <w:t xml:space="preserve"> space to share evidence and information that supports the principle. This is optional and not an expectation for every principle; it simply provides room for examples that do not fit neatly under a descriptor.</w:t>
      </w:r>
    </w:p>
    <w:p>
      <w:pPr>
        <w:pStyle w:val="ListNumber"/>
      </w:pPr>
      <w:r>
        <w:t>If the school has no information for a descriptor, you may say so (for example, from Principle 1.4: ‘We have yet to collaborate as problem-solvers and co-learners as often as we would like due to lack of time.’). If the school has plans for the future, you may state them.</w:t>
      </w:r>
    </w:p>
    <w:p>
      <w:pPr>
        <w:pStyle w:val="ListNumber"/>
      </w:pPr>
      <w:r>
        <w:t xml:space="preserve">End each principle with the </w:t>
      </w:r>
      <w:r>
        <w:rPr>
          <w:b/>
        </w:rPr>
        <w:t>concluding statement and rating</w:t>
      </w:r>
      <w:r>
        <w:t>. Use the Principles Rubric to determine the phase, and select only one.</w:t>
      </w:r>
    </w:p>
    <w:p>
      <w:pPr>
        <w:pStyle w:val="ListNumber"/>
      </w:pPr>
      <w:r>
        <w:t xml:space="preserve">After completing all principles, write the </w:t>
      </w:r>
      <w:r>
        <w:rPr>
          <w:b/>
        </w:rPr>
        <w:t>Strengths</w:t>
      </w:r>
      <w:r>
        <w:t xml:space="preserve"> and </w:t>
      </w:r>
      <w:r>
        <w:rPr>
          <w:b/>
        </w:rPr>
        <w:t>Areas of Growth</w:t>
      </w:r>
      <w:r>
        <w:t xml:space="preserve"> for the entire Standard, using the language of the principles and descriptors.</w:t>
      </w:r>
    </w:p>
    <w:p>
      <w:pPr>
        <w:pStyle w:val="ListNumber"/>
      </w:pPr>
      <w:r>
        <w:t>Delete all teal instructional text (including this list) and format your response before submitting it on the final self-reflection report template.</w:t>
      </w:r>
    </w:p>
    <w:p>
      <w:pPr>
        <w:pStyle w:val="Heading1"/>
      </w:pPr>
      <w:r>
        <w:rPr>
          <w:b/>
        </w:rPr>
        <w:t>Narrative</w:t>
      </w:r>
    </w:p>
    <w:p>
      <w:pPr/>
      <w:r>
        <w:rPr>
          <w:i/>
          <w:color w:val="457582"/>
        </w:rPr>
        <w:t>Replace all the writing guidance in teal with your own narrative. Keep the black standard text.</w:t>
      </w:r>
    </w:p>
    <w:p>
      <w:pPr>
        <w:pStyle w:val="Heading2"/>
      </w:pPr>
      <w:r>
        <w:rPr>
          <w:b/>
        </w:rPr>
        <w:t>Principle 2.1</w:t>
      </w:r>
    </w:p>
    <w:p>
      <w:pPr>
        <w:pStyle w:val="Heading7"/>
      </w:pPr>
      <w:r>
        <w:rPr>
          <w:b/>
          <w:color w:val="457582"/>
        </w:rPr>
        <w:t>PRINCIPLE STATEMENT</w:t>
      </w:r>
    </w:p>
    <w:p>
      <w:pPr/>
      <w:r>
        <w:t xml:space="preserve">The school’s vision of a learner is defined by measurable criteria and learners receive feedback on their progress toward proficiency.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school defines what proficiency looks like for each aspect within the vision of a learner with specific and measurable criteria for success.</w:t>
      </w:r>
    </w:p>
    <w:p>
      <w:pPr>
        <w:pStyle w:val="ListBullet"/>
      </w:pPr>
      <w:r>
        <w:t>The school integrates opportunities for students to practice the skills within the vision of a learner and receive feedback on their progress throughout the curriculum.</w:t>
      </w:r>
    </w:p>
    <w:p>
      <w:pPr>
        <w:pStyle w:val="ListBullet"/>
      </w:pPr>
      <w:r>
        <w:t>The school embeds the vision of a learner into curriculum, instruction, and assessment practices.</w:t>
      </w:r>
    </w:p>
    <w:p>
      <w:pPr>
        <w:pStyle w:val="ListBullet"/>
      </w:pPr>
      <w:r>
        <w:t>The school develops and implements a formal process to assess and communicate individual learner progress toward achieving the school’s vision of a learner to learners and their families.</w:t>
      </w:r>
    </w:p>
    <w:p>
      <w:pPr>
        <w:pStyle w:val="ListBullet"/>
      </w:pPr>
      <w:r>
        <w:t>The school develops an annual report on whole-school progress toward learners’ achievement of the vision of a learner.</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2.1.</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2.2</w:t>
      </w:r>
    </w:p>
    <w:p>
      <w:pPr>
        <w:pStyle w:val="Heading7"/>
      </w:pPr>
      <w:r>
        <w:rPr>
          <w:b/>
          <w:color w:val="457582"/>
        </w:rPr>
        <w:t>PRINCIPLE STATEMENT</w:t>
      </w:r>
    </w:p>
    <w:p>
      <w:pPr/>
      <w:r>
        <w:t xml:space="preserve">There are written curriculum documents for all courses that include a scope and sequence or curriculum map with units of study that contain expected course outcomes for each student, guiding/essential questions, concepts, content, and skills, formative assessments, assessments aligned with expected course outcomes, instructional strategies, and connections to the school’s vision of a learner.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written curriculum documents include a scope and sequence or curriculum map for each course in the school that includes units of study with guiding/essential questions, concepts, content, skills, and assessments aligned with expected course outcomes.</w:t>
      </w:r>
    </w:p>
    <w:p>
      <w:pPr>
        <w:pStyle w:val="ListBullet"/>
      </w:pPr>
      <w:r>
        <w:t>The written curriculum documents include competency-based elements for all career and technical education programs with pathways leading to licensure, certification, and post-secondary education.</w:t>
      </w:r>
    </w:p>
    <w:p>
      <w:pPr>
        <w:pStyle w:val="ListBullet"/>
      </w:pPr>
      <w:r>
        <w:t>The written curriculum documents include instructional strategies, materials, and resources.</w:t>
      </w:r>
    </w:p>
    <w:p>
      <w:pPr>
        <w:pStyle w:val="ListBullet"/>
      </w:pPr>
      <w:r>
        <w:t>The written curriculum documents include formative and interim assessments.</w:t>
      </w:r>
    </w:p>
    <w:p>
      <w:pPr>
        <w:pStyle w:val="ListBullet"/>
      </w:pPr>
      <w:r>
        <w:t>The written curriculum documents include opportunities for all students to see themselves represented within the curriculum.</w:t>
      </w:r>
    </w:p>
    <w:p>
      <w:pPr>
        <w:pStyle w:val="ListBullet"/>
      </w:pPr>
      <w:r>
        <w:t>The written curriculum documents include connections to the school’s vision of a learner.</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2.2.</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2.3</w:t>
      </w:r>
    </w:p>
    <w:p>
      <w:pPr>
        <w:pStyle w:val="Heading7"/>
      </w:pPr>
      <w:r>
        <w:rPr>
          <w:b/>
          <w:color w:val="457582"/>
        </w:rPr>
        <w:t>PRINCIPLE STATEMENT</w:t>
      </w:r>
    </w:p>
    <w:p>
      <w:pPr/>
      <w:r>
        <w:t xml:space="preserve">The written curriculum documents emphasize deep understanding, through aspects such as interdisciplinary learning, project-based learning, and authentic learning experiences.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written curriculum documents make connections to prior knowledge across disciplines.</w:t>
      </w:r>
    </w:p>
    <w:p>
      <w:pPr>
        <w:pStyle w:val="ListBullet"/>
      </w:pPr>
      <w:r>
        <w:t>The written curriculum documents place emphasis on learner application of knowledge and skills.</w:t>
      </w:r>
    </w:p>
    <w:p>
      <w:pPr>
        <w:pStyle w:val="ListBullet"/>
      </w:pPr>
      <w:r>
        <w:t>The written curriculum documents include discipline-specific, higher order thinking and transferable skills and dispositions.</w:t>
      </w:r>
    </w:p>
    <w:p>
      <w:pPr>
        <w:pStyle w:val="ListBullet"/>
      </w:pPr>
      <w:r>
        <w:t>The written curriculum documents embed skills and competencies necessary to attain the school’s vision of a learner.</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2.3.</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2.4</w:t>
      </w:r>
    </w:p>
    <w:p>
      <w:pPr>
        <w:pStyle w:val="Heading7"/>
      </w:pPr>
      <w:r>
        <w:rPr>
          <w:b/>
          <w:color w:val="457582"/>
        </w:rPr>
        <w:t>PRINCIPLE STATEMENT</w:t>
      </w:r>
    </w:p>
    <w:p>
      <w:pPr/>
      <w:r>
        <w:t xml:space="preserve">Instructional practices are designed to meet the learning needs of each student.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Instructional practices include strategically differentiating, individualizing, and personalizing based on the needs of all learners.</w:t>
      </w:r>
    </w:p>
    <w:p>
      <w:pPr>
        <w:pStyle w:val="ListBullet"/>
      </w:pPr>
      <w:r>
        <w:t>Instructional practices include using formative assessment to adjust instruction.</w:t>
      </w:r>
    </w:p>
    <w:p>
      <w:pPr>
        <w:pStyle w:val="ListBullet"/>
      </w:pPr>
      <w:r>
        <w:t>Instructional practices include organizational grouping and tiered intervention strategies that meet the needs of each learner.</w:t>
      </w:r>
    </w:p>
    <w:p>
      <w:pPr>
        <w:pStyle w:val="ListBullet"/>
      </w:pPr>
      <w:r>
        <w:t>Instructional practices include structure and support to provide all learners with access to rigorous learning opportunities.</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2.4.</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2.5</w:t>
      </w:r>
    </w:p>
    <w:p>
      <w:pPr>
        <w:pStyle w:val="Heading7"/>
      </w:pPr>
      <w:r>
        <w:rPr>
          <w:b/>
          <w:color w:val="457582"/>
        </w:rPr>
        <w:t>PRINCIPLE STATEMENT</w:t>
      </w:r>
    </w:p>
    <w:p>
      <w:pPr/>
      <w:r>
        <w:t xml:space="preserve">Students are active learners who have opportunities to lead their learning.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Active learning includes student agency through meaningful, relevant, and self-initiated learning experiences.</w:t>
      </w:r>
    </w:p>
    <w:p>
      <w:pPr>
        <w:pStyle w:val="ListBullet"/>
      </w:pPr>
      <w:r>
        <w:t>Active learning includes opportunities for students to set goals and reflect upon the results to guide learning.</w:t>
      </w:r>
    </w:p>
    <w:p>
      <w:pPr>
        <w:pStyle w:val="ListBullet"/>
      </w:pPr>
      <w:r>
        <w:t>Active learning includes application of knowledge and skills to authentic tasks.</w:t>
      </w:r>
    </w:p>
    <w:p>
      <w:pPr>
        <w:pStyle w:val="ListBullet"/>
      </w:pPr>
      <w:r>
        <w:t>Active learning includes pursuit of personal interests and opportunities for creative expression.</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2.5.</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2.6</w:t>
      </w:r>
    </w:p>
    <w:p>
      <w:pPr>
        <w:pStyle w:val="Heading7"/>
      </w:pPr>
      <w:r>
        <w:rPr>
          <w:b/>
          <w:color w:val="457582"/>
        </w:rPr>
        <w:t>PRINCIPLE STATEMENT</w:t>
      </w:r>
    </w:p>
    <w:p>
      <w:pPr/>
      <w:r>
        <w:t xml:space="preserve">Learners regularly engage in inquiry, problem-solving, and higher order thinking skills.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Learners engage in deliberately designed learning and assessment experiences that are cognitively challenging and require learners to develop and exercise a full range of thinking skills and learning dispositions.</w:t>
      </w:r>
    </w:p>
    <w:p>
      <w:pPr>
        <w:pStyle w:val="ListBullet"/>
      </w:pPr>
      <w:r>
        <w:t>Learners engage in analysis, synthesis, creativity, making connections, and understanding relationships.</w:t>
      </w:r>
    </w:p>
    <w:p>
      <w:pPr>
        <w:pStyle w:val="ListBullet"/>
      </w:pPr>
      <w:r>
        <w:t>Learners engage in investigation and examination.</w:t>
      </w:r>
    </w:p>
    <w:p>
      <w:pPr>
        <w:pStyle w:val="ListBullet"/>
      </w:pPr>
      <w:r>
        <w:t>Learners engage in critical and creative thinking.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2.6.</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2.7</w:t>
      </w:r>
    </w:p>
    <w:p>
      <w:pPr>
        <w:pStyle w:val="Heading7"/>
      </w:pPr>
      <w:r>
        <w:rPr>
          <w:b/>
          <w:color w:val="457582"/>
        </w:rPr>
        <w:t>PRINCIPLE STATEMENT</w:t>
      </w:r>
    </w:p>
    <w:p>
      <w:pPr/>
      <w:r>
        <w:t xml:space="preserve">Learners experience a wide range of assessment practices to support and improve learning.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Effective assessment practices include formative and summative assessments to gather information about student progress and inform instruction.</w:t>
      </w:r>
    </w:p>
    <w:p>
      <w:pPr>
        <w:pStyle w:val="ListBullet"/>
      </w:pPr>
      <w:r>
        <w:t>Effective assessment practices include common assessments that ensure consistent and equitable learning opportunities across grades and courses.</w:t>
      </w:r>
    </w:p>
    <w:p>
      <w:pPr>
        <w:pStyle w:val="ListBullet"/>
      </w:pPr>
      <w:r>
        <w:t>Effective assessment practices include specific and measurable criteria for success provided to learners before assessments.</w:t>
      </w:r>
    </w:p>
    <w:p>
      <w:pPr>
        <w:pStyle w:val="ListBullet"/>
      </w:pPr>
      <w:r>
        <w:t>Effective assessment practices include regular and consistent checks for understanding in ways that engage every learner’s thinking including self-assessment.</w:t>
      </w:r>
    </w:p>
    <w:p>
      <w:pPr>
        <w:pStyle w:val="ListBullet"/>
      </w:pPr>
      <w:r>
        <w:t>Effective assessment practices include presentations of learning to authentic audiences, including students, families, community members, and professionals.</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2.7.</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2.8</w:t>
      </w:r>
    </w:p>
    <w:p>
      <w:pPr>
        <w:pStyle w:val="Heading7"/>
      </w:pPr>
      <w:r>
        <w:rPr>
          <w:b/>
          <w:color w:val="457582"/>
        </w:rPr>
        <w:t>PRINCIPLE STATEMENT</w:t>
      </w:r>
    </w:p>
    <w:p>
      <w:pPr/>
      <w:r>
        <w:t xml:space="preserve">Learners have multiple opportunities to demonstrate their learning, receive corrective feedback, and use this feedback in meaningful ways to support their learning.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Learners are provided with multiple and varied opportunities over time to demonstrate their learning.</w:t>
      </w:r>
    </w:p>
    <w:p>
      <w:pPr>
        <w:pStyle w:val="ListBullet"/>
      </w:pPr>
      <w:r>
        <w:t>Learners are provided with consistent, systematic, specific, and timely corrective feedback.</w:t>
      </w:r>
    </w:p>
    <w:p>
      <w:pPr>
        <w:pStyle w:val="ListBullet"/>
      </w:pPr>
      <w:r>
        <w:t>Learners are provided with opportunities and time necessary to revise and improve their work.</w:t>
      </w:r>
    </w:p>
    <w:p>
      <w:pPr>
        <w:pStyle w:val="ListBullet"/>
      </w:pPr>
      <w:r>
        <w:t>Learners are provided with teacher and peer feedback and self-reflection to guide next steps in learning.</w:t>
      </w:r>
    </w:p>
    <w:p>
      <w:pPr>
        <w:pStyle w:val="ListBullet"/>
      </w:pPr>
      <w:r>
        <w:t>Learners are provided with separate grading, reporting, and feedback on work habits and academic skills.</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2.8.</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2.9</w:t>
      </w:r>
    </w:p>
    <w:p>
      <w:pPr>
        <w:pStyle w:val="Heading7"/>
      </w:pPr>
      <w:r>
        <w:rPr>
          <w:b/>
          <w:color w:val="457582"/>
        </w:rPr>
        <w:t>PRINCIPLE STATEMENT</w:t>
      </w:r>
    </w:p>
    <w:p>
      <w:pPr/>
      <w:r>
        <w:t xml:space="preserve">Learners use technology across all curricular areas to support, enhance, and demonstrate their learning.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Learners use technology in informed, effective, and ethical ways to access, support, document, and supplement their learning.</w:t>
      </w:r>
    </w:p>
    <w:p>
      <w:pPr>
        <w:pStyle w:val="ListBullet"/>
      </w:pPr>
      <w:r>
        <w:t>Learners use technology in informed, effective, and ethical ways to research, create, and problem-solve.</w:t>
      </w:r>
    </w:p>
    <w:p>
      <w:pPr>
        <w:pStyle w:val="ListBullet"/>
      </w:pPr>
      <w:r>
        <w:t>Learners use technology in informed, effective, and ethical ways to personalize the pace of learning.</w:t>
      </w:r>
    </w:p>
    <w:p>
      <w:pPr>
        <w:pStyle w:val="ListBullet"/>
      </w:pPr>
      <w:r>
        <w:t>Learners use technology in informed, effective, and ethical ways to share work with an audience beyond the school community.</w:t>
      </w:r>
    </w:p>
    <w:p>
      <w:pPr>
        <w:pStyle w:val="ListBullet"/>
      </w:pPr>
      <w:r>
        <w:t>Learners use technology in informed, effective, and ethical ways to collaborate digitally to support learning.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2.9.</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1"/>
      </w:pPr>
      <w:r>
        <w:rPr>
          <w:b/>
        </w:rPr>
        <w:t>Standard 2 Strengths</w:t>
      </w:r>
    </w:p>
    <w:p>
      <w:pPr/>
      <w:r>
        <w:rPr>
          <w:i/>
          <w:color w:val="457582"/>
        </w:rPr>
        <w:t>(Using the language of the principles and descriptors, summarize the key strengths across Standard 2.)</w:t>
      </w:r>
    </w:p>
    <w:p>
      <w:pPr>
        <w:pStyle w:val="Heading1"/>
      </w:pPr>
      <w:r>
        <w:rPr>
          <w:b/>
        </w:rPr>
        <w:t>Standard 2 Areas of Growth</w:t>
      </w:r>
    </w:p>
    <w:p>
      <w:pPr/>
      <w:r>
        <w:rPr>
          <w:i/>
          <w:color w:val="457582"/>
        </w:rPr>
        <w:t>(Using the language of the principles and descriptors, summarize the key areas of growth across Standard 2.)</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Standard 2: Student Learning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8AB95A6E-8F19-4EAF-BB66-835B66CD6191}"/>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