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COMPLETION CHECKLIST</w:t>
      </w:r>
    </w:p>
    <w:p>
      <w:pPr>
        <w:pStyle w:val="Title"/>
      </w:pPr>
      <w:r>
        <w:rPr>
          <w:b/>
        </w:rPr>
        <w:t>Self-Reflection Report</w:t>
      </w:r>
    </w:p>
    <w:p>
      <w:pPr>
        <w:pStyle w:val="Subtitle"/>
      </w:pPr>
      <w:r>
        <w:rPr>
          <w:i/>
        </w:rPr>
        <w:t>Complete before the Collaborative Conference Visit  ·  For the Steering Committee</w:t>
      </w:r>
    </w:p>
    <w:p>
      <w:pPr>
        <w:pStyle w:val="Heading1"/>
      </w:pPr>
      <w:r>
        <w:rPr>
          <w:b/>
        </w:rPr>
        <w:t>How to Use This Checklist</w:t>
      </w:r>
    </w:p>
    <w:p>
      <w:pPr>
        <w:pStyle w:val="ListNumber"/>
      </w:pPr>
      <w:r>
        <w:t xml:space="preserve">Use this checklist to confirm that </w:t>
      </w:r>
      <w:r>
        <w:rPr>
          <w:b/>
        </w:rPr>
        <w:t>every section of your Self-Reflection Report is complete</w:t>
      </w:r>
      <w:r>
        <w:t xml:space="preserve"> before the principal submits it.</w:t>
      </w:r>
    </w:p>
    <w:p>
      <w:pPr>
        <w:pStyle w:val="ListNumber"/>
      </w:pPr>
      <w:r>
        <w:t xml:space="preserve">All sections are </w:t>
      </w:r>
      <w:r>
        <w:rPr>
          <w:b/>
        </w:rPr>
        <w:t>required</w:t>
      </w:r>
      <w:r>
        <w:t xml:space="preserve"> unless they are marked otherwise. Sections marked </w:t>
      </w:r>
      <w:r>
        <w:rPr>
          <w:b/>
          <w:color w:val="457582"/>
        </w:rPr>
        <w:t>OPTIONAL</w:t>
      </w:r>
      <w:r>
        <w:t xml:space="preserve"> or </w:t>
      </w:r>
      <w:r>
        <w:rPr>
          <w:b/>
          <w:color w:val="457582"/>
        </w:rPr>
        <w:t>IF APPLICABLE</w:t>
      </w:r>
      <w:r>
        <w:t xml:space="preserve"> depend on your school’s circumstances.</w:t>
      </w:r>
    </w:p>
    <w:p>
      <w:pPr>
        <w:pStyle w:val="ListNumber"/>
      </w:pPr>
      <w:r>
        <w:t>Work through the checklist with your Steering Committee, and check each box as the section is finished and entered in the portal.</w:t>
      </w:r>
    </w:p>
    <w:tbl>
      <w:tblPr>
        <w:tblStyle w:val="GridTable1Light"/>
        <w:tblW w:type="auto" w:w="0"/>
        <w:tblLayout w:type="fixed"/>
        <w:tblLook w:firstColumn="0" w:firstRow="1" w:lastColumn="0" w:lastRow="0" w:noHBand="0" w:noVBand="1" w:val="04A0"/>
      </w:tblPr>
      <w:tblGrid>
        <w:gridCol w:w="9360"/>
      </w:tblGrid>
      <w:tr>
        <w:trPr>
          <w:tblHeader/>
        </w:trPr>
        <w:tc>
          <w:tcPr>
            <w:tcW w:type="dxa" w:w="9360"/>
            <w:shd w:val="clear" w:color="auto" w:fill="F3F4F6"/>
          </w:tcPr>
          <w:p>
            <w:pPr>
              <w:pStyle w:val="Heading6"/>
            </w:pPr>
            <w:r/>
            <w:r>
              <w:rPr>
                <w:b/>
                <w:color w:val="457582"/>
              </w:rPr>
              <w:t>IF YOUR SCHOOL IS NOT A CTE CENTER OR DOES NOT HAVE CTE PROGRAMS</w:t>
            </w:r>
          </w:p>
          <w:p>
            <w:pPr>
              <w:pStyle w:val="Heading6"/>
            </w:pPr>
            <w:r>
              <w:rPr>
                <w:i/>
              </w:rPr>
              <w:t>Discuss this with your NEASC staff liaison first. Once your liaison confirms that the career and technical education sections do not apply to your school, you do not need to complete the CTE Program Reports.</w:t>
            </w:r>
          </w:p>
        </w:tc>
      </w:tr>
    </w:tbl>
    <w:p/>
    <w:p>
      <w:pPr>
        <w:pStyle w:val="Heading1"/>
      </w:pPr>
      <w:r>
        <w:rPr>
          <w:b/>
        </w:rPr>
        <w:t>Report Sections</w:t>
      </w:r>
    </w:p>
    <w:tbl>
      <w:tblPr>
        <w:tblStyle w:val="GridTable1Light"/>
        <w:tblW w:type="auto" w:w="0"/>
        <w:tblLayout w:type="fixed"/>
        <w:tblLook w:firstColumn="0" w:firstRow="1" w:lastColumn="0" w:lastRow="0" w:noHBand="0" w:noVBand="1" w:val="04A0"/>
      </w:tblPr>
      <w:tblGrid>
        <w:gridCol w:w="560"/>
        <w:gridCol w:w="3100"/>
        <w:gridCol w:w="5700"/>
      </w:tblGrid>
      <w:tr>
        <w:trPr>
          <w:tblHeader/>
        </w:trPr>
        <w:tc>
          <w:tcPr>
            <w:tcW w:type="dxa" w:w="560"/>
            <w:shd w:val="clear" w:color="auto" w:fill="80001A"/>
          </w:tcPr>
          <w:p>
            <w:pPr>
              <w:pStyle w:val="Heading6"/>
            </w:pPr>
            <w:r/>
            <w:r>
              <w:rPr>
                <w:b/>
              </w:rPr>
              <w:t>✓</w:t>
            </w:r>
          </w:p>
        </w:tc>
        <w:tc>
          <w:tcPr>
            <w:tcW w:type="dxa" w:w="3100"/>
            <w:shd w:val="clear" w:color="auto" w:fill="80001A"/>
          </w:tcPr>
          <w:p>
            <w:pPr>
              <w:pStyle w:val="Heading6"/>
            </w:pPr>
            <w:r/>
            <w:r>
              <w:rPr>
                <w:b/>
              </w:rPr>
              <w:t>Section</w:t>
            </w:r>
          </w:p>
        </w:tc>
        <w:tc>
          <w:tcPr>
            <w:tcW w:type="dxa" w:w="5700"/>
            <w:shd w:val="clear" w:color="auto" w:fill="80001A"/>
          </w:tcPr>
          <w:p>
            <w:pPr>
              <w:pStyle w:val="Heading6"/>
            </w:pPr>
            <w:r/>
            <w:r>
              <w:rPr>
                <w:b/>
              </w:rPr>
              <w:t>What this section is</w:t>
            </w:r>
          </w:p>
        </w:tc>
      </w:tr>
      <w:tr>
        <w:tc>
          <w:tcPr>
            <w:tcW w:type="dxa" w:w="9360"/>
            <w:gridSpan w:val="3"/>
            <w:shd w:val="clear" w:color="auto" w:fill="F3F4F6"/>
          </w:tcPr>
          <w:p>
            <w:pPr>
              <w:pStyle w:val="Heading6"/>
            </w:pPr>
            <w:r/>
            <w:r>
              <w:rPr>
                <w:b/>
              </w:rPr>
              <w:t>Getting Started</w:t>
            </w:r>
          </w:p>
        </w:tc>
      </w:tr>
      <w:tr>
        <w:tc>
          <w:tcPr>
            <w:tcW w:type="dxa" w:w="560"/>
          </w:tcPr>
          <w:p>
            <w:pPr>
              <w:pStyle w:val="TableText"/>
            </w:pPr>
            <w:r/>
            <w:r>
              <w:t>☐</w:t>
            </w:r>
          </w:p>
        </w:tc>
        <w:tc>
          <w:tcPr>
            <w:tcW w:type="dxa" w:w="3100"/>
          </w:tcPr>
          <w:p>
            <w:pPr>
              <w:pStyle w:val="TableText"/>
            </w:pPr>
            <w:r/>
            <w:r>
              <w:rPr>
                <w:b/>
              </w:rPr>
              <w:t>Cover page</w:t>
            </w:r>
          </w:p>
        </w:tc>
        <w:tc>
          <w:tcPr>
            <w:tcW w:type="dxa" w:w="5700"/>
          </w:tcPr>
          <w:p>
            <w:pPr>
              <w:pStyle w:val="TableText"/>
            </w:pPr>
            <w:r/>
            <w:r>
              <w:t>School name, city and state, visit dates, and principal’s name are entered.</w:t>
            </w:r>
          </w:p>
        </w:tc>
      </w:tr>
      <w:tr>
        <w:tc>
          <w:tcPr>
            <w:tcW w:type="dxa" w:w="9360"/>
            <w:gridSpan w:val="3"/>
            <w:shd w:val="clear" w:color="auto" w:fill="F3F4F6"/>
          </w:tcPr>
          <w:p>
            <w:pPr>
              <w:pStyle w:val="Heading6"/>
            </w:pPr>
            <w:r/>
            <w:r>
              <w:rPr>
                <w:b/>
              </w:rPr>
              <w:t>Front Sections</w:t>
            </w:r>
          </w:p>
        </w:tc>
      </w:tr>
      <w:tr>
        <w:tc>
          <w:tcPr>
            <w:tcW w:type="dxa" w:w="560"/>
          </w:tcPr>
          <w:p>
            <w:pPr>
              <w:pStyle w:val="TableText"/>
            </w:pPr>
            <w:r/>
            <w:r>
              <w:t>☐</w:t>
            </w:r>
          </w:p>
        </w:tc>
        <w:tc>
          <w:tcPr>
            <w:tcW w:type="dxa" w:w="3100"/>
          </w:tcPr>
          <w:p>
            <w:pPr>
              <w:pStyle w:val="TableText"/>
            </w:pPr>
            <w:r/>
            <w:r>
              <w:rPr>
                <w:b/>
              </w:rPr>
              <w:t>School and Community Summary</w:t>
            </w:r>
          </w:p>
        </w:tc>
        <w:tc>
          <w:tcPr>
            <w:tcW w:type="dxa" w:w="5700"/>
          </w:tcPr>
          <w:p>
            <w:pPr>
              <w:pStyle w:val="TableText"/>
            </w:pPr>
            <w:r/>
            <w:r>
              <w:t>A 750 to 1,500 word narrative giving the visiting team context about the school, its location, and its place in the community. Written by the Steering Committee.</w:t>
            </w:r>
          </w:p>
        </w:tc>
      </w:tr>
      <w:tr>
        <w:tc>
          <w:tcPr>
            <w:tcW w:type="dxa" w:w="560"/>
            <w:shd w:val="clear" w:color="auto" w:fill="F3F4F6"/>
          </w:tcPr>
          <w:p>
            <w:pPr>
              <w:pStyle w:val="TableText"/>
            </w:pPr>
            <w:r/>
            <w:r>
              <w:t>☐</w:t>
            </w:r>
          </w:p>
        </w:tc>
        <w:tc>
          <w:tcPr>
            <w:tcW w:type="dxa" w:w="3100"/>
            <w:shd w:val="clear" w:color="auto" w:fill="F3F4F6"/>
          </w:tcPr>
          <w:p>
            <w:pPr>
              <w:pStyle w:val="TableText"/>
            </w:pPr>
            <w:r/>
            <w:r>
              <w:rPr>
                <w:b/>
              </w:rPr>
              <w:t>Core Values, Beliefs about Learning, and Vision of a Learner</w:t>
            </w:r>
          </w:p>
        </w:tc>
        <w:tc>
          <w:tcPr>
            <w:tcW w:type="dxa" w:w="5700"/>
            <w:shd w:val="clear" w:color="auto" w:fill="F3F4F6"/>
          </w:tcPr>
          <w:p>
            <w:pPr>
              <w:pStyle w:val="TableText"/>
            </w:pPr>
            <w:r/>
            <w:r>
              <w:t>The text of the school’s current, adopted guiding documents, pasted in exactly as approved. A graphic may be linked, but not in place of the text.</w:t>
            </w:r>
          </w:p>
        </w:tc>
      </w:tr>
      <w:tr>
        <w:tc>
          <w:tcPr>
            <w:tcW w:type="dxa" w:w="9360"/>
            <w:gridSpan w:val="3"/>
            <w:shd w:val="clear" w:color="auto" w:fill="F3F4F6"/>
          </w:tcPr>
          <w:p>
            <w:pPr>
              <w:pStyle w:val="Heading6"/>
            </w:pPr>
            <w:r/>
            <w:r>
              <w:rPr>
                <w:b/>
              </w:rPr>
              <w:t>Part 1: A Look Back</w:t>
            </w:r>
          </w:p>
        </w:tc>
      </w:tr>
      <w:tr>
        <w:tc>
          <w:tcPr>
            <w:tcW w:type="dxa" w:w="560"/>
          </w:tcPr>
          <w:p>
            <w:pPr>
              <w:pStyle w:val="TableText"/>
            </w:pPr>
            <w:r/>
            <w:r>
              <w:t>☐</w:t>
            </w:r>
          </w:p>
        </w:tc>
        <w:tc>
          <w:tcPr>
            <w:tcW w:type="dxa" w:w="3100"/>
          </w:tcPr>
          <w:p>
            <w:pPr>
              <w:pStyle w:val="TableText"/>
            </w:pPr>
            <w:r/>
            <w:r>
              <w:rPr>
                <w:b/>
              </w:rPr>
              <w:t>Part 1: A Look Back</w:t>
            </w:r>
          </w:p>
        </w:tc>
        <w:tc>
          <w:tcPr>
            <w:tcW w:type="dxa" w:w="5700"/>
          </w:tcPr>
          <w:p>
            <w:pPr>
              <w:pStyle w:val="TableText"/>
            </w:pPr>
            <w:r/>
            <w:r>
              <w:t>A brief narrative on recent goals, milestones, and what has changed since the last Decennial Visit, including previous recommendations still a priority. Written by the Steering Committee.</w:t>
            </w:r>
          </w:p>
        </w:tc>
      </w:tr>
      <w:tr>
        <w:tc>
          <w:tcPr>
            <w:tcW w:type="dxa" w:w="9360"/>
            <w:gridSpan w:val="3"/>
            <w:shd w:val="clear" w:color="auto" w:fill="F3F4F6"/>
          </w:tcPr>
          <w:p>
            <w:pPr>
              <w:pStyle w:val="Heading6"/>
            </w:pPr>
            <w:r/>
            <w:r>
              <w:rPr>
                <w:b/>
              </w:rPr>
              <w:t>Part 2: Current Conditions (Foundational Elements)</w:t>
            </w:r>
          </w:p>
        </w:tc>
      </w:tr>
      <w:tr>
        <w:tc>
          <w:tcPr>
            <w:tcW w:type="dxa" w:w="560"/>
          </w:tcPr>
          <w:p>
            <w:pPr>
              <w:pStyle w:val="TableText"/>
            </w:pPr>
            <w:r/>
            <w:r>
              <w:t>☐</w:t>
            </w:r>
          </w:p>
        </w:tc>
        <w:tc>
          <w:tcPr>
            <w:tcW w:type="dxa" w:w="3100"/>
          </w:tcPr>
          <w:p>
            <w:pPr>
              <w:pStyle w:val="TableText"/>
            </w:pPr>
            <w:r/>
            <w:r>
              <w:rPr>
                <w:b/>
              </w:rPr>
              <w:t>Foundational Element 1.1a</w:t>
            </w:r>
          </w:p>
        </w:tc>
        <w:tc>
          <w:tcPr>
            <w:tcW w:type="dxa" w:w="5700"/>
          </w:tcPr>
          <w:p>
            <w:pPr>
              <w:pStyle w:val="TableText"/>
            </w:pPr>
            <w:r/>
            <w:r>
              <w:t>A narrative with a Meets or Does Not Meet rating for the socially and emotionally safe environment.</w:t>
            </w:r>
          </w:p>
        </w:tc>
      </w:tr>
      <w:tr>
        <w:tc>
          <w:tcPr>
            <w:tcW w:type="dxa" w:w="560"/>
            <w:shd w:val="clear" w:color="auto" w:fill="F3F4F6"/>
          </w:tcPr>
          <w:p>
            <w:pPr>
              <w:pStyle w:val="TableText"/>
            </w:pPr>
            <w:r/>
            <w:r>
              <w:t>☐</w:t>
            </w:r>
          </w:p>
        </w:tc>
        <w:tc>
          <w:tcPr>
            <w:tcW w:type="dxa" w:w="3100"/>
            <w:shd w:val="clear" w:color="auto" w:fill="F3F4F6"/>
          </w:tcPr>
          <w:p>
            <w:pPr>
              <w:pStyle w:val="TableText"/>
            </w:pPr>
            <w:r/>
            <w:r>
              <w:rPr>
                <w:b/>
              </w:rPr>
              <w:t>Foundational Element 1.2a</w:t>
            </w:r>
          </w:p>
        </w:tc>
        <w:tc>
          <w:tcPr>
            <w:tcW w:type="dxa" w:w="5700"/>
            <w:shd w:val="clear" w:color="auto" w:fill="F3F4F6"/>
          </w:tcPr>
          <w:p>
            <w:pPr>
              <w:pStyle w:val="TableText"/>
            </w:pPr>
            <w:r/>
            <w:r>
              <w:t>A narrative with a rating for the written core values, beliefs about learning, and vision of a learner.</w:t>
            </w:r>
          </w:p>
        </w:tc>
      </w:tr>
      <w:tr>
        <w:tc>
          <w:tcPr>
            <w:tcW w:type="dxa" w:w="560"/>
          </w:tcPr>
          <w:p>
            <w:pPr>
              <w:pStyle w:val="TableText"/>
            </w:pPr>
            <w:r/>
            <w:r>
              <w:t>☐</w:t>
            </w:r>
          </w:p>
        </w:tc>
        <w:tc>
          <w:tcPr>
            <w:tcW w:type="dxa" w:w="3100"/>
          </w:tcPr>
          <w:p>
            <w:pPr>
              <w:pStyle w:val="TableText"/>
            </w:pPr>
            <w:r/>
            <w:r>
              <w:rPr>
                <w:b/>
              </w:rPr>
              <w:t>Foundational Element 2.2a</w:t>
            </w:r>
          </w:p>
        </w:tc>
        <w:tc>
          <w:tcPr>
            <w:tcW w:type="dxa" w:w="5700"/>
          </w:tcPr>
          <w:p>
            <w:pPr>
              <w:pStyle w:val="TableText"/>
            </w:pPr>
            <w:r/>
            <w:r>
              <w:t>A narrative with a rating for written curriculum documents for all courses.</w:t>
            </w:r>
          </w:p>
        </w:tc>
      </w:tr>
      <w:tr>
        <w:tc>
          <w:tcPr>
            <w:tcW w:type="dxa" w:w="560"/>
            <w:shd w:val="clear" w:color="auto" w:fill="F3F4F6"/>
          </w:tcPr>
          <w:p>
            <w:pPr>
              <w:pStyle w:val="TableText"/>
            </w:pPr>
            <w:r/>
            <w:r>
              <w:t>☐</w:t>
            </w:r>
          </w:p>
        </w:tc>
        <w:tc>
          <w:tcPr>
            <w:tcW w:type="dxa" w:w="3100"/>
            <w:shd w:val="clear" w:color="auto" w:fill="F3F4F6"/>
          </w:tcPr>
          <w:p>
            <w:pPr>
              <w:pStyle w:val="TableText"/>
            </w:pPr>
            <w:r/>
            <w:r>
              <w:rPr>
                <w:b/>
              </w:rPr>
              <w:t>Foundational Element 3.1a</w:t>
            </w:r>
          </w:p>
        </w:tc>
        <w:tc>
          <w:tcPr>
            <w:tcW w:type="dxa" w:w="5700"/>
            <w:shd w:val="clear" w:color="auto" w:fill="F3F4F6"/>
          </w:tcPr>
          <w:p>
            <w:pPr>
              <w:pStyle w:val="TableText"/>
            </w:pPr>
            <w:r/>
            <w:r>
              <w:t>A narrative with a rating for the current school growth/improvement plan.</w:t>
            </w:r>
          </w:p>
        </w:tc>
      </w:tr>
      <w:tr>
        <w:tc>
          <w:tcPr>
            <w:tcW w:type="dxa" w:w="560"/>
          </w:tcPr>
          <w:p>
            <w:pPr>
              <w:pStyle w:val="TableText"/>
            </w:pPr>
            <w:r/>
            <w:r>
              <w:t>☐</w:t>
            </w:r>
          </w:p>
        </w:tc>
        <w:tc>
          <w:tcPr>
            <w:tcW w:type="dxa" w:w="3100"/>
          </w:tcPr>
          <w:p>
            <w:pPr>
              <w:pStyle w:val="TableText"/>
            </w:pPr>
            <w:r/>
            <w:r>
              <w:rPr>
                <w:b/>
              </w:rPr>
              <w:t>Foundational Element 3.6a</w:t>
            </w:r>
          </w:p>
          <w:p>
            <w:pPr>
              <w:pStyle w:val="Heading7"/>
            </w:pPr>
            <w:r>
              <w:rPr>
                <w:b/>
                <w:color w:val="457582"/>
              </w:rPr>
              <w:t>IF APPLICABLE: CTE PROGRAMS</w:t>
            </w:r>
          </w:p>
        </w:tc>
        <w:tc>
          <w:tcPr>
            <w:tcW w:type="dxa" w:w="5700"/>
          </w:tcPr>
          <w:p>
            <w:pPr>
              <w:pStyle w:val="TableText"/>
            </w:pPr>
            <w:r/>
            <w:r>
              <w:t>A narrative with a rating for CTE program advisory committees and program review.</w:t>
            </w:r>
          </w:p>
        </w:tc>
      </w:tr>
      <w:tr>
        <w:tc>
          <w:tcPr>
            <w:tcW w:type="dxa" w:w="560"/>
            <w:shd w:val="clear" w:color="auto" w:fill="F3F4F6"/>
          </w:tcPr>
          <w:p>
            <w:pPr>
              <w:pStyle w:val="TableText"/>
            </w:pPr>
            <w:r/>
            <w:r>
              <w:t>☐</w:t>
            </w:r>
          </w:p>
        </w:tc>
        <w:tc>
          <w:tcPr>
            <w:tcW w:type="dxa" w:w="3100"/>
            <w:shd w:val="clear" w:color="auto" w:fill="F3F4F6"/>
          </w:tcPr>
          <w:p>
            <w:pPr>
              <w:pStyle w:val="TableText"/>
            </w:pPr>
            <w:r/>
            <w:r>
              <w:rPr>
                <w:b/>
              </w:rPr>
              <w:t>Foundational Element 4.1a</w:t>
            </w:r>
          </w:p>
        </w:tc>
        <w:tc>
          <w:tcPr>
            <w:tcW w:type="dxa" w:w="5700"/>
            <w:shd w:val="clear" w:color="auto" w:fill="F3F4F6"/>
          </w:tcPr>
          <w:p>
            <w:pPr>
              <w:pStyle w:val="TableText"/>
            </w:pPr>
            <w:r/>
            <w:r>
              <w:t>A narrative with a rating for intervention strategies designed to support learners.</w:t>
            </w:r>
          </w:p>
        </w:tc>
      </w:tr>
      <w:tr>
        <w:tc>
          <w:tcPr>
            <w:tcW w:type="dxa" w:w="560"/>
          </w:tcPr>
          <w:p>
            <w:pPr>
              <w:pStyle w:val="TableText"/>
            </w:pPr>
            <w:r/>
            <w:r>
              <w:t>☐</w:t>
            </w:r>
          </w:p>
        </w:tc>
        <w:tc>
          <w:tcPr>
            <w:tcW w:type="dxa" w:w="3100"/>
          </w:tcPr>
          <w:p>
            <w:pPr>
              <w:pStyle w:val="TableText"/>
            </w:pPr>
            <w:r/>
            <w:r>
              <w:rPr>
                <w:b/>
              </w:rPr>
              <w:t>Foundational Element 5.1a</w:t>
            </w:r>
          </w:p>
        </w:tc>
        <w:tc>
          <w:tcPr>
            <w:tcW w:type="dxa" w:w="5700"/>
          </w:tcPr>
          <w:p>
            <w:pPr>
              <w:pStyle w:val="TableText"/>
            </w:pPr>
            <w:r/>
            <w:r>
              <w:t>A narrative with a rating for the school site and plant.</w:t>
            </w:r>
          </w:p>
        </w:tc>
      </w:tr>
      <w:tr>
        <w:tc>
          <w:tcPr>
            <w:tcW w:type="dxa" w:w="560"/>
            <w:shd w:val="clear" w:color="auto" w:fill="F3F4F6"/>
          </w:tcPr>
          <w:p>
            <w:pPr>
              <w:pStyle w:val="TableText"/>
            </w:pPr>
            <w:r/>
            <w:r>
              <w:t>☐</w:t>
            </w:r>
          </w:p>
        </w:tc>
        <w:tc>
          <w:tcPr>
            <w:tcW w:type="dxa" w:w="3100"/>
            <w:shd w:val="clear" w:color="auto" w:fill="F3F4F6"/>
          </w:tcPr>
          <w:p>
            <w:pPr>
              <w:pStyle w:val="TableText"/>
            </w:pPr>
            <w:r/>
            <w:r>
              <w:rPr>
                <w:b/>
              </w:rPr>
              <w:t>Foundational Element 5.5a</w:t>
            </w:r>
          </w:p>
        </w:tc>
        <w:tc>
          <w:tcPr>
            <w:tcW w:type="dxa" w:w="5700"/>
            <w:shd w:val="clear" w:color="auto" w:fill="F3F4F6"/>
          </w:tcPr>
          <w:p>
            <w:pPr>
              <w:pStyle w:val="TableText"/>
            </w:pPr>
            <w:r/>
            <w:r>
              <w:t>A narrative with a rating for the physically safe environment.</w:t>
            </w:r>
          </w:p>
        </w:tc>
      </w:tr>
      <w:tr>
        <w:tc>
          <w:tcPr>
            <w:tcW w:type="dxa" w:w="9360"/>
            <w:gridSpan w:val="3"/>
            <w:shd w:val="clear" w:color="auto" w:fill="F3F4F6"/>
          </w:tcPr>
          <w:p>
            <w:pPr>
              <w:pStyle w:val="Heading6"/>
            </w:pPr>
            <w:r/>
            <w:r>
              <w:rPr>
                <w:b/>
              </w:rPr>
              <w:t>Part 2: Current Conditions (Standards)</w:t>
            </w:r>
          </w:p>
        </w:tc>
      </w:tr>
      <w:tr>
        <w:tc>
          <w:tcPr>
            <w:tcW w:type="dxa" w:w="560"/>
          </w:tcPr>
          <w:p>
            <w:pPr>
              <w:pStyle w:val="TableText"/>
            </w:pPr>
            <w:r/>
            <w:r>
              <w:t>☐</w:t>
            </w:r>
          </w:p>
        </w:tc>
        <w:tc>
          <w:tcPr>
            <w:tcW w:type="dxa" w:w="3100"/>
          </w:tcPr>
          <w:p>
            <w:pPr>
              <w:pStyle w:val="TableText"/>
            </w:pPr>
            <w:r/>
            <w:r>
              <w:rPr>
                <w:b/>
              </w:rPr>
              <w:t>Standard 1: Learning Culture</w:t>
            </w:r>
          </w:p>
        </w:tc>
        <w:tc>
          <w:tcPr>
            <w:tcW w:type="dxa" w:w="5700"/>
          </w:tcPr>
          <w:p>
            <w:pPr>
              <w:pStyle w:val="TableText"/>
            </w:pPr>
            <w:r/>
            <w:r>
              <w:t>All seven Principles have a narrative and a phase rating, plus Standard-level Strengths and Areas of Growth.</w:t>
            </w:r>
          </w:p>
        </w:tc>
      </w:tr>
      <w:tr>
        <w:tc>
          <w:tcPr>
            <w:tcW w:type="dxa" w:w="560"/>
            <w:shd w:val="clear" w:color="auto" w:fill="F3F4F6"/>
          </w:tcPr>
          <w:p>
            <w:pPr>
              <w:pStyle w:val="TableText"/>
            </w:pPr>
            <w:r/>
            <w:r>
              <w:t>☐</w:t>
            </w:r>
          </w:p>
        </w:tc>
        <w:tc>
          <w:tcPr>
            <w:tcW w:type="dxa" w:w="3100"/>
            <w:shd w:val="clear" w:color="auto" w:fill="F3F4F6"/>
          </w:tcPr>
          <w:p>
            <w:pPr>
              <w:pStyle w:val="TableText"/>
            </w:pPr>
            <w:r/>
            <w:r>
              <w:rPr>
                <w:b/>
              </w:rPr>
              <w:t>Standard 2: Student Learning</w:t>
            </w:r>
          </w:p>
        </w:tc>
        <w:tc>
          <w:tcPr>
            <w:tcW w:type="dxa" w:w="5700"/>
            <w:shd w:val="clear" w:color="auto" w:fill="F3F4F6"/>
          </w:tcPr>
          <w:p>
            <w:pPr>
              <w:pStyle w:val="TableText"/>
            </w:pPr>
            <w:r/>
            <w:r>
              <w:t>All nine Principles have a narrative and a phase rating, plus Standard-level Strengths and Areas of Growth.</w:t>
            </w:r>
          </w:p>
        </w:tc>
      </w:tr>
      <w:tr>
        <w:tc>
          <w:tcPr>
            <w:tcW w:type="dxa" w:w="560"/>
          </w:tcPr>
          <w:p>
            <w:pPr>
              <w:pStyle w:val="TableText"/>
            </w:pPr>
            <w:r/>
            <w:r>
              <w:t>☐</w:t>
            </w:r>
          </w:p>
        </w:tc>
        <w:tc>
          <w:tcPr>
            <w:tcW w:type="dxa" w:w="3100"/>
          </w:tcPr>
          <w:p>
            <w:pPr>
              <w:pStyle w:val="TableText"/>
            </w:pPr>
            <w:r/>
            <w:r>
              <w:rPr>
                <w:b/>
              </w:rPr>
              <w:t>Standard 3: Professional Practices</w:t>
            </w:r>
          </w:p>
        </w:tc>
        <w:tc>
          <w:tcPr>
            <w:tcW w:type="dxa" w:w="5700"/>
          </w:tcPr>
          <w:p>
            <w:pPr>
              <w:pStyle w:val="TableText"/>
            </w:pPr>
            <w:r/>
            <w:r>
              <w:t>All six Principles have a narrative and a phase rating, plus Standard-level Strengths and Areas of Growth.</w:t>
            </w:r>
          </w:p>
        </w:tc>
      </w:tr>
      <w:tr>
        <w:tc>
          <w:tcPr>
            <w:tcW w:type="dxa" w:w="560"/>
            <w:shd w:val="clear" w:color="auto" w:fill="F3F4F6"/>
          </w:tcPr>
          <w:p>
            <w:pPr>
              <w:pStyle w:val="TableText"/>
            </w:pPr>
            <w:r/>
            <w:r>
              <w:t>☐</w:t>
            </w:r>
          </w:p>
        </w:tc>
        <w:tc>
          <w:tcPr>
            <w:tcW w:type="dxa" w:w="3100"/>
            <w:shd w:val="clear" w:color="auto" w:fill="F3F4F6"/>
          </w:tcPr>
          <w:p>
            <w:pPr>
              <w:pStyle w:val="TableText"/>
            </w:pPr>
            <w:r/>
            <w:r>
              <w:rPr>
                <w:b/>
              </w:rPr>
              <w:t>Standard 4: Learning Support</w:t>
            </w:r>
          </w:p>
        </w:tc>
        <w:tc>
          <w:tcPr>
            <w:tcW w:type="dxa" w:w="5700"/>
            <w:shd w:val="clear" w:color="auto" w:fill="F3F4F6"/>
          </w:tcPr>
          <w:p>
            <w:pPr>
              <w:pStyle w:val="TableText"/>
            </w:pPr>
            <w:r/>
            <w:r>
              <w:t>All five Principles have a narrative and a phase rating, plus Standard-level Strengths and Areas of Growth.</w:t>
            </w:r>
          </w:p>
        </w:tc>
      </w:tr>
      <w:tr>
        <w:tc>
          <w:tcPr>
            <w:tcW w:type="dxa" w:w="560"/>
          </w:tcPr>
          <w:p>
            <w:pPr>
              <w:pStyle w:val="TableText"/>
            </w:pPr>
            <w:r/>
            <w:r>
              <w:t>☐</w:t>
            </w:r>
          </w:p>
        </w:tc>
        <w:tc>
          <w:tcPr>
            <w:tcW w:type="dxa" w:w="3100"/>
          </w:tcPr>
          <w:p>
            <w:pPr>
              <w:pStyle w:val="TableText"/>
            </w:pPr>
            <w:r/>
            <w:r>
              <w:rPr>
                <w:b/>
              </w:rPr>
              <w:t>Standard 5: Learning Resources</w:t>
            </w:r>
          </w:p>
        </w:tc>
        <w:tc>
          <w:tcPr>
            <w:tcW w:type="dxa" w:w="5700"/>
          </w:tcPr>
          <w:p>
            <w:pPr>
              <w:pStyle w:val="TableText"/>
            </w:pPr>
            <w:r/>
            <w:r>
              <w:t>All five Principles have a narrative and a phase rating, plus Standard-level Strengths and Areas of Growth.</w:t>
            </w:r>
          </w:p>
        </w:tc>
      </w:tr>
      <w:tr>
        <w:tc>
          <w:tcPr>
            <w:tcW w:type="dxa" w:w="560"/>
            <w:shd w:val="clear" w:color="auto" w:fill="F3F4F6"/>
          </w:tcPr>
          <w:p>
            <w:pPr>
              <w:pStyle w:val="TableText"/>
            </w:pPr>
            <w:r/>
            <w:r>
              <w:t>☐</w:t>
            </w:r>
          </w:p>
        </w:tc>
        <w:tc>
          <w:tcPr>
            <w:tcW w:type="dxa" w:w="3100"/>
            <w:shd w:val="clear" w:color="auto" w:fill="F3F4F6"/>
          </w:tcPr>
          <w:p>
            <w:pPr>
              <w:pStyle w:val="TableText"/>
            </w:pPr>
            <w:r/>
            <w:r>
              <w:rPr>
                <w:b/>
              </w:rPr>
              <w:t>Faculty review and vote</w:t>
            </w:r>
          </w:p>
        </w:tc>
        <w:tc>
          <w:tcPr>
            <w:tcW w:type="dxa" w:w="5700"/>
            <w:shd w:val="clear" w:color="auto" w:fill="F3F4F6"/>
          </w:tcPr>
          <w:p>
            <w:pPr>
              <w:pStyle w:val="TableText"/>
            </w:pPr>
            <w:r/>
            <w:r>
              <w:t>The professional staff has reviewed and voted to approve Part 2. A two-thirds majority is required; four-fifths is preferred.</w:t>
            </w:r>
          </w:p>
        </w:tc>
      </w:tr>
      <w:tr>
        <w:tc>
          <w:tcPr>
            <w:tcW w:type="dxa" w:w="9360"/>
            <w:gridSpan w:val="3"/>
            <w:shd w:val="clear" w:color="auto" w:fill="F3F4F6"/>
          </w:tcPr>
          <w:p>
            <w:pPr>
              <w:pStyle w:val="Heading6"/>
            </w:pPr>
            <w:r/>
            <w:r>
              <w:rPr>
                <w:b/>
              </w:rPr>
              <w:t>Part 3: Priority Areas for Growth</w:t>
            </w:r>
          </w:p>
        </w:tc>
      </w:tr>
      <w:tr>
        <w:tc>
          <w:tcPr>
            <w:tcW w:type="dxa" w:w="560"/>
          </w:tcPr>
          <w:p>
            <w:pPr>
              <w:pStyle w:val="TableText"/>
            </w:pPr>
            <w:r/>
            <w:r>
              <w:t>☐</w:t>
            </w:r>
          </w:p>
        </w:tc>
        <w:tc>
          <w:tcPr>
            <w:tcW w:type="dxa" w:w="3100"/>
          </w:tcPr>
          <w:p>
            <w:pPr>
              <w:pStyle w:val="TableText"/>
            </w:pPr>
            <w:r/>
            <w:r>
              <w:rPr>
                <w:b/>
              </w:rPr>
              <w:t>Part 3: Priority Areas for Growth</w:t>
            </w:r>
          </w:p>
        </w:tc>
        <w:tc>
          <w:tcPr>
            <w:tcW w:type="dxa" w:w="5700"/>
          </w:tcPr>
          <w:p>
            <w:pPr>
              <w:pStyle w:val="TableText"/>
            </w:pPr>
            <w:r/>
            <w:r>
              <w:t>Three to five Priority Areas, each with a measurable goal statement, the related Foundational Element or Principle numbers, and a school response. Any unmet Foundational Element must be included.</w:t>
            </w:r>
          </w:p>
        </w:tc>
      </w:tr>
      <w:tr>
        <w:tc>
          <w:tcPr>
            <w:tcW w:type="dxa" w:w="9360"/>
            <w:gridSpan w:val="3"/>
            <w:shd w:val="clear" w:color="auto" w:fill="F3F4F6"/>
          </w:tcPr>
          <w:p>
            <w:pPr>
              <w:pStyle w:val="Heading6"/>
            </w:pPr>
            <w:r/>
            <w:r>
              <w:rPr>
                <w:b/>
              </w:rPr>
              <w:t>CTE Program Reports</w:t>
            </w:r>
          </w:p>
        </w:tc>
      </w:tr>
      <w:tr>
        <w:tc>
          <w:tcPr>
            <w:tcW w:type="dxa" w:w="560"/>
          </w:tcPr>
          <w:p>
            <w:pPr>
              <w:pStyle w:val="TableText"/>
            </w:pPr>
            <w:r/>
            <w:r>
              <w:t>☐</w:t>
            </w:r>
          </w:p>
        </w:tc>
        <w:tc>
          <w:tcPr>
            <w:tcW w:type="dxa" w:w="3100"/>
          </w:tcPr>
          <w:p>
            <w:pPr>
              <w:pStyle w:val="TableText"/>
            </w:pPr>
            <w:r/>
            <w:r>
              <w:rPr>
                <w:b/>
              </w:rPr>
              <w:t>CTE program or cluster reports</w:t>
            </w:r>
          </w:p>
          <w:p>
            <w:pPr>
              <w:pStyle w:val="Heading7"/>
            </w:pPr>
            <w:r>
              <w:rPr>
                <w:b/>
                <w:color w:val="457582"/>
              </w:rPr>
              <w:t>OPTIONAL: CTE PROGRAMS ONLY</w:t>
            </w:r>
          </w:p>
        </w:tc>
        <w:tc>
          <w:tcPr>
            <w:tcW w:type="dxa" w:w="5700"/>
          </w:tcPr>
          <w:p>
            <w:pPr>
              <w:pStyle w:val="TableText"/>
            </w:pPr>
            <w:r/>
            <w:r>
              <w:t>One report for each CTE program or cluster, covering Standard 2, Standard 5, strengths, and areas for growth.</w:t>
            </w:r>
          </w:p>
        </w:tc>
      </w:tr>
      <w:tr>
        <w:tc>
          <w:tcPr>
            <w:tcW w:type="dxa" w:w="560"/>
            <w:shd w:val="clear" w:color="auto" w:fill="F3F4F6"/>
          </w:tcPr>
          <w:p>
            <w:pPr>
              <w:pStyle w:val="TableText"/>
            </w:pPr>
            <w:r/>
            <w:r>
              <w:t>☐</w:t>
            </w:r>
          </w:p>
        </w:tc>
        <w:tc>
          <w:tcPr>
            <w:tcW w:type="dxa" w:w="3100"/>
            <w:shd w:val="clear" w:color="auto" w:fill="F3F4F6"/>
          </w:tcPr>
          <w:p>
            <w:pPr>
              <w:pStyle w:val="TableText"/>
            </w:pPr>
            <w:r/>
            <w:r>
              <w:rPr>
                <w:b/>
              </w:rPr>
              <w:t>Overall CTE program report</w:t>
            </w:r>
          </w:p>
          <w:p>
            <w:pPr>
              <w:pStyle w:val="Heading7"/>
            </w:pPr>
            <w:r>
              <w:rPr>
                <w:b/>
                <w:color w:val="457582"/>
              </w:rPr>
              <w:t>OPTIONAL: CTE PROGRAMS ONLY</w:t>
            </w:r>
          </w:p>
        </w:tc>
        <w:tc>
          <w:tcPr>
            <w:tcW w:type="dxa" w:w="5700"/>
            <w:shd w:val="clear" w:color="auto" w:fill="F3F4F6"/>
          </w:tcPr>
          <w:p>
            <w:pPr>
              <w:pStyle w:val="TableText"/>
            </w:pPr>
            <w:r/>
            <w:r>
              <w:t>A single report on the CTE program as a whole, including resources, production work, advisories, strengths, and areas for growth.</w:t>
            </w:r>
          </w:p>
        </w:tc>
      </w:tr>
      <w:tr>
        <w:tc>
          <w:tcPr>
            <w:tcW w:type="dxa" w:w="9360"/>
            <w:gridSpan w:val="3"/>
            <w:shd w:val="clear" w:color="auto" w:fill="F3F4F6"/>
          </w:tcPr>
          <w:p>
            <w:pPr>
              <w:pStyle w:val="Heading6"/>
            </w:pPr>
            <w:r/>
            <w:r>
              <w:rPr>
                <w:b/>
              </w:rPr>
              <w:t>Evidence and Submission</w:t>
            </w:r>
          </w:p>
        </w:tc>
      </w:tr>
      <w:tr>
        <w:tc>
          <w:tcPr>
            <w:tcW w:type="dxa" w:w="560"/>
          </w:tcPr>
          <w:p>
            <w:pPr>
              <w:pStyle w:val="TableText"/>
            </w:pPr>
            <w:r/>
            <w:r>
              <w:t>☐</w:t>
            </w:r>
          </w:p>
        </w:tc>
        <w:tc>
          <w:tcPr>
            <w:tcW w:type="dxa" w:w="3100"/>
          </w:tcPr>
          <w:p>
            <w:pPr>
              <w:pStyle w:val="TableText"/>
            </w:pPr>
            <w:r/>
            <w:r>
              <w:rPr>
                <w:b/>
              </w:rPr>
              <w:t>Evidence Collection</w:t>
            </w:r>
          </w:p>
        </w:tc>
        <w:tc>
          <w:tcPr>
            <w:tcW w:type="dxa" w:w="5700"/>
          </w:tcPr>
          <w:p>
            <w:pPr>
              <w:pStyle w:val="TableText"/>
            </w:pPr>
            <w:r/>
            <w:r>
              <w:t>Every evidence item has a working link, or is marked “Not available” or “Under development.” No fields are left blank.</w:t>
            </w:r>
          </w:p>
        </w:tc>
      </w:tr>
      <w:tr>
        <w:tc>
          <w:tcPr>
            <w:tcW w:type="dxa" w:w="560"/>
            <w:shd w:val="clear" w:color="auto" w:fill="F3F4F6"/>
          </w:tcPr>
          <w:p>
            <w:pPr>
              <w:pStyle w:val="TableText"/>
            </w:pPr>
            <w:r/>
            <w:r>
              <w:t>☐</w:t>
            </w:r>
          </w:p>
        </w:tc>
        <w:tc>
          <w:tcPr>
            <w:tcW w:type="dxa" w:w="3100"/>
            <w:shd w:val="clear" w:color="auto" w:fill="F3F4F6"/>
          </w:tcPr>
          <w:p>
            <w:pPr>
              <w:pStyle w:val="TableText"/>
            </w:pPr>
            <w:r/>
            <w:r>
              <w:rPr>
                <w:b/>
              </w:rPr>
              <w:t>Reviews complete</w:t>
            </w:r>
          </w:p>
        </w:tc>
        <w:tc>
          <w:tcPr>
            <w:tcW w:type="dxa" w:w="5700"/>
            <w:shd w:val="clear" w:color="auto" w:fill="F3F4F6"/>
          </w:tcPr>
          <w:p>
            <w:pPr>
              <w:pStyle w:val="TableText"/>
            </w:pPr>
            <w:r/>
            <w:r>
              <w:t>The report has been reviewed by the school leadership team and by the district or superintendent.</w:t>
            </w:r>
          </w:p>
        </w:tc>
      </w:tr>
      <w:tr>
        <w:tc>
          <w:tcPr>
            <w:tcW w:type="dxa" w:w="560"/>
          </w:tcPr>
          <w:p>
            <w:pPr>
              <w:pStyle w:val="TableText"/>
            </w:pPr>
            <w:r/>
            <w:r>
              <w:t>☐</w:t>
            </w:r>
          </w:p>
        </w:tc>
        <w:tc>
          <w:tcPr>
            <w:tcW w:type="dxa" w:w="3100"/>
          </w:tcPr>
          <w:p>
            <w:pPr>
              <w:pStyle w:val="TableText"/>
            </w:pPr>
            <w:r/>
            <w:r>
              <w:rPr>
                <w:b/>
              </w:rPr>
              <w:t>Principal certification and sign-off</w:t>
            </w:r>
          </w:p>
        </w:tc>
        <w:tc>
          <w:tcPr>
            <w:tcW w:type="dxa" w:w="5700"/>
          </w:tcPr>
          <w:p>
            <w:pPr>
              <w:pStyle w:val="TableText"/>
            </w:pPr>
            <w:r/>
            <w:r>
              <w:t>The principal certifies the report is accurate and developed with stakeholder input, confirms any AI use complied with school policy and was human-verified, and the principal and superintendent have signed and dated it.</w:t>
            </w:r>
          </w:p>
        </w:tc>
      </w:tr>
      <w:tr>
        <w:tc>
          <w:tcPr>
            <w:tcW w:type="dxa" w:w="560"/>
            <w:shd w:val="clear" w:color="auto" w:fill="F3F4F6"/>
          </w:tcPr>
          <w:p>
            <w:pPr>
              <w:pStyle w:val="TableText"/>
            </w:pPr>
            <w:r/>
            <w:r>
              <w:t>☐</w:t>
            </w:r>
          </w:p>
        </w:tc>
        <w:tc>
          <w:tcPr>
            <w:tcW w:type="dxa" w:w="3100"/>
            <w:shd w:val="clear" w:color="auto" w:fill="F3F4F6"/>
          </w:tcPr>
          <w:p>
            <w:pPr>
              <w:pStyle w:val="TableText"/>
            </w:pPr>
            <w:r/>
            <w:r>
              <w:rPr>
                <w:b/>
              </w:rPr>
              <w:t>Submitted in the portal</w:t>
            </w:r>
          </w:p>
        </w:tc>
        <w:tc>
          <w:tcPr>
            <w:tcW w:type="dxa" w:w="5700"/>
            <w:shd w:val="clear" w:color="auto" w:fill="F3F4F6"/>
          </w:tcPr>
          <w:p>
            <w:pPr>
              <w:pStyle w:val="TableText"/>
            </w:pPr>
            <w:r/>
            <w:r>
              <w:t>All parts are entered in the Accreditation portal and the principal has clicked “Mark Report Complete.”</w:t>
            </w:r>
          </w:p>
        </w:tc>
      </w:tr>
    </w:tbl>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Self-Reflection Report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2" ma:contentTypeDescription="Create a new document." ma:contentTypeScope="" ma:versionID="585ca3fdb456d4c0bfeb7a3a1671f90b">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d96a735c435a9457b9b518a92b898015"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InNewProces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NewProcess_x003f_" ma:index="27" nillable="true" ma:displayName="In New Process?" ma:default="1" ma:format="Dropdown" ma:internalName="InNewProcess_x003f_">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dafef7-3c95-49e7-80df-e33899e2296d" xsi:nil="true"/>
    <lcf76f155ced4ddcb4097134ff3c332f xmlns="5c5c383c-27b5-47ee-8b0f-07596d920e80">
      <Terms xmlns="http://schemas.microsoft.com/office/infopath/2007/PartnerControls"/>
    </lcf76f155ced4ddcb4097134ff3c332f>
    <_ip_UnifiedCompliancePolicyUIAction xmlns="http://schemas.microsoft.com/sharepoint/v3" xsi:nil="true"/>
    <InNewProcess_x003f_ xmlns="5c5c383c-27b5-47ee-8b0f-07596d920e80">true</InNewProcess_x003f_>
    <_ip_UnifiedCompliancePolicyProperties xmlns="http://schemas.microsoft.com/sharepoint/v3" xsi:nil="true"/>
  </documentManagement>
</p:properties>
</file>

<file path=customXml/itemProps1.xml><?xml version="1.0" encoding="utf-8"?>
<ds:datastoreItem xmlns:ds="http://schemas.openxmlformats.org/officeDocument/2006/customXml" ds:itemID="{E05B5F29-65C3-4D55-B685-6734CCD0AB2C}"/>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ies>
</file>