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School and Community Summary</w:t>
      </w:r>
    </w:p>
    <w:p>
      <w:pPr>
        <w:pStyle w:val="Subtitle"/>
      </w:pPr>
      <w:r>
        <w:rPr>
          <w:i/>
        </w:rPr>
        <w:t xml:space="preserve">Self-Reflection </w:t>
      </w:r>
      <w:r>
        <w:rPr>
          <w:i/>
        </w:rPr>
        <w:t>Report  ·</w:t>
      </w:r>
      <w:r>
        <w:rPr>
          <w:i/>
        </w:rPr>
        <w:t xml:space="preserve">  Written by the Steering Committee</w:t>
      </w:r>
    </w:p>
    <w:p>
      <w:pPr>
        <w:pStyle w:val="Heading1"/>
      </w:pPr>
      <w:r>
        <w:rPr>
          <w:b/>
        </w:rPr>
        <w:t>Instructions</w:t>
      </w:r>
    </w:p>
    <w:p>
      <w:pPr/>
      <w:r>
        <w:t>The Steering Committee writes the School and Community Summary. All teal text is guidance and should be deleted before you submit.</w:t>
      </w:r>
    </w:p>
    <w:p>
      <w:pPr>
        <w:pStyle w:val="ListNumber"/>
      </w:pPr>
      <w:r>
        <w:t xml:space="preserve">The purpose of this summary is to give the visiting team </w:t>
      </w:r>
      <w:r>
        <w:rPr>
          <w:b/>
        </w:rPr>
        <w:t>context</w:t>
      </w:r>
      <w:r>
        <w:t xml:space="preserve">. It should help the team understand the school and its community, so they arrive with a clear picture of the school’s setting. This allows the team to better understand your alignment with the standards, and most importantly, your identified Priority Areas for Growth. </w:t>
      </w:r>
    </w:p>
    <w:p>
      <w:pPr>
        <w:pStyle w:val="ListNumber"/>
      </w:pPr>
      <w:r>
        <w:t xml:space="preserve">The School and Community Summary is a narrative of roughly </w:t>
      </w:r>
      <w:r>
        <w:rPr>
          <w:b/>
        </w:rPr>
        <w:t>two to four pages (about 750 to 1,500 words)</w:t>
      </w:r>
      <w:r>
        <w:t xml:space="preserve"> that gives the visiting committee general information about the school, its location, and its place within the community.</w:t>
      </w:r>
    </w:p>
    <w:p>
      <w:pPr>
        <w:pStyle w:val="ListNumber"/>
      </w:pPr>
      <w:r>
        <w:t xml:space="preserve">Write with care: the </w:t>
      </w:r>
      <w:r>
        <w:rPr>
          <w:b/>
        </w:rPr>
        <w:t>visiting committee uses this summary verbatim</w:t>
      </w:r>
      <w:r>
        <w:t xml:space="preserve"> in the school’s visiting team report.</w:t>
      </w:r>
    </w:p>
    <w:p>
      <w:pPr>
        <w:pStyle w:val="ListNumber"/>
      </w:pPr>
      <w:r>
        <w:t xml:space="preserve">Gather the figures below from the reports your district submits to </w:t>
      </w:r>
      <w:r>
        <w:rPr>
          <w:b/>
        </w:rPr>
        <w:t>state and federal offices</w:t>
      </w:r>
      <w:r>
        <w:t>. Note the source for each figure so it can be verified if necessary.</w:t>
      </w:r>
    </w:p>
    <w:p>
      <w:pPr>
        <w:pStyle w:val="ListNumber"/>
      </w:pPr>
      <w:r>
        <w:t xml:space="preserve">Write the summary as </w:t>
      </w:r>
      <w:r>
        <w:rPr>
          <w:b/>
        </w:rPr>
        <w:t>a narrative, not a list</w:t>
      </w:r>
      <w:r>
        <w:t>. The headings below are a suggested structure, and each one can become a paragraph of the summary. The sample School and Community Summary in the Accreditation Handbook shows the expected style and tone.</w:t>
      </w:r>
    </w:p>
    <w:p>
      <w:pPr>
        <w:pStyle w:val="ListNumber"/>
      </w:pPr>
      <w:r>
        <w:t xml:space="preserve">Share the draft and final summary with your school’s </w:t>
      </w:r>
      <w:r>
        <w:t>professional staff for review and input.</w:t>
      </w:r>
      <w:r>
        <w:t xml:space="preserve"> A vote to approve this section is not required.</w:t>
      </w:r>
    </w:p>
    <w:p>
      <w:pPr>
        <w:pStyle w:val="ListNumber"/>
      </w:pPr>
      <w:r>
        <w:t>Delete all teal instructional text (including this list) before submitting the summary on the final self-reflection report template.</w:t>
      </w:r>
    </w:p>
    <w:p>
      <w:pPr>
        <w:pStyle w:val="Heading1"/>
      </w:pPr>
      <w:r>
        <w:rPr>
          <w:b/>
        </w:rPr>
        <w:t>Narrative</w:t>
      </w:r>
    </w:p>
    <w:p>
      <w:pPr/>
      <w:r>
        <w:rPr>
          <w:i/>
          <w:color w:val="457582"/>
        </w:rPr>
        <w:t xml:space="preserve">Replace the teal guidance below with your own narrative. Each heading can become a paragraph of the summary. The items under each heading are suggested details, or potential evidence, you might write about to give the visiting team context. They are not a checklist: write about what is relevant and available for your </w:t>
      </w:r>
      <w:r>
        <w:rPr>
          <w:i/>
          <w:color w:val="457582"/>
        </w:rPr>
        <w:t>school and</w:t>
      </w:r>
      <w:r>
        <w:rPr>
          <w:i/>
          <w:color w:val="457582"/>
        </w:rPr>
        <w:t xml:space="preserve"> add anything else that helps the team understand your setting.</w:t>
      </w:r>
    </w:p>
    <w:p>
      <w:pPr>
        <w:pStyle w:val="Heading7"/>
      </w:pPr>
      <w:r>
        <w:rPr>
          <w:b/>
          <w:color w:val="457582"/>
        </w:rPr>
        <w:t>THE COMMUNITY</w:t>
      </w:r>
    </w:p>
    <w:p>
      <w:pPr>
        <w:pStyle w:val="ListBullet"/>
      </w:pPr>
      <w:r>
        <w:rPr>
          <w:i/>
          <w:color w:val="457582"/>
        </w:rPr>
        <w:t>The location of the town, city, or district in the state.</w:t>
      </w:r>
    </w:p>
    <w:p>
      <w:pPr>
        <w:pStyle w:val="ListBullet"/>
      </w:pPr>
      <w:r>
        <w:rPr>
          <w:i/>
          <w:color w:val="457582"/>
        </w:rPr>
        <w:t>The socioeconomic profile of the community.</w:t>
      </w:r>
    </w:p>
    <w:p>
      <w:pPr>
        <w:pStyle w:val="ListBullet"/>
      </w:pPr>
      <w:r>
        <w:rPr>
          <w:i/>
          <w:color w:val="457582"/>
        </w:rPr>
        <w:t>The median household income and the local unemployment rate.</w:t>
      </w:r>
    </w:p>
    <w:p>
      <w:pPr>
        <w:pStyle w:val="ListBullet"/>
      </w:pPr>
      <w:r>
        <w:rPr>
          <w:i/>
          <w:color w:val="457582"/>
        </w:rPr>
        <w:t>The racial, cultural, and ethnic makeup of the school district.</w:t>
      </w:r>
    </w:p>
    <w:p>
      <w:pPr>
        <w:pStyle w:val="ListBullet"/>
      </w:pPr>
      <w:r>
        <w:rPr>
          <w:i/>
          <w:color w:val="457582"/>
        </w:rPr>
        <w:t>The number of district families living below the poverty level.</w:t>
      </w:r>
    </w:p>
    <w:p>
      <w:pPr>
        <w:pStyle w:val="ListBullet"/>
      </w:pPr>
      <w:r>
        <w:rPr>
          <w:i/>
          <w:color w:val="457582"/>
        </w:rPr>
        <w:t>The number of schools in the system or district, both public and independent.</w:t>
      </w:r>
    </w:p>
    <w:p>
      <w:pPr>
        <w:pStyle w:val="Heading7"/>
      </w:pPr>
      <w:r>
        <w:rPr>
          <w:b/>
          <w:color w:val="457582"/>
        </w:rPr>
        <w:t>THE DISTRICT AND SCHOOL</w:t>
      </w:r>
    </w:p>
    <w:p>
      <w:pPr>
        <w:pStyle w:val="ListBullet"/>
      </w:pPr>
      <w:r>
        <w:rPr>
          <w:i/>
          <w:color w:val="457582"/>
        </w:rPr>
        <w:t>The school type (for example, comprehensive, magnet, regional, or charter) and its governance, such as a single-town or regional district</w:t>
      </w:r>
      <w:r>
        <w:rPr>
          <w:i/>
          <w:color w:val="457582"/>
        </w:rPr>
        <w:t>,</w:t>
      </w:r>
      <w:r>
        <w:rPr>
          <w:i/>
          <w:color w:val="457582"/>
        </w:rPr>
        <w:t xml:space="preserve"> and any sending or receiving relationships.</w:t>
      </w:r>
    </w:p>
    <w:p>
      <w:pPr>
        <w:pStyle w:val="ListBullet"/>
      </w:pPr>
      <w:r>
        <w:rPr>
          <w:i/>
          <w:color w:val="457582"/>
        </w:rPr>
        <w:t>The grade configuration of the school.</w:t>
      </w:r>
    </w:p>
    <w:p>
      <w:pPr>
        <w:pStyle w:val="ListBullet"/>
      </w:pPr>
      <w:r>
        <w:rPr>
          <w:i/>
          <w:color w:val="457582"/>
        </w:rPr>
        <w:t>The current student population</w:t>
      </w:r>
      <w:r>
        <w:rPr>
          <w:i/>
          <w:color w:val="457582"/>
        </w:rPr>
        <w:t xml:space="preserve"> number</w:t>
      </w:r>
      <w:r>
        <w:rPr>
          <w:i/>
          <w:color w:val="457582"/>
        </w:rPr>
        <w:t>.</w:t>
      </w:r>
    </w:p>
    <w:p>
      <w:pPr>
        <w:pStyle w:val="ListBullet"/>
      </w:pPr>
      <w:r>
        <w:rPr>
          <w:i/>
          <w:color w:val="457582"/>
        </w:rPr>
        <w:t>Enrollment stability, including any student mobility or transiency (for example, how enrollment has changed over recent years).</w:t>
      </w:r>
    </w:p>
    <w:p>
      <w:pPr>
        <w:pStyle w:val="ListBullet"/>
      </w:pPr>
      <w:r>
        <w:rPr>
          <w:i/>
          <w:color w:val="457582"/>
        </w:rPr>
        <w:t>The schedule model (for example, traditional or block) and the length of the school day and year.</w:t>
      </w:r>
    </w:p>
    <w:p>
      <w:pPr>
        <w:pStyle w:val="ListBullet"/>
      </w:pPr>
      <w:r>
        <w:rPr>
          <w:i/>
          <w:color w:val="457582"/>
        </w:rPr>
        <w:t xml:space="preserve">Where else </w:t>
      </w:r>
      <w:r>
        <w:rPr>
          <w:i/>
          <w:color w:val="457582"/>
        </w:rPr>
        <w:t xml:space="preserve">do </w:t>
      </w:r>
      <w:r>
        <w:rPr>
          <w:i/>
          <w:color w:val="457582"/>
        </w:rPr>
        <w:t>students in the town attend, such as a vocational or technical high school or private and parochial schools</w:t>
      </w:r>
      <w:r>
        <w:rPr>
          <w:i/>
          <w:color w:val="457582"/>
        </w:rPr>
        <w:t>?</w:t>
      </w:r>
    </w:p>
    <w:p>
      <w:pPr>
        <w:pStyle w:val="Heading7"/>
      </w:pPr>
      <w:r>
        <w:rPr>
          <w:b/>
          <w:color w:val="457582"/>
        </w:rPr>
        <w:t>STUDENTS AND STAFF</w:t>
      </w:r>
    </w:p>
    <w:p>
      <w:pPr>
        <w:pStyle w:val="ListBullet"/>
      </w:pPr>
      <w:r>
        <w:rPr>
          <w:i/>
          <w:color w:val="457582"/>
        </w:rPr>
        <w:t>The percentage of students with disabilities (students with an Individualized Education Program), and a brief note on how special education is structured.</w:t>
      </w:r>
    </w:p>
    <w:p>
      <w:pPr>
        <w:pStyle w:val="ListBullet"/>
      </w:pPr>
      <w:r>
        <w:rPr>
          <w:i/>
          <w:color w:val="457582"/>
        </w:rPr>
        <w:t xml:space="preserve">The percentage of students with 504 plans and how those are overseen by the school. </w:t>
      </w:r>
    </w:p>
    <w:p>
      <w:pPr>
        <w:pStyle w:val="ListBullet"/>
      </w:pPr>
      <w:r>
        <w:rPr>
          <w:i/>
          <w:color w:val="457582"/>
        </w:rPr>
        <w:t>The percentage of multilingual learners or English learners, and the number of home languages spoken.</w:t>
      </w:r>
    </w:p>
    <w:p>
      <w:pPr>
        <w:pStyle w:val="ListBullet"/>
      </w:pPr>
      <w:r>
        <w:rPr>
          <w:i/>
          <w:color w:val="457582"/>
        </w:rPr>
        <w:t>The percentage of economically disadvantaged students.</w:t>
      </w:r>
    </w:p>
    <w:p>
      <w:pPr>
        <w:pStyle w:val="ListBullet"/>
      </w:pPr>
      <w:r>
        <w:rPr>
          <w:i/>
          <w:color w:val="457582"/>
        </w:rPr>
        <w:t>The racial, cultural, and ethnic makeup of the school.</w:t>
      </w:r>
    </w:p>
    <w:p>
      <w:pPr>
        <w:pStyle w:val="ListBullet"/>
      </w:pPr>
      <w:r>
        <w:rPr>
          <w:i/>
          <w:color w:val="457582"/>
        </w:rPr>
        <w:t>The number of faculty and staff, and the student-to-teacher ratio or average class size.</w:t>
      </w:r>
    </w:p>
    <w:p>
      <w:pPr>
        <w:pStyle w:val="ListBullet"/>
      </w:pPr>
      <w:r>
        <w:rPr>
          <w:i/>
          <w:color w:val="457582"/>
        </w:rPr>
        <w:t>Teacher experience, retention, and certification.</w:t>
      </w:r>
    </w:p>
    <w:p>
      <w:pPr>
        <w:pStyle w:val="Heading7"/>
      </w:pPr>
      <w:r>
        <w:rPr>
          <w:b/>
          <w:color w:val="457582"/>
        </w:rPr>
        <w:t>FUNDING AND RESOURCES</w:t>
      </w:r>
    </w:p>
    <w:p>
      <w:pPr>
        <w:pStyle w:val="ListBullet"/>
      </w:pPr>
      <w:r>
        <w:rPr>
          <w:i/>
          <w:color w:val="457582"/>
        </w:rPr>
        <w:t>The expenditure per pupil for students assigned to the school in relation to the state average.</w:t>
      </w:r>
    </w:p>
    <w:p>
      <w:pPr>
        <w:pStyle w:val="ListBullet"/>
      </w:pPr>
      <w:r>
        <w:rPr>
          <w:i/>
          <w:color w:val="457582"/>
        </w:rPr>
        <w:t>The percentage of local resources spent on public education.</w:t>
      </w:r>
    </w:p>
    <w:p>
      <w:pPr>
        <w:pStyle w:val="ListBullet"/>
      </w:pPr>
      <w:r>
        <w:rPr>
          <w:i/>
          <w:color w:val="457582"/>
        </w:rPr>
        <w:t>The percentage of local taxation spent on schools.</w:t>
      </w:r>
    </w:p>
    <w:p>
      <w:pPr>
        <w:pStyle w:val="Heading7"/>
      </w:pPr>
      <w:r>
        <w:rPr>
          <w:b/>
          <w:color w:val="457582"/>
        </w:rPr>
        <w:t>STUDENT OUTCOMES</w:t>
      </w:r>
    </w:p>
    <w:p>
      <w:pPr>
        <w:pStyle w:val="ListBullet"/>
      </w:pPr>
      <w:r>
        <w:rPr>
          <w:i/>
          <w:color w:val="457582"/>
        </w:rPr>
        <w:t>The dropout rate (two-year average)</w:t>
      </w:r>
      <w:r>
        <w:rPr>
          <w:i/>
          <w:color w:val="457582"/>
        </w:rPr>
        <w:t>,</w:t>
      </w:r>
      <w:r>
        <w:rPr>
          <w:i/>
          <w:color w:val="457582"/>
        </w:rPr>
        <w:t xml:space="preserve"> stated as a percentage.</w:t>
      </w:r>
    </w:p>
    <w:p>
      <w:pPr>
        <w:pStyle w:val="ListBullet"/>
      </w:pPr>
      <w:r>
        <w:rPr>
          <w:i/>
          <w:color w:val="457582"/>
        </w:rPr>
        <w:t>The graduation rate</w:t>
      </w:r>
      <w:r>
        <w:rPr>
          <w:i/>
          <w:color w:val="457582"/>
        </w:rPr>
        <w:t>,</w:t>
      </w:r>
      <w:r>
        <w:rPr>
          <w:i/>
          <w:color w:val="457582"/>
        </w:rPr>
        <w:t xml:space="preserve"> stated as a percentage.</w:t>
      </w:r>
    </w:p>
    <w:p>
      <w:pPr>
        <w:pStyle w:val="ListBullet"/>
      </w:pPr>
      <w:r>
        <w:rPr>
          <w:i/>
          <w:color w:val="457582"/>
        </w:rPr>
        <w:t>The attendance rate of students.</w:t>
      </w:r>
    </w:p>
    <w:p>
      <w:pPr>
        <w:pStyle w:val="ListBullet"/>
      </w:pPr>
      <w:r>
        <w:rPr>
          <w:i/>
          <w:color w:val="457582"/>
        </w:rPr>
        <w:t xml:space="preserve">The </w:t>
      </w:r>
      <w:r>
        <w:rPr>
          <w:i/>
          <w:color w:val="457582"/>
        </w:rPr>
        <w:t xml:space="preserve">teachers' </w:t>
      </w:r>
      <w:r>
        <w:rPr>
          <w:i/>
          <w:color w:val="457582"/>
        </w:rPr>
        <w:t>attendance rate, excluding professional days.</w:t>
      </w:r>
    </w:p>
    <w:p>
      <w:pPr>
        <w:pStyle w:val="ListBullet"/>
      </w:pPr>
      <w:r>
        <w:rPr>
          <w:i/>
          <w:color w:val="457582"/>
        </w:rPr>
        <w:t xml:space="preserve">The percentage of students who attend four-year colleges, attend two-year colleges, enter directly into the workforce, </w:t>
      </w:r>
      <w:r>
        <w:rPr>
          <w:i/>
          <w:color w:val="457582"/>
        </w:rPr>
        <w:t>or</w:t>
      </w:r>
      <w:r>
        <w:rPr>
          <w:i/>
          <w:color w:val="457582"/>
        </w:rPr>
        <w:t xml:space="preserve"> enter the military.</w:t>
      </w:r>
    </w:p>
    <w:p>
      <w:pPr>
        <w:pStyle w:val="Heading7"/>
      </w:pPr>
      <w:r>
        <w:rPr>
          <w:b/>
          <w:color w:val="457582"/>
        </w:rPr>
        <w:t>EDUCATIONAL OPPORTUNITIES, PARTNERSHIPS, AND RECOGNITION</w:t>
      </w:r>
    </w:p>
    <w:p>
      <w:pPr>
        <w:pStyle w:val="ListBullet"/>
      </w:pPr>
      <w:r>
        <w:rPr>
          <w:i/>
          <w:color w:val="457582"/>
        </w:rPr>
        <w:t>The local educational opportunities available to students and the community.</w:t>
      </w:r>
    </w:p>
    <w:p>
      <w:pPr>
        <w:pStyle w:val="ListBullet"/>
      </w:pPr>
      <w:r>
        <w:rPr>
          <w:i/>
          <w:color w:val="457582"/>
        </w:rPr>
        <w:t>School and business partnerships.</w:t>
      </w:r>
    </w:p>
    <w:p>
      <w:pPr>
        <w:pStyle w:val="ListBullet"/>
      </w:pPr>
      <w:r>
        <w:rPr>
          <w:i/>
          <w:color w:val="457582"/>
        </w:rPr>
        <w:t>School and college partnerships.</w:t>
      </w:r>
    </w:p>
    <w:p>
      <w:pPr>
        <w:pStyle w:val="ListBullet"/>
      </w:pPr>
      <w:r>
        <w:rPr>
          <w:i/>
          <w:color w:val="457582"/>
        </w:rPr>
        <w:t>Student recognition programs.</w:t>
      </w:r>
    </w:p>
    <w:p>
      <w:pPr>
        <w:pStyle w:val="Heading7"/>
      </w:pPr>
      <w:r>
        <w:rPr>
          <w:b/>
          <w:color w:val="457582"/>
        </w:rPr>
        <w:t>FOR SCHOOLS AND CENTERS WITH CTE PROGRAMS (if applicable)</w:t>
      </w:r>
    </w:p>
    <w:p>
      <w:pPr>
        <w:pStyle w:val="ListBullet"/>
      </w:pPr>
      <w:r>
        <w:rPr>
          <w:i/>
          <w:color w:val="457582"/>
        </w:rPr>
        <w:t>How the school or center tracks its graduates’ destinations.</w:t>
      </w:r>
    </w:p>
    <w:p>
      <w:pPr>
        <w:pStyle w:val="ListBullet"/>
      </w:pPr>
      <w:r>
        <w:rPr>
          <w:i/>
          <w:color w:val="457582"/>
        </w:rPr>
        <w:t>The program’s graduation or completion rates over the last three to five years, with the numbers or percentages of students who enrolled in college, entered the workforce in or outside the field, pursued the military, or other.</w:t>
      </w:r>
    </w:p>
    <w:p>
      <w:pPr>
        <w:pStyle w:val="ListBullet"/>
      </w:pPr>
      <w:r>
        <w:rPr>
          <w:i/>
          <w:color w:val="457582"/>
        </w:rPr>
        <w:t>Student involvement in co-curricular organizations such as SkillsUSA, National Honor Society, DECA, Business Professionals of America, or FFA, and the extent of success in any technical or leadership competitions.</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School and Community Summary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2EE2E9D1-47C1-4A63-91DF-6C9B96B370C9}"/>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