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  <w:rtl w:val="0"/>
        </w:rPr>
        <w:t xml:space="preserve">A Peek at our Week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Mrs. Bird</w:t>
      </w:r>
    </w:p>
    <w:p w:rsidR="00000000" w:rsidDel="00000000" w:rsidP="00000000" w:rsidRDefault="00000000" w:rsidRPr="00000000" w14:paraId="00000003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Monday,  September 7 – Friday, September 11, 2026</w:t>
      </w:r>
    </w:p>
    <w:p w:rsidR="00000000" w:rsidDel="00000000" w:rsidP="00000000" w:rsidRDefault="00000000" w:rsidRPr="00000000" w14:paraId="00000004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  <w:highlight w:val="green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</w:rPr>
        <w:drawing>
          <wp:inline distB="114300" distT="114300" distL="114300" distR="114300">
            <wp:extent cx="2671763" cy="176975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1763" cy="17697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rPr>
          <w:rFonts w:ascii="Short Stack" w:cs="Short Stack" w:eastAsia="Short Stack" w:hAnsi="Short Stack"/>
          <w:b w:val="1"/>
          <w:bCs w:val="1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u w:val="single"/>
          <w:rtl w:val="0"/>
        </w:rPr>
        <w:t xml:space="preserve">Homework Schedule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1880"/>
        <w:gridCol w:w="1880"/>
        <w:gridCol w:w="1880"/>
        <w:gridCol w:w="1880"/>
        <w:gridCol w:w="1880"/>
        <w:tblGridChange w:id="0">
          <w:tblGrid>
            <w:gridCol w:w="1880"/>
            <w:gridCol w:w="1880"/>
            <w:gridCol w:w="1880"/>
            <w:gridCol w:w="1880"/>
            <w:gridCol w:w="1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*Spanish &amp; Health/Gym*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*STEAM&amp; 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*Art*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*Health/Gym*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highlight w:val="white"/>
                <w:rtl w:val="0"/>
              </w:rPr>
              <w:t xml:space="preserve">Music &amp;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Health/Gym*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Library Visit Biweekly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color w:val="0000ff"/>
                <w:sz w:val="30"/>
                <w:szCs w:val="30"/>
                <w:rtl w:val="0"/>
              </w:rPr>
              <w:t xml:space="preserve">Labor Day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color w:val="0000ff"/>
                <w:sz w:val="30"/>
                <w:szCs w:val="3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color w:val="0000ff"/>
                <w:sz w:val="30"/>
                <w:szCs w:val="30"/>
                <w:rtl w:val="0"/>
              </w:rPr>
              <w:t xml:space="preserve">No School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1.1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1.2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1.3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</w:rPr>
              <w:drawing>
                <wp:inline distB="114300" distT="114300" distL="114300" distR="114300">
                  <wp:extent cx="791937" cy="79193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937" cy="7919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200"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Taking a Closer Look…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Math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begin Topic 1 on strategies to fluently add and subtract within 20.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Social Studies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begin our first unit on communities. We will also complete a Patriot Day activity on Friday, in remembrance of September 11th.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Reader’s Workshop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: We will launch Reader’s Workshop while practicing routines, good reading habits, and expectations.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Writer’s Workshop: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We will complete a special letter in preparation for Back to School Night.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u w:val="single"/>
          <w:rtl w:val="0"/>
        </w:rPr>
        <w:t xml:space="preserve">Fundations:</w:t>
      </w: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 We will begin Unit 1 Week 1 of our Level 2 Fundations program. We will review short vowels. We will also learn digraphs (sh, th, ch, wh, ck) and blends.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center"/>
        <w:rPr>
          <w:rFonts w:ascii="Short Stack" w:cs="Short Stack" w:eastAsia="Short Stack" w:hAnsi="Short Stack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rtl w:val="0"/>
        </w:rPr>
        <w:t xml:space="preserve">**Remember to have sneakers for gym class!**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Short St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ortSt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