
<file path=[Content_Types].xml><?xml version="1.0" encoding="utf-8"?>
<Types xmlns="http://schemas.openxmlformats.org/package/2006/content-types">
  <Default Extension="rels" ContentType="application/vnd.openxmlformats-package.relationships+xml"/>
  <Default Extension="xml" ContentType="application/xml"/>
  <Override PartName="/package/services/metadata/core-properties/21a307923cb045668e6ff4e5bded53d0.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dd6813f02de547c3" Type="http://schemas.openxmlformats.org/officeDocument/2006/relationships/officeDocument" Target="word/document.xml"/><Relationship Id="R6df21c3e39cb453c" Type="http://schemas.openxmlformats.org/package/2006/relationships/metadata/core-properties" Target="package/services/metadata/core-properties/21a307923cb045668e6ff4e5bded53d0.psmdcp"/></Relationships>
</file>

<file path=word/document.xml><?xml version="1.0" encoding="utf-8"?>
<w:document xmlns:w="http://schemas.openxmlformats.org/wordprocessingml/2006/main">
  <w:body>
    <w:p>
      <w:pPr>
        <w:pStyle w:val="Normal"/>
      </w:pPr>
      <w:r>
        <w:rPr>
          <w:b/>
        </w:rPr>
        <w:t xml:space="preserve">Salisbury El Sch</w:t>
      </w:r>
    </w:p>
    <w:p>
      <w:pPr>
        <w:pStyle w:val="Normal"/>
      </w:pPr>
      <w:r>
        <w:t>Plan escolar Título 1 para toda la escuela | 2026 - 2027</w:t>
      </w:r>
    </w:p>
    <w:p>
      <w:pPr>
        <w:pStyle w:val="Normal"/>
      </w:pPr>
      <w:r>
        <w:br w:type="page"/>
      </w:r>
      <w:r>
        <w:lastRenderedPageBreak/>
      </w:r>
    </w:p>
    <w:p>
      <w:pPr>
        <w:pStyle w:val="Heading1"/>
      </w:pPr>
      <w:r>
        <w:t>Aspectos básicos del perfil y el plan</w:t>
      </w:r>
    </w:p>
    <w:tbl>
      <w:tblPr>
        <w:tblStyle w:val="TableGrid"/>
        <w:tblW w:w="5000" w:type="pct"/>
      </w:tblPr>
      <w:tblGrid>
        <w:gridCol/>
        <w:gridCol/>
        <w:gridCol/>
      </w:tblGrid>
      <w:tr>
        <w:trPr/>
        <w:tc>
          <w:tcPr>
            <w:gridSpan w:val="2"/>
            <w:vAlign w:val="center"/>
          </w:tcPr>
          <w:p>
            <w:pPr>
              <w:pStyle w:val="Normal"/>
            </w:pPr>
            <w:r>
              <w:rPr>
                <w:b/>
              </w:rPr>
              <w:t>Escuela</w:t>
            </w:r>
          </w:p>
        </w:tc>
        <w:tc>
          <w:tcPr>
            <w:vAlign w:val="center"/>
          </w:tcPr>
          <w:p>
            <w:pPr>
              <w:pStyle w:val="Normal"/>
            </w:pPr>
            <w:r>
              <w:t>AUN/Sucursal</w:t>
            </w:r>
          </w:p>
        </w:tc>
      </w:tr>
      <w:tr>
        <w:trPr/>
        <w:tc>
          <w:tcPr>
            <w:gridSpan w:val="2"/>
            <w:vAlign w:val="center"/>
          </w:tcPr>
          <w:p>
            <w:pPr>
              <w:pStyle w:val="Normal"/>
            </w:pPr>
            <w:r>
              <w:t xml:space="preserve">Salisbury El Sch</w:t>
            </w:r>
          </w:p>
        </w:tc>
        <w:tc>
          <w:tcPr>
            <w:vAlign w:val="center"/>
          </w:tcPr>
          <w:p>
            <w:pPr>
              <w:pStyle w:val="Normal"/>
            </w:pPr>
            <w:r>
              <w:t xml:space="preserve">113365303</w:t>
            </w:r>
          </w:p>
        </w:tc>
      </w:tr>
      <w:tr>
        <w:trPr/>
        <w:tc>
          <w:tcPr>
            <w:gridSpan w:val="3"/>
            <w:vAlign w:val="center"/>
          </w:tcPr>
          <w:p>
            <w:pPr>
              <w:pStyle w:val="Normal"/>
            </w:pPr>
            <w:r>
              <w:rPr>
                <w:b/>
              </w:rPr>
              <w:t>Dirección 1</w:t>
            </w:r>
          </w:p>
        </w:tc>
      </w:tr>
      <w:tr>
        <w:trPr/>
        <w:tc>
          <w:tcPr>
            <w:gridSpan w:val="3"/>
            <w:vAlign w:val="center"/>
          </w:tcPr>
          <w:p>
            <w:pPr>
              <w:pStyle w:val="Normal"/>
            </w:pPr>
            <w:r>
              <w:t>422 Escuela Lane Rd</w:t>
            </w:r>
          </w:p>
        </w:tc>
      </w:tr>
      <w:tr>
        <w:trPr/>
        <w:tc>
          <w:tcPr>
            <w:gridSpan w:val="3"/>
            <w:vAlign w:val="center"/>
          </w:tcPr>
          <w:p>
            <w:pPr>
              <w:pStyle w:val="Normal"/>
            </w:pPr>
            <w:r>
              <w:rPr>
                <w:b/>
              </w:rPr>
              <w:t>Dirección 2</w:t>
            </w:r>
          </w:p>
        </w:tc>
      </w:tr>
      <w:tr>
        <w:trPr/>
        <w:tc>
          <w:tcPr>
            <w:gridSpan w:val="3"/>
            <w:vAlign w:val="center"/>
          </w:tcPr>
          <w:p/>
        </w:tc>
      </w:tr>
      <w:tr>
        <w:trPr/>
        <w:tc>
          <w:tcPr>
            <w:vAlign w:val="center"/>
          </w:tcPr>
          <w:p>
            <w:pPr>
              <w:pStyle w:val="Normal"/>
            </w:pPr>
            <w:r>
              <w:rPr>
                <w:b/>
              </w:rPr>
              <w:t>Ciudad</w:t>
            </w:r>
          </w:p>
        </w:tc>
        <w:tc>
          <w:tcPr>
            <w:vAlign w:val="center"/>
          </w:tcPr>
          <w:p>
            <w:pPr>
              <w:pStyle w:val="Normal"/>
            </w:pPr>
            <w:r>
              <w:rPr>
                <w:b/>
              </w:rPr>
              <w:t>Estado</w:t>
            </w:r>
          </w:p>
        </w:tc>
        <w:tc>
          <w:tcPr>
            <w:vAlign w:val="center"/>
          </w:tcPr>
          <w:p>
            <w:pPr>
              <w:pStyle w:val="Normal"/>
            </w:pPr>
            <w:r>
              <w:rPr>
                <w:b/>
              </w:rPr>
              <w:t>Código postal</w:t>
            </w:r>
          </w:p>
        </w:tc>
      </w:tr>
      <w:tr>
        <w:trPr/>
        <w:tc>
          <w:tcPr>
            <w:vAlign w:val="center"/>
          </w:tcPr>
          <w:p>
            <w:pPr>
              <w:pStyle w:val="Normal"/>
            </w:pPr>
            <w:r>
              <w:t>Brecha</w:t>
            </w:r>
          </w:p>
        </w:tc>
        <w:tc>
          <w:tcPr>
            <w:vAlign w:val="center"/>
          </w:tcPr>
          <w:p>
            <w:pPr>
              <w:pStyle w:val="Normal"/>
            </w:pPr>
            <w:r>
              <w:t>Pensilvania</w:t>
            </w:r>
          </w:p>
        </w:tc>
        <w:tc>
          <w:tcPr>
            <w:vAlign w:val="center"/>
          </w:tcPr>
          <w:p>
            <w:pPr>
              <w:pStyle w:val="Normal"/>
            </w:pPr>
            <w:r>
              <w:t xml:space="preserve">17527</w:t>
            </w:r>
          </w:p>
        </w:tc>
      </w:tr>
      <w:tr>
        <w:trPr/>
        <w:tc>
          <w:tcPr>
            <w:gridSpan w:val="2"/>
            <w:vAlign w:val="center"/>
          </w:tcPr>
          <w:p>
            <w:pPr>
              <w:pStyle w:val="Normal"/>
            </w:pPr>
            <w:r>
              <w:rPr>
                <w:b/>
              </w:rPr>
              <w:t>Administrador principal de la escuela</w:t>
            </w:r>
          </w:p>
        </w:tc>
        <w:tc>
          <w:tcPr>
            <w:vAlign w:val="center"/>
          </w:tcPr>
          <w:p>
            <w:pPr>
              <w:pStyle w:val="Normal"/>
            </w:pPr>
            <w:r>
              <w:rPr>
                <w:b/>
              </w:rPr>
              <w:t>Correo electrónico del administrador principal de la escuela</w:t>
            </w:r>
          </w:p>
        </w:tc>
      </w:tr>
      <w:tr>
        <w:trPr/>
        <w:tc>
          <w:tcPr>
            <w:gridSpan w:val="2"/>
            <w:vAlign w:val="center"/>
          </w:tcPr>
          <w:p>
            <w:pPr>
              <w:pStyle w:val="Normal"/>
            </w:pPr>
            <w:r>
              <w:t>Dr. Erik B. Orndorff</w:t>
            </w:r>
          </w:p>
        </w:tc>
        <w:tc>
          <w:tcPr>
            <w:vAlign w:val="center"/>
          </w:tcPr>
          <w:p>
            <w:pPr>
              <w:pStyle w:val="Normal"/>
            </w:pPr>
            <w:r>
              <w:t xml:space="preserve">erik_orndorff@pequeavalley.org</w:t>
            </w:r>
          </w:p>
        </w:tc>
      </w:tr>
      <w:tr>
        <w:trPr/>
        <w:tc>
          <w:tcPr>
            <w:gridSpan w:val="3"/>
            <w:vAlign w:val="center"/>
          </w:tcPr>
          <w:p>
            <w:pPr>
              <w:pStyle w:val="Normal"/>
            </w:pPr>
            <w:r>
              <w:rPr>
                <w:b/>
              </w:rPr>
              <w:t>Nombre principal</w:t>
            </w:r>
          </w:p>
        </w:tc>
      </w:tr>
      <w:tr>
        <w:trPr/>
        <w:tc>
          <w:tcPr>
            <w:gridSpan w:val="3"/>
            <w:vAlign w:val="center"/>
          </w:tcPr>
          <w:p>
            <w:pPr>
              <w:pStyle w:val="Normal"/>
            </w:pPr>
            <w:r>
              <w:t xml:space="preserve">Sheri McGowan</w:t>
            </w:r>
          </w:p>
        </w:tc>
      </w:tr>
      <w:tr>
        <w:trPr/>
        <w:tc>
          <w:tcPr>
            <w:gridSpan w:val="3"/>
            <w:vAlign w:val="center"/>
          </w:tcPr>
          <w:p>
            <w:pPr>
              <w:pStyle w:val="Normal"/>
            </w:pPr>
            <w:r>
              <w:rPr>
                <w:b/>
              </w:rPr>
              <w:t>Correo electrónico del director</w:t>
            </w:r>
          </w:p>
        </w:tc>
      </w:tr>
      <w:tr>
        <w:trPr/>
        <w:tc>
          <w:tcPr>
            <w:gridSpan w:val="3"/>
            <w:vAlign w:val="center"/>
          </w:tcPr>
          <w:p>
            <w:pPr>
              <w:pStyle w:val="Normal"/>
            </w:pPr>
            <w:r>
              <w:t xml:space="preserve">sheri_mcgowan@pequeavalley.org</w:t>
            </w:r>
          </w:p>
        </w:tc>
      </w:tr>
      <w:tr>
        <w:trPr/>
        <w:tc>
          <w:tcPr>
            <w:gridSpan w:val="2"/>
            <w:vAlign w:val="center"/>
          </w:tcPr>
          <w:p>
            <w:pPr>
              <w:pStyle w:val="Normal"/>
            </w:pPr>
            <w:r>
              <w:rPr>
                <w:b/>
              </w:rPr>
              <w:t>Número de teléfono principal</w:t>
            </w:r>
          </w:p>
        </w:tc>
        <w:tc>
          <w:tcPr>
            <w:vAlign w:val="center"/>
          </w:tcPr>
          <w:p>
            <w:pPr>
              <w:pStyle w:val="Normal"/>
            </w:pPr>
            <w:r>
              <w:rPr>
                <w:b/>
              </w:rPr>
              <w:t>Ampliación principal</w:t>
            </w:r>
          </w:p>
        </w:tc>
      </w:tr>
      <w:tr>
        <w:trPr/>
        <w:tc>
          <w:tcPr>
            <w:gridSpan w:val="2"/>
            <w:vAlign w:val="center"/>
          </w:tcPr>
          <w:p>
            <w:pPr>
              <w:pStyle w:val="Normal"/>
            </w:pPr>
            <w:r>
              <w:t xml:space="preserve">717-442-8268</w:t>
            </w:r>
          </w:p>
        </w:tc>
        <w:tc>
          <w:tcPr>
            <w:vAlign w:val="center"/>
          </w:tcPr>
          <w:p/>
        </w:tc>
      </w:tr>
      <w:tr>
        <w:trPr/>
        <w:tc>
          <w:tcPr>
            <w:gridSpan w:val="2"/>
            <w:vAlign w:val="center"/>
          </w:tcPr>
          <w:p>
            <w:pPr>
              <w:pStyle w:val="Normal"/>
            </w:pPr>
            <w:r>
              <w:rPr>
                <w:b/>
              </w:rPr>
              <w:t>Nombre del facilitador de mejoramiento escolar</w:t>
            </w:r>
          </w:p>
        </w:tc>
        <w:tc>
          <w:tcPr>
            <w:vAlign w:val="center"/>
          </w:tcPr>
          <w:p>
            <w:pPr>
              <w:pStyle w:val="Normal"/>
            </w:pPr>
            <w:r>
              <w:rPr>
                <w:b/>
              </w:rPr>
              <w:t>Correo electrónico del facilitador de mejoramiento escolar</w:t>
            </w:r>
          </w:p>
        </w:tc>
      </w:tr>
      <w:tr>
        <w:trPr/>
        <w:tc>
          <w:tcPr>
            <w:gridSpan w:val="2"/>
            <w:vAlign w:val="center"/>
          </w:tcPr>
          <w:p/>
        </w:tc>
        <w:tc>
          <w:tcPr>
            <w:vAlign w:val="center"/>
          </w:tcPr>
          <w:p/>
        </w:tc>
      </w:tr>
    </w:tbl>
    <w:p>
      <w:pPr>
        <w:pStyle w:val="Normal"/>
      </w:pPr>
      <w:r>
        <w:br w:type="page"/>
      </w:r>
      <w:r>
        <w:lastRenderedPageBreak/>
      </w:r>
    </w:p>
    <w:p>
      <w:pPr>
        <w:pStyle w:val="Heading1"/>
      </w:pPr>
      <w:r>
        <w:t>Visión para el aprendizaje</w:t>
      </w:r>
    </w:p>
    <w:p>
      <w:pPr>
        <w:pStyle w:val="Normal"/>
      </w:pPr>
      <w:r>
        <w:rPr>
          <w:b/>
        </w:rPr>
        <w:t>Visión para el aprendizaje</w:t>
      </w:r>
    </w:p>
    <w:p>
      <w:pPr>
        <w:pStyle w:val="Normal"/>
      </w:pPr>
      <w:r>
        <w:t>El Distrito Escolar de Pequea Valley se esforzará por crear un "Ambiente de Aprendizaje Ideal" que inspire a cada alumno a sobresalir. Nos reuniremos con cada alumno en su nivel, desafiándolos para que cada niño esté motivado a regresar cada día. Nos esforzamos por crear un entorno para que todos los estudiantes crezcan física, mental, social y emocionalmente. Creemos: El aprendizaje ocurre cuando se desarrolla una relación positiva con cada alumno de PV; El aprendizaje ocurre cuando el entorno se centra en la autonomía, el dominio y el propósito; El aprendizaje se producirá en entornos flexibles; El aprendizaje es una actividad colaborativa; El aprendizaje ocurre cuando se asocia con los intereses, las fortalezas y la zona de desarrollo próximo del niño; El aprendizaje ocurre a diferentes ritmos y ritmos; El aprendizaje permitirá que CADA estudiante de PV reciba su "Primera Opción" postsecundaria.</w:t>
      </w:r>
    </w:p>
    <w:p>
      <w:pPr>
        <w:pStyle w:val="Normal"/>
      </w:pPr>
      <w:r>
        <w:br w:type="page"/>
      </w:r>
      <w:r>
        <w:lastRenderedPageBreak/>
      </w:r>
    </w:p>
    <w:p>
      <w:pPr>
        <w:pStyle w:val="Heading1"/>
      </w:pPr>
      <w:r>
        <w:t>Índice de PA preparada para el futuro</w:t>
      </w:r>
    </w:p>
    <w:p>
      <w:pPr>
        <w:pStyle w:val="Heading2"/>
      </w:pPr>
      <w:r>
        <w:t>Competente o avanzado en artes del lenguaje inglés/literatura</w:t>
      </w:r>
    </w:p>
    <w:p>
      <w:pPr>
        <w:pStyle w:val="Normal"/>
      </w:pPr>
      <w:r>
        <w:rPr>
          <w:b/>
        </w:rPr>
        <w:t>Falso No tenemos datos del índice Future Ready Pa para este indicador</w:t>
      </w:r>
      <w:r/>
    </w:p>
    <w:p>
      <w:pPr>
        <w:pStyle w:val="Heading3"/>
      </w:pPr>
      <w:r>
        <w:t>Comentarios/Observaciones notables</w:t>
      </w:r>
    </w:p>
    <w:p>
      <w:pPr>
        <w:pStyle w:val="Normal"/>
      </w:pPr>
      <w:r>
        <w:t>El 48,7% de los estudiantes en los grados 3 a 6 fueron competentes o avanzados en la PSSA de lengua y literatura inglesa.</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Verdaderos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El 50,4% de los estudiantes blancos obtuvieron calificaciones competentes o avanzadas en su ELA PSSA. Esto está por encima del promedio escolar y estatal.</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Hubo una disminución del 8 % en el porcentaje de estudiantes con IEP que tuvieron dominio en la PSSA de artes del lenguaje inglés.</w:t>
            </w:r>
          </w:p>
        </w:tc>
      </w:tr>
      <w:tr>
        <w:trPr/>
        <w:tc>
          <w:tcPr>
            <w:vAlign w:val="center"/>
          </w:tcPr>
          <w:p>
            <w:pPr>
              <w:pStyle w:val="Normal"/>
            </w:pPr>
            <w:r>
              <w:t>Económicamente en desventaja</w:t>
            </w:r>
          </w:p>
        </w:tc>
        <w:tc>
          <w:tcPr>
            <w:vAlign w:val="center"/>
          </w:tcPr>
          <w:p>
            <w:pPr>
              <w:pStyle w:val="Normal"/>
            </w:pPr>
            <w:r>
              <w:t>El 42,5% de los estudiantes económicamente desfavorecidos eran competentes y avanzados. Esta fue una disminución del 4% respecto al año anterior.</w:t>
            </w:r>
          </w:p>
        </w:tc>
      </w:tr>
    </w:tbl>
    <w:p>
      <w:pPr>
        <w:pStyle w:val="Heading2"/>
      </w:pPr>
      <w:r>
        <w:t>Competente o avanzado en Matemáticas/Álgebra</w:t>
      </w:r>
    </w:p>
    <w:p>
      <w:pPr>
        <w:pStyle w:val="Normal"/>
      </w:pPr>
      <w:r>
        <w:rPr>
          <w:b/>
        </w:rPr>
        <w:t>Falso No tenemos datos del índice Future Ready Pa para este indicador</w:t>
      </w:r>
      <w:r/>
    </w:p>
    <w:p>
      <w:pPr>
        <w:pStyle w:val="Heading3"/>
      </w:pPr>
      <w:r>
        <w:t>Comentarios/Observaciones notables</w:t>
      </w:r>
    </w:p>
    <w:p>
      <w:pPr>
        <w:pStyle w:val="Normal"/>
      </w:pPr>
      <w:r>
        <w:t>El 51,3% de los estudiantes en los grados 3 a 6 fueron competentes o avanzados en la prueba PSSA de matemáticas. Esto fue un 10% por encima del promedio estatal.</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Verdaderos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hispano</w:t>
            </w:r>
          </w:p>
        </w:tc>
        <w:tc>
          <w:tcPr>
            <w:vAlign w:val="center"/>
          </w:tcPr>
          <w:p>
            <w:pPr>
              <w:pStyle w:val="Normal"/>
            </w:pPr>
            <w:r>
              <w:t>Hubo un aumento del 6% en el número de estudiantes hispanos que obtuvieron calificaciones competentes y avanzados en la prueba PSSA de Matemáticas del año escolar 23/24 al año escolar 24/25.</w:t>
            </w:r>
          </w:p>
        </w:tc>
      </w:tr>
      <w:tr>
        <w:trPr/>
        <w:tc>
          <w:tcPr>
            <w:vAlign w:val="center"/>
          </w:tcPr>
          <w:p>
            <w:pPr>
              <w:pStyle w:val="Normal"/>
            </w:pPr>
            <w:r>
              <w:t>Económicamente en desventaja</w:t>
            </w:r>
          </w:p>
        </w:tc>
        <w:tc>
          <w:tcPr>
            <w:vAlign w:val="center"/>
          </w:tcPr>
          <w:p>
            <w:pPr>
              <w:pStyle w:val="Normal"/>
            </w:pPr>
            <w:r>
              <w:t>Hubo un aumento del 6% en el número de estudiantes en desventaja económica que obtuvieron calificaciones competentes y avanzados en la prueba PSSA de Matemáticas desde el año escolar 23/24 hasta el año escolar 24/25.</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hispano</w:t>
            </w:r>
          </w:p>
        </w:tc>
        <w:tc>
          <w:tcPr>
            <w:vAlign w:val="center"/>
          </w:tcPr>
          <w:p>
            <w:pPr>
              <w:pStyle w:val="Normal"/>
            </w:pPr>
            <w:r>
              <w:t>El 30,8% de los estudiantes hispanos obtuvieron resultados competentes o avanzados en la prueba PSSA de Matemáticas. Esto es un 20,5% menos que toda la población escolar.</w:t>
            </w:r>
          </w:p>
        </w:tc>
      </w:tr>
      <w:tr>
        <w:trPr/>
        <w:tc>
          <w:tcPr>
            <w:vAlign w:val="center"/>
          </w:tcPr>
          <w:p>
            <w:pPr>
              <w:pStyle w:val="Normal"/>
            </w:pPr>
            <w:r>
              <w:t>Estudiantes con discapacidades</w:t>
            </w:r>
          </w:p>
        </w:tc>
        <w:tc>
          <w:tcPr>
            <w:vAlign w:val="center"/>
          </w:tcPr>
          <w:p>
            <w:pPr>
              <w:pStyle w:val="Normal"/>
            </w:pPr>
            <w:r>
              <w:t>El 17,8% de los estudiantes con discapacidades obtuvieron resultados competentes o avanzados en la PSSA de Matemáticas.</w:t>
            </w:r>
          </w:p>
        </w:tc>
      </w:tr>
    </w:tbl>
    <w:p>
      <w:pPr>
        <w:pStyle w:val="Heading2"/>
      </w:pPr>
      <w:r>
        <w:t>Cumplir con las Expectativas Anuales de Crecimiento Académico (PVAAS) en Artes del Lenguaje Inglés/Literatura</w:t>
      </w:r>
    </w:p>
    <w:p>
      <w:pPr>
        <w:pStyle w:val="Normal"/>
      </w:pPr>
      <w:r>
        <w:rPr>
          <w:b/>
        </w:rPr>
        <w:t>Falso No tenemos datos del índice Future Ready Pa para este indicador</w:t>
      </w:r>
      <w:r/>
    </w:p>
    <w:p>
      <w:pPr>
        <w:pStyle w:val="Heading3"/>
      </w:pPr>
      <w:r>
        <w:t>Comentarios/Observaciones notables</w:t>
      </w:r>
    </w:p>
    <w:p>
      <w:pPr>
        <w:pStyle w:val="Normal"/>
      </w:pPr>
      <w:r>
        <w:t>La puntuación de crecimiento académico en Artes del Lenguaje Inglés/Literatura fue 68, lo que no cumple con el estándar de crecimiento anual. Esto también es 11 puntos menos que el año escolar anterior.</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Verdaderos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Económicamente en desventaja</w:t>
            </w:r>
          </w:p>
        </w:tc>
        <w:tc>
          <w:tcPr>
            <w:vAlign w:val="center"/>
          </w:tcPr>
          <w:p>
            <w:pPr>
              <w:pStyle w:val="Normal"/>
            </w:pPr>
            <w:r>
              <w:t>El grupo económicamente desfavorecido alcanzó la meta de crecimiento en ELA PSSA.</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El subgrupo de estudiantes con discapacidades no cumplió con la meta de crecimiento para ELA PSSA. En 23/24, este grupo reflejó una puntuación de crecimiento de 87. Su puntuación de crecimiento en 24/25 fue 67.</w:t>
            </w:r>
          </w:p>
        </w:tc>
      </w:tr>
      <w:tr>
        <w:trPr/>
        <w:tc>
          <w:tcPr>
            <w:vAlign w:val="center"/>
          </w:tcPr>
          <w:p>
            <w:pPr>
              <w:pStyle w:val="Normal"/>
            </w:pPr>
            <w:r>
              <w:t>Blanco</w:t>
            </w:r>
          </w:p>
        </w:tc>
        <w:tc>
          <w:tcPr>
            <w:vAlign w:val="center"/>
          </w:tcPr>
          <w:p>
            <w:pPr>
              <w:pStyle w:val="Normal"/>
            </w:pPr>
            <w:r>
              <w:t>El subgrupo Blanco no cumplió con la meta de crecimiento. En 23/24, este grupo reflejó una puntuación de crecimiento de 78. Su puntuación de crecimiento en 24/25 fue 61.</w:t>
            </w:r>
          </w:p>
        </w:tc>
      </w:tr>
    </w:tbl>
    <w:p>
      <w:pPr>
        <w:pStyle w:val="Heading2"/>
      </w:pPr>
      <w:r>
        <w:t>Cumplir con las expectativas anuales de crecimiento académico (PVAAS) en Matemáticas/Álgebra</w:t>
      </w:r>
    </w:p>
    <w:p>
      <w:pPr>
        <w:pStyle w:val="Normal"/>
      </w:pPr>
      <w:r>
        <w:rPr>
          <w:b/>
        </w:rPr>
        <w:t>Falso No tenemos datos del índice Future Ready Pa para este indicador</w:t>
      </w:r>
      <w:r/>
    </w:p>
    <w:p>
      <w:pPr>
        <w:pStyle w:val="Heading3"/>
      </w:pPr>
      <w:r>
        <w:t>Comentarios/Observaciones notables</w:t>
      </w:r>
    </w:p>
    <w:p>
      <w:pPr>
        <w:pStyle w:val="Normal"/>
      </w:pPr>
      <w:r>
        <w:t>En general, los estudiantes cumplieron con el estándar de crecimiento en Matemáticas, con una puntuación de 71. Esto está por debajo del promedio estatal de 74,9.</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Blanco</w:t>
            </w:r>
          </w:p>
        </w:tc>
        <w:tc>
          <w:tcPr>
            <w:vAlign w:val="center"/>
          </w:tcPr>
          <w:p>
            <w:pPr>
              <w:pStyle w:val="Normal"/>
            </w:pPr>
            <w:r>
              <w:t>La puntuación de crecimiento del subgrupo blanco en la prueba PSSA de Matemáticas fue 73, que está por encima de la puntuación general del edificio.</w:t>
            </w:r>
          </w:p>
        </w:tc>
      </w:tr>
      <w:tr>
        <w:trPr/>
        <w:tc>
          <w:tcPr>
            <w:vAlign w:val="center"/>
          </w:tcPr>
          <w:p>
            <w:pPr>
              <w:pStyle w:val="Normal"/>
            </w:pPr>
            <w:r>
              <w:t>Económicamente en desventaja</w:t>
            </w:r>
          </w:p>
        </w:tc>
        <w:tc>
          <w:tcPr>
            <w:vAlign w:val="center"/>
          </w:tcPr>
          <w:p>
            <w:pPr>
              <w:pStyle w:val="Normal"/>
            </w:pPr>
            <w:r>
              <w:t>El subgrupo en desventaja económica cumplió con la meta de crecimiento en el PSSA de Matemáticas.</w:t>
            </w:r>
          </w:p>
        </w:tc>
      </w:tr>
      <w:tr>
        <w:trPr/>
        <w:tc>
          <w:tcPr>
            <w:vAlign w:val="center"/>
          </w:tcPr>
          <w:p>
            <w:pPr>
              <w:pStyle w:val="Normal"/>
            </w:pPr>
            <w:r>
              <w:t>Estudiantes con discapacidades</w:t>
            </w:r>
          </w:p>
        </w:tc>
        <w:tc>
          <w:tcPr>
            <w:vAlign w:val="center"/>
          </w:tcPr>
          <w:p>
            <w:pPr>
              <w:pStyle w:val="Normal"/>
            </w:pPr>
            <w:r>
              <w:t>El subgrupo de Estudiantes con Discapacidades cumplió con la meta de crecimiento en el PSSA de Matemáticas.</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El subgrupo de estudiantes con discapacidades obtuvo una puntuación de crecimiento de 70. Esta puntuación es consistente con la puntuación del año anterior.</w:t>
            </w:r>
          </w:p>
        </w:tc>
      </w:tr>
    </w:tbl>
    <w:p>
      <w:pPr>
        <w:pStyle w:val="Heading2"/>
      </w:pPr>
      <w:r>
        <w:t xml:space="preserve">Crecimiento y logro del idioma inglés </w:t>
      </w:r>
    </w:p>
    <w:p>
      <w:pPr>
        <w:pStyle w:val="Normal"/>
      </w:pPr>
      <w:r>
        <w:rPr>
          <w:b/>
        </w:rPr>
        <w:t>Verdadero No tenemos datos del índice Future Ready Pa para este indicador</w:t>
      </w:r>
      <w:r/>
    </w:p>
    <w:p>
      <w:pPr>
        <w:pStyle w:val="Heading3"/>
      </w:pPr>
      <w:r>
        <w:t>Comentarios/Observaciones notables</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2"/>
      </w:pPr>
      <w:r>
        <w:t xml:space="preserve">Asistencia regular </w:t>
      </w:r>
    </w:p>
    <w:p>
      <w:pPr>
        <w:pStyle w:val="Normal"/>
      </w:pPr>
      <w:r>
        <w:rPr>
          <w:b/>
        </w:rPr>
        <w:t>Falso No tenemos datos del índice Future Ready Pa para este indicador</w:t>
      </w:r>
      <w:r/>
    </w:p>
    <w:p>
      <w:pPr>
        <w:pStyle w:val="Heading3"/>
      </w:pPr>
      <w:r>
        <w:t>Comentarios/Observaciones notables</w:t>
      </w:r>
    </w:p>
    <w:p>
      <w:pPr>
        <w:pStyle w:val="Normal"/>
      </w:pPr>
      <w:r>
        <w:t>Todos los estudiantes asistieron durante el 90,8% del año escolar. Esto está muy por encima del promedio estatal del 79,6%.</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hispano</w:t>
            </w:r>
          </w:p>
        </w:tc>
        <w:tc>
          <w:tcPr>
            <w:vAlign w:val="center"/>
          </w:tcPr>
          <w:p>
            <w:pPr>
              <w:pStyle w:val="Normal"/>
            </w:pPr>
            <w:r>
              <w:t>La asistencia de la población hispana fue del 95,2%. Este es un aumento con respecto al año anterior.</w:t>
            </w:r>
          </w:p>
        </w:tc>
      </w:tr>
      <w:tr>
        <w:trPr/>
        <w:tc>
          <w:tcPr>
            <w:vAlign w:val="center"/>
          </w:tcPr>
          <w:p>
            <w:pPr>
              <w:pStyle w:val="Normal"/>
            </w:pPr>
            <w:r>
              <w:t>Económicamente en desventaja</w:t>
            </w:r>
          </w:p>
        </w:tc>
        <w:tc>
          <w:tcPr>
            <w:vAlign w:val="center"/>
          </w:tcPr>
          <w:p>
            <w:pPr>
              <w:pStyle w:val="Normal"/>
            </w:pPr>
            <w:r>
              <w:t>Aunque la asistencia del subgrupo económicamente desfavorecido estuvo por debajo del promedio del edificio, hubo un aumento del 1,5% respecto al año anterior.</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Estudiantes con discapacidades</w:t>
            </w:r>
          </w:p>
        </w:tc>
        <w:tc>
          <w:tcPr>
            <w:vAlign w:val="center"/>
          </w:tcPr>
          <w:p>
            <w:pPr>
              <w:pStyle w:val="Normal"/>
            </w:pPr>
            <w:r>
              <w:t>La asistencia del subgrupo de Estudiantes con Discapacidades fue del 81,8% durante el año escolar 24/25. Esta fue una disminución del 11% respecto al año anterior.</w:t>
            </w:r>
          </w:p>
        </w:tc>
      </w:tr>
    </w:tbl>
    <w:p>
      <w:pPr>
        <w:pStyle w:val="Heading2"/>
      </w:pPr>
      <w:r>
        <w:t xml:space="preserve">Punto de referencia de estándares profesionales </w:t>
      </w:r>
    </w:p>
    <w:p>
      <w:pPr>
        <w:pStyle w:val="Normal"/>
      </w:pPr>
      <w:r>
        <w:rPr>
          <w:b/>
        </w:rPr>
        <w:t>Falso No tenemos datos del índice Future Ready Pa para este indicador</w:t>
      </w:r>
      <w:r/>
    </w:p>
    <w:p>
      <w:pPr>
        <w:pStyle w:val="Heading3"/>
      </w:pPr>
      <w:r>
        <w:t>Comentarios/Observaciones notables</w:t>
      </w:r>
    </w:p>
    <w:p>
      <w:pPr>
        <w:pStyle w:val="Normal"/>
      </w:pPr>
      <w:r>
        <w:t>El 100% de nuestros estudiantes cumplieron con los Estándares Profesionales. El promedio estatal es del 91,5%.</w:t>
      </w:r>
    </w:p>
    <w:tbl>
      <w:tblPr>
        <w:tblStyle w:val="TableGrid"/>
        <w:tblW w:w="5000" w:type="pct"/>
      </w:tblPr>
      <w:tblGrid>
        <w:gridCol/>
        <w:gridCol/>
        <w:gridCol/>
      </w:tblGrid>
      <w:tr>
        <w:trPr/>
        <w:tc>
          <w:tcPr>
            <w:vAlign w:val="center"/>
          </w:tcPr>
          <w:p>
            <w:pPr>
              <w:pStyle w:val="Normal"/>
            </w:pPr>
            <w:r>
              <w:rPr>
                <w:b/>
              </w:rPr>
              <w:t>Verdaderas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Económicamente en desventaja</w:t>
            </w:r>
          </w:p>
        </w:tc>
        <w:tc>
          <w:tcPr>
            <w:vAlign w:val="center"/>
          </w:tcPr>
          <w:p>
            <w:pPr>
              <w:pStyle w:val="Normal"/>
            </w:pPr>
            <w:r>
              <w:t>Esta población mantuvo un 100% de cumplimiento con los Estándares Profesionales.</w:t>
            </w: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pPr>
              <w:pStyle w:val="Normal"/>
            </w:pPr>
            <w:r>
              <w:t>hispano</w:t>
            </w:r>
          </w:p>
        </w:tc>
        <w:tc>
          <w:tcPr>
            <w:vAlign w:val="center"/>
          </w:tcPr>
          <w:p>
            <w:pPr>
              <w:pStyle w:val="Normal"/>
            </w:pPr>
            <w:r>
              <w:t>Debido a la población escolar general, no hay población suficiente para crear un subgrupo.</w:t>
            </w:r>
          </w:p>
        </w:tc>
      </w:tr>
    </w:tbl>
    <w:p>
      <w:pPr>
        <w:pStyle w:val="Heading2"/>
      </w:pPr>
      <w:r>
        <w:t>Tasa de graduación de la escuela secundaria Cohorte de cuatro años</w:t>
      </w:r>
    </w:p>
    <w:p>
      <w:pPr>
        <w:pStyle w:val="Normal"/>
      </w:pPr>
      <w:r>
        <w:rPr>
          <w:b/>
        </w:rPr>
        <w:t>Verdadero No tenemos datos del índice Future Ready Pa para este indicador</w:t>
      </w:r>
      <w:r/>
    </w:p>
    <w:p>
      <w:pPr>
        <w:pStyle w:val="Heading3"/>
      </w:pPr>
      <w:r>
        <w:t>Comentarios/Observaciones notables</w:t>
      </w:r>
    </w:p>
    <w:tbl>
      <w:tblPr>
        <w:tblStyle w:val="TableGrid"/>
        <w:tblW w:w="5000" w:type="pct"/>
      </w:tblPr>
      <w:tblGrid>
        <w:gridCol/>
        <w:gridCol/>
        <w:gridCol/>
      </w:tblGrid>
      <w:tr>
        <w:trPr/>
        <w:tc>
          <w:tcPr>
            <w:vAlign w:val="center"/>
          </w:tcPr>
          <w:p>
            <w:pPr>
              <w:pStyle w:val="Normal"/>
            </w:pPr>
            <w:r>
              <w:rPr>
                <w:b/>
              </w:rPr>
              <w:t>Falsas fortalezas</w:t>
            </w:r>
            <w:r/>
          </w:p>
        </w:tc>
        <w:tc>
          <w:tcPr>
            <w:vAlign w:val="center"/>
          </w:tcPr>
          <w:p>
            <w:pPr>
              <w:pStyle w:val="Normal"/>
            </w:pPr>
            <w:r>
              <w:rPr>
                <w:b/>
              </w:rPr>
              <w:t>Falsos desafíos</w:t>
            </w:r>
            <w:r/>
          </w:p>
        </w:tc>
        <w:tc>
          <w:tcPr>
            <w:vAlign w:val="center"/>
          </w:tcPr>
          <w:p>
            <w:pPr>
              <w:pStyle w:val="Normal"/>
            </w:pPr>
            <w:r>
              <w:rPr>
                <w:b/>
              </w:rPr>
              <w:t>Falso N/A</w:t>
            </w:r>
            <w:r/>
          </w:p>
        </w:tc>
      </w:tr>
    </w:tbl>
    <w:p>
      <w:pPr>
        <w:pStyle w:val="Heading3"/>
      </w:pPr>
      <w:r>
        <w:t>Fortalezas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3"/>
      </w:pPr>
      <w:r>
        <w:t>Desafíos</w:t>
      </w:r>
    </w:p>
    <w:tbl>
      <w:tblPr>
        <w:tblStyle w:val="TableGrid"/>
        <w:tblW w:w="5000" w:type="pct"/>
      </w:tblPr>
      <w:tblGrid>
        <w:gridCol/>
        <w:gridCol/>
      </w:tblGrid>
      <w:tr>
        <w:trPr/>
        <w:tc>
          <w:tcPr>
            <w:vAlign w:val="center"/>
          </w:tcPr>
          <w:p>
            <w:pPr>
              <w:pStyle w:val="Normal"/>
            </w:pPr>
            <w:r>
              <w:t>Subgrupos de estudiantes de ESSA</w:t>
            </w:r>
          </w:p>
        </w:tc>
        <w:tc>
          <w:tcPr>
            <w:vAlign w:val="center"/>
          </w:tcPr>
          <w:p>
            <w:pPr>
              <w:pStyle w:val="Normal"/>
            </w:pPr>
            <w:r>
              <w:t>Indicador</w:t>
            </w:r>
          </w:p>
        </w:tc>
      </w:tr>
      <w:tr>
        <w:trPr/>
        <w:tc>
          <w:tcPr>
            <w:vAlign w:val="center"/>
          </w:tcPr>
          <w:p/>
        </w:tc>
        <w:tc>
          <w:tcPr>
            <w:vAlign w:val="center"/>
          </w:tcPr>
          <w:p/>
        </w:tc>
      </w:tr>
      <w:tr>
        <w:trPr/>
        <w:tc>
          <w:tcPr>
            <w:vAlign w:val="center"/>
          </w:tcPr>
          <w:p/>
        </w:tc>
        <w:tc>
          <w:tcPr>
            <w:vAlign w:val="center"/>
          </w:tcPr>
          <w:p/>
        </w:tc>
      </w:tr>
    </w:tbl>
    <w:p>
      <w:pPr>
        <w:pStyle w:val="Heading2"/>
      </w:pPr>
      <w:r>
        <w:t>Resumen</w:t>
      </w:r>
    </w:p>
    <w:p>
      <w:pPr>
        <w:pStyle w:val="Heading3"/>
      </w:pPr>
      <w:r>
        <w:t>Fortalezas</w:t>
      </w:r>
    </w:p>
    <w:p>
      <w:pPr>
        <w:pStyle w:val="Normal"/>
      </w:pPr>
      <w:r>
        <w:t>Revise las fortalezas enumeradas. Seleccione las fortalezas que han tenido el impacto más significativo al abordar sus desafíos más apremiantes.</w:t>
      </w:r>
    </w:p>
    <w:tbl>
      <w:tblPr>
        <w:tblStyle w:val="TableGrid"/>
        <w:tblW w:w="5000" w:type="pct"/>
      </w:tblPr>
      <w:tblGrid>
        <w:gridCol/>
      </w:tblGrid>
      <w:tr>
        <w:trPr/>
        <w:tc>
          <w:tcPr>
            <w:vAlign w:val="center"/>
          </w:tcPr>
          <w:p>
            <w:pPr>
              <w:pStyle w:val="Normal"/>
            </w:pPr>
            <w:r>
              <w:t>El 100% de nuestros estudiantes cumplieron con los Estándares Profesionales.</w:t>
            </w:r>
          </w:p>
        </w:tc>
      </w:tr>
    </w:tbl>
    <w:p>
      <w:pPr>
        <w:pStyle w:val="Heading3"/>
      </w:pPr>
      <w:r>
        <w:t>Desafíos</w:t>
      </w:r>
    </w:p>
    <w:p>
      <w:pPr>
        <w:pStyle w:val="Normal"/>
      </w:pPr>
      <w:r>
        <w:t>Revise los desafíos enumerados. Seleccione los desafíos que, si se mejoraran, tendrían el mayor impacto en el logro de los objetivos del índice Future Ready PA.</w:t>
      </w:r>
    </w:p>
    <w:tbl>
      <w:tblPr>
        <w:tblStyle w:val="TableGrid"/>
        <w:tblW w:w="5000" w:type="pct"/>
      </w:tblPr>
      <w:tblGrid>
        <w:gridCol/>
      </w:tblGrid>
      <w:tr>
        <w:trPr/>
        <w:tc>
          <w:tcPr>
            <w:vAlign w:val="center"/>
          </w:tcPr>
          <w:p>
            <w:pPr>
              <w:pStyle w:val="Normal"/>
            </w:pPr>
            <w:r>
              <w:t>El 48,7% de los estudiantes en los grados 3 a 6 fueron competentes o avanzados en la PSSA de lengua y literatura inglesa.</w:t>
            </w:r>
          </w:p>
        </w:tc>
      </w:tr>
      <w:tr>
        <w:trPr/>
        <w:tc>
          <w:tcPr>
            <w:vAlign w:val="center"/>
          </w:tcPr>
          <w:p>
            <w:pPr>
              <w:pStyle w:val="Normal"/>
            </w:pPr>
            <w:r>
              <w:t>El 51,3% de los estudiantes en los grados 3 a 6 fueron competentes o avanzados en la prueba PSSA de matemáticas. Esto fue un 10% por encima del promedio estatal.</w:t>
            </w:r>
          </w:p>
        </w:tc>
      </w:tr>
    </w:tbl>
    <w:p>
      <w:pPr>
        <w:pStyle w:val="Normal"/>
      </w:pPr>
      <w:r>
        <w:br w:type="page"/>
      </w:r>
      <w:r>
        <w:lastRenderedPageBreak/>
      </w:r>
    </w:p>
    <w:p>
      <w:pPr>
        <w:pStyle w:val="Heading1"/>
      </w:pPr>
      <w:r>
        <w:t>Evaluación Local</w:t>
      </w:r>
    </w:p>
    <w:p>
      <w:pPr>
        <w:pStyle w:val="Heading2"/>
      </w:pPr>
      <w:r>
        <w:t>Artes del lenguaje inglés</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Artes del lenguaje inglés - NWEA MAP</w:t>
            </w:r>
          </w:p>
        </w:tc>
        <w:tc>
          <w:tcPr>
            <w:vAlign w:val="center"/>
          </w:tcPr>
          <w:p>
            <w:pPr>
              <w:pStyle w:val="Normal"/>
            </w:pPr>
            <w:r>
              <w:t>El 66% de los estudiantes estaban en o por encima del percentil 41 en la evaluación MAP de artes del lenguaje inglés.</w:t>
            </w:r>
          </w:p>
        </w:tc>
      </w:tr>
      <w:tr>
        <w:trPr/>
        <w:tc>
          <w:tcPr>
            <w:vAlign w:val="center"/>
          </w:tcPr>
          <w:p>
            <w:pPr>
              <w:pStyle w:val="Normal"/>
            </w:pPr>
            <w:r>
              <w:t>Artes del lenguaje inglés - NWEA MAP</w:t>
            </w:r>
          </w:p>
        </w:tc>
        <w:tc>
          <w:tcPr>
            <w:vAlign w:val="center"/>
          </w:tcPr>
          <w:p>
            <w:pPr>
              <w:pStyle w:val="Normal"/>
            </w:pPr>
            <w:r>
              <w:t>El 63% de los estudiantes cumplieron con su Proyección de Crecimiento en la Evaluación MAP de Artes Lingüísticas en Inglés.</w:t>
            </w:r>
          </w:p>
        </w:tc>
      </w:tr>
      <w:tr>
        <w:trPr/>
        <w:tc>
          <w:tcPr>
            <w:vAlign w:val="center"/>
          </w:tcPr>
          <w:p>
            <w:pPr>
              <w:pStyle w:val="Normal"/>
            </w:pPr>
            <w:r>
              <w:t>Artes del lenguaje inglés - mClass</w:t>
            </w:r>
          </w:p>
        </w:tc>
        <w:tc>
          <w:tcPr>
            <w:vAlign w:val="center"/>
          </w:tcPr>
          <w:p>
            <w:pPr>
              <w:pStyle w:val="Normal"/>
            </w:pPr>
            <w:r>
              <w:t>El 55% de todos los estudiantes lograron una puntuación compuesta igual o superior al punto de referencia en la evaluación mClass de artes del lenguaje inglés.</w:t>
            </w:r>
          </w:p>
        </w:tc>
      </w:tr>
      <w:tr>
        <w:trPr/>
        <w:tc>
          <w:tcPr>
            <w:vAlign w:val="center"/>
          </w:tcPr>
          <w:p>
            <w:pPr>
              <w:pStyle w:val="Normal"/>
            </w:pPr>
            <w:r>
              <w:t>Artes del lenguaje inglés - 6to grado mClass</w:t>
            </w:r>
          </w:p>
        </w:tc>
        <w:tc>
          <w:tcPr>
            <w:vAlign w:val="center"/>
          </w:tcPr>
          <w:p>
            <w:pPr>
              <w:pStyle w:val="Normal"/>
            </w:pPr>
            <w:r>
              <w:t>El 47 % de los estudiantes de sexto grado lograron una puntuación compuesta igual o superior al punto de referencia en artes del lenguaje inglés al comienzo del año escolar 2025/2026. Al final del año, el 63% de los estudiantes de sexto grado lograron una puntuación compuesta igual o superior al punto de referencia en la evaluación mClass de artes del lenguaje inglés.</w:t>
            </w:r>
          </w:p>
        </w:tc>
      </w:tr>
      <w:tr>
        <w:trPr/>
        <w:tc>
          <w:tcPr>
            <w:vAlign w:val="center"/>
          </w:tcPr>
          <w:p>
            <w:pPr>
              <w:pStyle w:val="Normal"/>
            </w:pPr>
            <w:r>
              <w:t>Artes del Lenguaje Inglés - Jardín de Infantes mClass</w:t>
            </w:r>
          </w:p>
        </w:tc>
        <w:tc>
          <w:tcPr>
            <w:vAlign w:val="center"/>
          </w:tcPr>
          <w:p>
            <w:pPr>
              <w:pStyle w:val="Normal"/>
            </w:pPr>
            <w:r>
              <w:t>El 26% de los estudiantes de jardín de infantes obtuvieron un puntaje compuesto igual o superior al punto de referencia en la evaluación mClass de artes del lenguaje inglés al comienzo del año escolar 2025/2026. Al final del año escolar, el 72% de los estudiantes lograron una puntuación compuesta igual o superior al punto de referencia en la evaluación.</w:t>
            </w:r>
          </w:p>
        </w:tc>
      </w:tr>
    </w:tbl>
    <w:p>
      <w:pPr>
        <w:pStyle w:val="Heading2"/>
      </w:pPr>
      <w:r>
        <w:t>Resumen de artes del lenguaje inglés</w:t>
      </w:r>
    </w:p>
    <w:p>
      <w:pPr>
        <w:pStyle w:val="Heading3"/>
      </w:pPr>
      <w:r>
        <w:t>Fortalezas</w:t>
      </w:r>
    </w:p>
    <w:tbl>
      <w:tblPr>
        <w:tblStyle w:val="TableGrid"/>
        <w:tblW w:w="5000" w:type="pct"/>
      </w:tblPr>
      <w:tblGrid>
        <w:gridCol/>
      </w:tblGrid>
      <w:tr>
        <w:trPr/>
        <w:tc>
          <w:tcPr>
            <w:vAlign w:val="center"/>
          </w:tcPr>
          <w:p>
            <w:pPr>
              <w:pStyle w:val="Normal"/>
            </w:pPr>
            <w:r>
              <w:t>Equipo dedicado de educadores para centrarse en la implementación de MTSS, revisando los datos de los estudiantes y analizando los datos de los estudiantes individuales para determinar los niveles apropiados de apoyo académico.</w:t>
            </w:r>
          </w:p>
        </w:tc>
      </w:tr>
      <w:tr>
        <w:trPr/>
        <w:tc>
          <w:tcPr>
            <w:vAlign w:val="center"/>
          </w:tcPr>
          <w:p>
            <w:pPr>
              <w:pStyle w:val="Normal"/>
            </w:pPr>
            <w:r>
              <w:t>Tiempo de equipo dedicado para la planificación de la instrucción ELA a nivel de grado.</w:t>
            </w:r>
          </w:p>
        </w:tc>
      </w:tr>
      <w:tr>
        <w:trPr/>
        <w:tc>
          <w:tcPr>
            <w:vAlign w:val="center"/>
          </w:tcPr>
          <w:p>
            <w:pPr>
              <w:pStyle w:val="Normal"/>
            </w:pPr>
            <w:r>
              <w:t>Oportunidades para que los estudiantes se agrupen para la instrucción de habilidades según los niveles académicos.</w:t>
            </w:r>
          </w:p>
        </w:tc>
      </w:tr>
      <w:tr>
        <w:trPr/>
        <w:tc>
          <w:tcPr>
            <w:vAlign w:val="center"/>
          </w:tcPr>
          <w:p>
            <w:pPr>
              <w:pStyle w:val="Normal"/>
            </w:pPr>
            <w:r>
              <w:t>Implementación continua de un recurso cohesivo para la instrucción ELA K-6.</w:t>
            </w:r>
          </w:p>
        </w:tc>
      </w:tr>
    </w:tbl>
    <w:p>
      <w:pPr>
        <w:pStyle w:val="Heading3"/>
      </w:pPr>
      <w:r>
        <w:t>Desafíos</w:t>
      </w:r>
    </w:p>
    <w:tbl>
      <w:tblPr>
        <w:tblStyle w:val="TableGrid"/>
        <w:tblW w:w="5000" w:type="pct"/>
      </w:tblPr>
      <w:tblGrid>
        <w:gridCol/>
      </w:tblGrid>
      <w:tr>
        <w:trPr/>
        <w:tc>
          <w:tcPr>
            <w:vAlign w:val="center"/>
          </w:tcPr>
          <w:p>
            <w:pPr>
              <w:pStyle w:val="Normal"/>
            </w:pPr>
            <w:r>
              <w:t>La correlación entre los estudiantes con calificaciones iguales o superiores al punto de referencia en las evaluaciones universales locales no se alinea con el porcentaje de estudiantes con calificaciones competentes o avanzadas en la prueba PSSA de lengua y literatura inglesa.</w:t>
            </w:r>
          </w:p>
        </w:tc>
      </w:tr>
      <w:tr>
        <w:trPr/>
        <w:tc>
          <w:tcPr>
            <w:vAlign w:val="center"/>
          </w:tcPr>
          <w:p>
            <w:pPr>
              <w:pStyle w:val="Normal"/>
            </w:pPr>
            <w:r>
              <w:t>Contratar y programar paraprofesionales de Título 1 para apoyar a los estudiantes con las mayores necesidades.</w:t>
            </w:r>
          </w:p>
        </w:tc>
      </w:tr>
      <w:tr>
        <w:trPr/>
        <w:tc>
          <w:tcPr>
            <w:vAlign w:val="center"/>
          </w:tcPr>
          <w:p>
            <w:pPr>
              <w:pStyle w:val="Normal"/>
            </w:pPr>
            <w:r>
              <w:t>Proporcionar tiempo adicional dedicado para conocer a los estudiantes en sus niveles académicos individuales.</w:t>
            </w:r>
          </w:p>
        </w:tc>
      </w:tr>
      <w:tr>
        <w:trPr/>
        <w:tc>
          <w:tcPr>
            <w:vAlign w:val="center"/>
          </w:tcPr>
          <w:p>
            <w:pPr>
              <w:pStyle w:val="Normal"/>
            </w:pPr>
            <w:r>
              <w:t>Uso continuo de sistemas de intervención de lectura de alta calidad para orientar la instrucción a las necesidades académicas individuales de los alumnos (actualmente en el cuarto año de implementación).</w:t>
            </w:r>
          </w:p>
        </w:tc>
      </w:tr>
    </w:tbl>
    <w:p>
      <w:pPr>
        <w:pStyle w:val="Heading2"/>
      </w:pPr>
      <w:r>
        <w:t>Matemáticas</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Matemáticas - MAPA NWEA</w:t>
            </w:r>
          </w:p>
        </w:tc>
        <w:tc>
          <w:tcPr>
            <w:vAlign w:val="center"/>
          </w:tcPr>
          <w:p>
            <w:pPr>
              <w:pStyle w:val="Normal"/>
            </w:pPr>
            <w:r>
              <w:t>El 75% de los estudiantes estaban en o por encima del percentil 41 en la evaluación MAP de Matemáticas.</w:t>
            </w:r>
          </w:p>
        </w:tc>
      </w:tr>
      <w:tr>
        <w:trPr/>
        <w:tc>
          <w:tcPr>
            <w:vAlign w:val="center"/>
          </w:tcPr>
          <w:p>
            <w:pPr>
              <w:pStyle w:val="Normal"/>
            </w:pPr>
            <w:r>
              <w:t>Matemáticas - MAPA NWEA</w:t>
            </w:r>
          </w:p>
        </w:tc>
        <w:tc>
          <w:tcPr>
            <w:vAlign w:val="center"/>
          </w:tcPr>
          <w:p>
            <w:pPr>
              <w:pStyle w:val="Normal"/>
            </w:pPr>
            <w:r>
              <w:t>El 81% de los estudiantes cumplieron con su Proyección de Crecimiento en la Evaluación MAP de Matemáticas.</w:t>
            </w:r>
          </w:p>
        </w:tc>
      </w:tr>
      <w:tr>
        <w:trPr/>
        <w:tc>
          <w:tcPr>
            <w:vAlign w:val="center"/>
          </w:tcPr>
          <w:p>
            <w:pPr>
              <w:pStyle w:val="Normal"/>
            </w:pPr>
            <w:r>
              <w:t>Matemáticas - Jardín de infantes mClass</w:t>
            </w:r>
          </w:p>
        </w:tc>
        <w:tc>
          <w:tcPr>
            <w:vAlign w:val="center"/>
          </w:tcPr>
          <w:p>
            <w:pPr>
              <w:pStyle w:val="Normal"/>
            </w:pPr>
            <w:r>
              <w:t>El 84 % de los estudiantes de jardín de infantes obtuvieron resultados competentes o avanzados en la evaluación de matemáticas mClass al final del año escolar 2025/2026.</w:t>
            </w:r>
          </w:p>
        </w:tc>
      </w:tr>
      <w:tr>
        <w:trPr/>
        <w:tc>
          <w:tcPr>
            <w:vAlign w:val="center"/>
          </w:tcPr>
          <w:p>
            <w:pPr>
              <w:pStyle w:val="Normal"/>
            </w:pPr>
            <w:r>
              <w:t>Matemáticas - Cuarto grado mClass</w:t>
            </w:r>
          </w:p>
        </w:tc>
        <w:tc>
          <w:tcPr>
            <w:vAlign w:val="center"/>
          </w:tcPr>
          <w:p>
            <w:pPr>
              <w:pStyle w:val="Normal"/>
            </w:pPr>
            <w:r>
              <w:t>El 73 % de los estudiantes de cuarto grado obtuvieron resultados competentes o avanzados en la evaluación de matemáticas mClass al final del año escolar 2025/2026.</w:t>
            </w:r>
          </w:p>
        </w:tc>
      </w:tr>
      <w:tr>
        <w:trPr/>
        <w:tc>
          <w:tcPr>
            <w:vAlign w:val="center"/>
          </w:tcPr>
          <w:p>
            <w:pPr>
              <w:pStyle w:val="Normal"/>
            </w:pPr>
            <w:r>
              <w:t>Matemáticas - Academia de Sexto Grado</w:t>
            </w:r>
          </w:p>
        </w:tc>
        <w:tc>
          <w:tcPr>
            <w:vAlign w:val="center"/>
          </w:tcPr>
          <w:p>
            <w:pPr>
              <w:pStyle w:val="Normal"/>
            </w:pPr>
            <w:r>
              <w:t>El 63% de los estudiantes de sexto grado alcanzaron o superaron el punto de referencia en la Evaluación de Computación Acadience de Sexto Grado.</w:t>
            </w:r>
          </w:p>
        </w:tc>
      </w:tr>
    </w:tbl>
    <w:p>
      <w:pPr>
        <w:pStyle w:val="Heading2"/>
      </w:pPr>
      <w:r>
        <w:t>Resumen de matemáticas</w:t>
      </w:r>
    </w:p>
    <w:p>
      <w:pPr>
        <w:pStyle w:val="Heading3"/>
      </w:pPr>
      <w:r>
        <w:t>Fortalezas</w:t>
      </w:r>
    </w:p>
    <w:tbl>
      <w:tblPr>
        <w:tblStyle w:val="TableGrid"/>
        <w:tblW w:w="5000" w:type="pct"/>
      </w:tblPr>
      <w:tblGrid>
        <w:gridCol/>
      </w:tblGrid>
      <w:tr>
        <w:trPr/>
        <w:tc>
          <w:tcPr>
            <w:vAlign w:val="center"/>
          </w:tcPr>
          <w:p>
            <w:pPr>
              <w:pStyle w:val="Normal"/>
            </w:pPr>
            <w:r>
              <w:t>Equipo dedicado de educadores para centrarse en la implementación de MTSS.</w:t>
            </w:r>
          </w:p>
        </w:tc>
      </w:tr>
      <w:tr>
        <w:trPr/>
        <w:tc>
          <w:tcPr>
            <w:vAlign w:val="center"/>
          </w:tcPr>
          <w:p>
            <w:pPr>
              <w:pStyle w:val="Normal"/>
            </w:pPr>
            <w:r>
              <w:t>Tiempo de equipo dedicado para la planificación de la instrucción de Matemáticas a nivel de grado.</w:t>
            </w:r>
          </w:p>
        </w:tc>
      </w:tr>
      <w:tr>
        <w:trPr/>
        <w:tc>
          <w:tcPr>
            <w:vAlign w:val="center"/>
          </w:tcPr>
          <w:p>
            <w:pPr>
              <w:pStyle w:val="Normal"/>
            </w:pPr>
            <w:r>
              <w:t>Oportunidades para que los estudiantes se agrupen para la instrucción de matemáticas según los niveles académicos.</w:t>
            </w:r>
          </w:p>
        </w:tc>
      </w:tr>
      <w:tr>
        <w:trPr/>
        <w:tc>
          <w:tcPr>
            <w:vAlign w:val="center"/>
          </w:tcPr>
          <w:p>
            <w:pPr>
              <w:pStyle w:val="Normal"/>
            </w:pPr>
            <w:r>
              <w:t>Implementación de un recurso cohesivo para la instrucción de Matemáticas K-6.</w:t>
            </w:r>
          </w:p>
        </w:tc>
      </w:tr>
    </w:tbl>
    <w:p>
      <w:pPr>
        <w:pStyle w:val="Heading3"/>
      </w:pPr>
      <w:r>
        <w:t>Desafíos</w:t>
      </w:r>
    </w:p>
    <w:tbl>
      <w:tblPr>
        <w:tblStyle w:val="TableGrid"/>
        <w:tblW w:w="5000" w:type="pct"/>
      </w:tblPr>
      <w:tblGrid>
        <w:gridCol/>
      </w:tblGrid>
      <w:tr>
        <w:trPr/>
        <w:tc>
          <w:tcPr>
            <w:vAlign w:val="center"/>
          </w:tcPr>
          <w:p>
            <w:pPr>
              <w:pStyle w:val="Normal"/>
            </w:pPr>
            <w:r>
              <w:t>Uso continuo de sistemas de intervención en Matemáticas de alta calidad para orientar la instrucción a las necesidades académicas individuales de los alumnos (actualmente en el tercer año de implementación).</w:t>
            </w:r>
          </w:p>
        </w:tc>
      </w:tr>
      <w:tr>
        <w:trPr/>
        <w:tc>
          <w:tcPr>
            <w:vAlign w:val="center"/>
          </w:tcPr>
          <w:p>
            <w:pPr>
              <w:pStyle w:val="Normal"/>
            </w:pPr>
            <w:r>
              <w:t>Programar paraprofesionales de Título 1 para apoyar a los estudiantes con las mayores necesidades.</w:t>
            </w:r>
          </w:p>
        </w:tc>
      </w:tr>
      <w:tr>
        <w:trPr/>
        <w:tc>
          <w:tcPr>
            <w:vAlign w:val="center"/>
          </w:tcPr>
          <w:p>
            <w:pPr>
              <w:pStyle w:val="Normal"/>
            </w:pPr>
            <w:r>
              <w:t>Evaluación sistemática para identificar las necesidades de fluidez matemática.</w:t>
            </w:r>
          </w:p>
        </w:tc>
      </w:tr>
      <w:tr>
        <w:trPr/>
        <w:tc>
          <w:tcPr>
            <w:vAlign w:val="center"/>
          </w:tcPr>
          <w:p>
            <w:pPr>
              <w:pStyle w:val="Normal"/>
            </w:pPr>
            <w:r>
              <w:t>Tiempo limitado para intervenciones de Matemáticas de Nivel 2.</w:t>
            </w:r>
          </w:p>
        </w:tc>
      </w:tr>
    </w:tbl>
    <w:p>
      <w:pPr>
        <w:pStyle w:val="Heading2"/>
      </w:pPr>
      <w:r>
        <w:t>Educación en ciencia, tecnología e ingeniería</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Ciencia - PSSA</w:t>
            </w:r>
          </w:p>
        </w:tc>
        <w:tc>
          <w:tcPr>
            <w:vAlign w:val="center"/>
          </w:tcPr>
          <w:p>
            <w:pPr>
              <w:pStyle w:val="Normal"/>
            </w:pPr>
            <w:r>
              <w:t>Debido a la implementación completa de STEELS, los puntajes de Ciencias de PSSA se publicarán con retraso y no estarán disponibles hasta después de la fecha límite para enviar este plan.</w:t>
            </w:r>
          </w:p>
        </w:tc>
      </w:tr>
    </w:tbl>
    <w:p>
      <w:pPr>
        <w:pStyle w:val="Heading2"/>
      </w:pPr>
      <w:r>
        <w:t>Resumen de educación en ciencia, tecnología e ingeniería</w:t>
      </w:r>
    </w:p>
    <w:p>
      <w:pPr>
        <w:pStyle w:val="Heading3"/>
      </w:pPr>
      <w:r>
        <w:t>Fortalezas</w:t>
      </w:r>
    </w:p>
    <w:tbl>
      <w:tblPr>
        <w:tblStyle w:val="TableGrid"/>
        <w:tblW w:w="5000" w:type="pct"/>
      </w:tblPr>
      <w:tblGrid>
        <w:gridCol/>
      </w:tblGrid>
      <w:tr>
        <w:trPr/>
        <w:tc>
          <w:tcPr>
            <w:vAlign w:val="center"/>
          </w:tcPr>
          <w:p>
            <w:pPr>
              <w:pStyle w:val="Normal"/>
            </w:pPr>
            <w:r>
              <w:t>Implementación de recursos de ciencias para los grados K-5 que se alinea con PA STEELS.</w:t>
            </w:r>
          </w:p>
        </w:tc>
      </w:tr>
      <w:tr>
        <w:trPr/>
        <w:tc>
          <w:tcPr>
            <w:vAlign w:val="center"/>
          </w:tcPr>
          <w:p>
            <w:pPr>
              <w:pStyle w:val="Normal"/>
            </w:pPr>
            <w:r>
              <w:t>Implementación del recurso de Ciencias para el grado 6 que se alinea con PA STEELS y es consistente con el recurso que se utiliza para los grados 7 y 8.</w:t>
            </w:r>
          </w:p>
        </w:tc>
      </w:tr>
    </w:tbl>
    <w:p>
      <w:pPr>
        <w:pStyle w:val="Heading3"/>
      </w:pPr>
      <w:r>
        <w:t>Desafíos</w:t>
      </w:r>
    </w:p>
    <w:tbl>
      <w:tblPr>
        <w:tblStyle w:val="TableGrid"/>
        <w:tblW w:w="5000" w:type="pct"/>
      </w:tblPr>
      <w:tblGrid>
        <w:gridCol/>
      </w:tblGrid>
      <w:tr>
        <w:trPr/>
        <w:tc>
          <w:tcPr>
            <w:vAlign w:val="center"/>
          </w:tcPr>
          <w:p>
            <w:pPr>
              <w:pStyle w:val="Normal"/>
            </w:pPr>
            <w:r>
              <w:t>Programación para permitir tiempo adecuado para la instrucción de Ciencias.</w:t>
            </w:r>
          </w:p>
        </w:tc>
      </w:tr>
    </w:tbl>
    <w:p>
      <w:pPr>
        <w:pStyle w:val="Normal"/>
      </w:pPr>
      <w:r>
        <w:br w:type="page"/>
      </w:r>
      <w:r>
        <w:lastRenderedPageBreak/>
      </w:r>
    </w:p>
    <w:p>
      <w:pPr>
        <w:pStyle w:val="Heading1"/>
      </w:pPr>
      <w:r>
        <w:t>Académicos Relacionados</w:t>
      </w:r>
    </w:p>
    <w:p>
      <w:pPr>
        <w:pStyle w:val="Heading2"/>
      </w:pPr>
      <w:r>
        <w:t>Preparación profesional</w:t>
      </w:r>
    </w:p>
    <w:tbl>
      <w:tblPr>
        <w:tblStyle w:val="TableGrid"/>
        <w:tblW w:w="5000" w:type="pct"/>
      </w:tblPr>
      <w:tblGrid>
        <w:gridCol/>
        <w:gridCol/>
      </w:tblGrid>
      <w:tr>
        <w:trPr/>
        <w:tc>
          <w:tcPr>
            <w:vAlign w:val="center"/>
          </w:tcPr>
          <w:p>
            <w:pPr>
              <w:pStyle w:val="Normal"/>
            </w:pPr>
            <w:r>
              <w:rPr>
                <w:b/>
              </w:rPr>
              <w:t>Datos</w:t>
            </w:r>
          </w:p>
        </w:tc>
        <w:tc>
          <w:tcPr>
            <w:vAlign w:val="center"/>
          </w:tcPr>
          <w:p>
            <w:pPr>
              <w:pStyle w:val="Normal"/>
            </w:pPr>
            <w:r>
              <w:rPr>
                <w:b/>
              </w:rPr>
              <w:t>Comentarios/Observaciones notables</w:t>
            </w:r>
          </w:p>
        </w:tc>
      </w:tr>
      <w:tr>
        <w:trPr/>
        <w:tc>
          <w:tcPr>
            <w:vAlign w:val="center"/>
          </w:tcPr>
          <w:p>
            <w:pPr>
              <w:pStyle w:val="Normal"/>
            </w:pPr>
            <w:r>
              <w:t>Preparación profesional</w:t>
            </w:r>
          </w:p>
        </w:tc>
        <w:tc>
          <w:tcPr>
            <w:vAlign w:val="center"/>
          </w:tcPr>
          <w:p>
            <w:pPr>
              <w:pStyle w:val="Normal"/>
            </w:pPr>
            <w:r>
              <w:t>El 100% de los estudiantes cumplieron con el parámetro de preparación profesional.</w:t>
            </w:r>
          </w:p>
        </w:tc>
      </w:tr>
    </w:tbl>
    <w:p>
      <w:pPr>
        <w:pStyle w:val="Heading2"/>
      </w:pPr>
      <w:r>
        <w:t>Programas de educación profesional y técnica (CTE)</w:t>
      </w:r>
    </w:p>
    <w:p>
      <w:pPr>
        <w:pStyle w:val="Normal"/>
      </w:pPr>
      <w:r>
        <w:rPr>
          <w:b/>
        </w:rPr>
        <w:t>Los verdaderos programas de educación técnica y profesional (CTE) omiten</w:t>
      </w:r>
      <w:r/>
    </w:p>
    <w:p>
      <w:pPr>
        <w:pStyle w:val="Heading2"/>
      </w:pPr>
      <w:r>
        <w:t>Artes y Humanidades</w:t>
      </w:r>
    </w:p>
    <w:p>
      <w:pPr>
        <w:pStyle w:val="Normal"/>
      </w:pPr>
      <w:r>
        <w:rPr>
          <w:b/>
        </w:rPr>
        <w:t>Las verdaderas artes y humanidades omitir</w:t>
      </w:r>
      <w:r/>
    </w:p>
    <w:p>
      <w:pPr>
        <w:pStyle w:val="Heading2"/>
      </w:pPr>
      <w:r>
        <w:t>Medio Ambiente y Ecología</w:t>
      </w:r>
    </w:p>
    <w:p>
      <w:pPr>
        <w:pStyle w:val="Normal"/>
      </w:pPr>
      <w:r>
        <w:rPr>
          <w:b/>
        </w:rPr>
        <w:t>Verdadero Medio Ambiente y Ecología Omitir</w:t>
      </w:r>
      <w:r/>
    </w:p>
    <w:p>
      <w:pPr>
        <w:pStyle w:val="Heading2"/>
      </w:pPr>
      <w:r>
        <w:t>Ciencias de la Familia y del Consumidor</w:t>
      </w:r>
    </w:p>
    <w:p>
      <w:pPr>
        <w:pStyle w:val="Normal"/>
      </w:pPr>
      <w:r>
        <w:rPr>
          <w:b/>
        </w:rPr>
        <w:t>Las verdaderas ciencias de la familia y del consumidor omiten</w:t>
      </w:r>
      <w:r/>
    </w:p>
    <w:p>
      <w:pPr>
        <w:pStyle w:val="Heading2"/>
      </w:pPr>
      <w:r>
        <w:t>Salud, Seguridad y Educación Física</w:t>
      </w:r>
    </w:p>
    <w:p>
      <w:pPr>
        <w:pStyle w:val="Normal"/>
      </w:pPr>
      <w:r>
        <w:rPr>
          <w:b/>
        </w:rPr>
        <w:t>Verdadero Salud, Seguridad y Educación Física Omitir</w:t>
      </w:r>
      <w:r/>
    </w:p>
    <w:p>
      <w:pPr>
        <w:pStyle w:val="Heading2"/>
      </w:pPr>
      <w:r>
        <w:t>Estudios Sociales (Cívica y Gobierno, Economía, Geografía, Historia)</w:t>
      </w:r>
    </w:p>
    <w:p>
      <w:pPr>
        <w:pStyle w:val="Normal"/>
      </w:pPr>
      <w:r>
        <w:rPr>
          <w:b/>
        </w:rPr>
        <w:t>Verdaderos estudios sociales (Cívica y Gobierno, Economía, Geografía, Historia) Omitir</w:t>
      </w:r>
      <w:r/>
    </w:p>
    <w:p>
      <w:pPr>
        <w:pStyle w:val="Heading2"/>
      </w:pPr>
      <w:r>
        <w:t>Resumen</w:t>
      </w:r>
    </w:p>
    <w:p>
      <w:pPr>
        <w:pStyle w:val="Heading3"/>
      </w:pPr>
      <w:r>
        <w:t>Fortalezas</w:t>
      </w:r>
    </w:p>
    <w:p>
      <w:pPr>
        <w:pStyle w:val="Normal"/>
      </w:pPr>
      <w:r>
        <w:t>Revise los comentarios y observaciones notables enumerados anteriormente y registre de 2 a 5 fortalezas que hayan tenido el mayor impacto en la mejora de sus desafíos más apremiantes.</w:t>
      </w:r>
    </w:p>
    <w:tbl>
      <w:tblPr>
        <w:tblStyle w:val="TableGrid"/>
        <w:tblW w:w="5000" w:type="pct"/>
      </w:tblPr>
      <w:tblGrid>
        <w:gridCol/>
      </w:tblGrid>
      <w:tr>
        <w:trPr/>
        <w:tc>
          <w:tcPr>
            <w:vAlign w:val="center"/>
          </w:tcPr>
          <w:p>
            <w:pPr>
              <w:pStyle w:val="Normal"/>
            </w:pPr>
            <w:r>
              <w:t>El consejero escolar completa actividades que apoyan la preparación profesional de todos los estudiantes.</w:t>
            </w:r>
          </w:p>
        </w:tc>
      </w:tr>
      <w:tr>
        <w:trPr/>
        <w:tc>
          <w:tcPr>
            <w:vAlign w:val="center"/>
          </w:tcPr>
          <w:p>
            <w:pPr>
              <w:pStyle w:val="Normal"/>
            </w:pPr>
            <w:r>
              <w:t>Los maestros del área de contenido brindaron lecciones y actividades que apoyan la preparación profesional.</w:t>
            </w:r>
          </w:p>
        </w:tc>
      </w:tr>
      <w:tr>
        <w:trPr/>
        <w:tc>
          <w:tcPr>
            <w:vAlign w:val="center"/>
          </w:tcPr>
          <w:p>
            <w:pPr>
              <w:pStyle w:val="Normal"/>
            </w:pPr>
            <w:r>
              <w:t>Se brindan a los estudiantes experiencias de campo virtuales y en persona que mejoran su comprensión de las oportunidades profesionales.</w:t>
            </w:r>
          </w:p>
        </w:tc>
      </w:tr>
      <w:tr>
        <w:trPr/>
        <w:tc>
          <w:tcPr>
            <w:vAlign w:val="center"/>
          </w:tcPr>
          <w:p>
            <w:pPr>
              <w:pStyle w:val="Normal"/>
            </w:pPr>
            <w:r>
              <w:t>Los estudiantes de 5to y 6to grado participaron en BizTown a través de Jr. Achievement para incrementar sus conocimientos sobre diversas carreras.</w:t>
            </w:r>
          </w:p>
        </w:tc>
      </w:tr>
    </w:tbl>
    <w:p>
      <w:pPr>
        <w:pStyle w:val="Heading3"/>
      </w:pPr>
      <w:r>
        <w:t>Desafíos</w:t>
      </w:r>
    </w:p>
    <w:p>
      <w:pPr>
        <w:pStyle w:val="Normal"/>
      </w:pPr>
      <w:r>
        <w:t>Revise los comentarios y observaciones notables enumerados anteriormente y registre de 2 a 5 desafíos que, si se mejoraran, tendrían el mayor impacto en el logro de su Misión y Visión.</w:t>
      </w:r>
    </w:p>
    <w:tbl>
      <w:tblPr>
        <w:tblStyle w:val="TableGrid"/>
        <w:tblW w:w="5000" w:type="pct"/>
      </w:tblPr>
      <w:tblGrid>
        <w:gridCol/>
      </w:tblGrid>
      <w:tr>
        <w:trPr/>
        <w:tc>
          <w:tcPr>
            <w:vAlign w:val="center"/>
          </w:tcPr>
          <w:p>
            <w:pPr>
              <w:pStyle w:val="Normal"/>
            </w:pPr>
            <w:r>
              <w:t>La financiación y el tiempo impiden la cantidad de experiencias de campo que podemos ofrecer a nuestros alumnos para ampliar su comprensión de las oportunidades profesionales.</w:t>
            </w:r>
          </w:p>
        </w:tc>
      </w:tr>
      <w:tr>
        <w:trPr/>
        <w:tc>
          <w:tcPr>
            <w:vAlign w:val="center"/>
          </w:tcPr>
          <w:p>
            <w:pPr>
              <w:pStyle w:val="Normal"/>
            </w:pPr>
            <w:r>
              <w:t>Cuando los estudiantes se mudan a nuestro edificio al final del año escolar, puede resultar difícil recopilar los artefactos necesarios si su escuela anterior no ha compartido ningún artefacto.</w:t>
            </w:r>
          </w:p>
        </w:tc>
      </w:tr>
    </w:tbl>
    <w:p>
      <w:pPr>
        <w:pStyle w:val="Normal"/>
      </w:pPr>
      <w:r>
        <w:br w:type="page"/>
      </w:r>
      <w:r>
        <w:lastRenderedPageBreak/>
      </w:r>
    </w:p>
    <w:p>
      <w:pPr>
        <w:pStyle w:val="Heading1"/>
      </w:pPr>
      <w:r>
        <w:t>Consideraciones de equidad</w:t>
      </w:r>
    </w:p>
    <w:p>
      <w:pPr>
        <w:pStyle w:val="Heading2"/>
      </w:pPr>
      <w:r>
        <w:t>Estudiantes de inglés</w:t>
      </w:r>
    </w:p>
    <w:p>
      <w:pPr>
        <w:pStyle w:val="Normal"/>
      </w:pPr>
      <w:r>
        <w:rPr>
          <w:b/>
        </w:rPr>
        <w:t>Falso Este grupo de estudiantes no es un enfoque en este plan.</w:t>
      </w:r>
      <w:r/>
    </w:p>
    <w:tbl>
      <w:tblPr>
        <w:tblStyle w:val="TableGrid"/>
        <w:tblW w:w="5000" w:type="pct"/>
      </w:tblPr>
      <w:tblGrid>
        <w:gridCol/>
        <w:gridCol/>
      </w:tblGrid>
      <w:tr>
        <w:trPr/>
        <w:tc>
          <w:tcPr>
            <w:vAlign w:val="center"/>
          </w:tcPr>
          <w:p>
            <w:pPr>
              <w:pStyle w:val="Normal"/>
            </w:pPr>
            <w:r>
              <w:t>Datos</w:t>
            </w:r>
          </w:p>
        </w:tc>
        <w:tc>
          <w:tcPr>
            <w:vAlign w:val="center"/>
          </w:tcPr>
          <w:p>
            <w:pPr>
              <w:pStyle w:val="Normal"/>
            </w:pPr>
            <w:r>
              <w:t>Comentarios/Observaciones notables</w:t>
            </w:r>
          </w:p>
        </w:tc>
      </w:tr>
      <w:tr>
        <w:trPr/>
        <w:tc>
          <w:tcPr>
            <w:vAlign w:val="center"/>
          </w:tcPr>
          <w:p>
            <w:pPr>
              <w:pStyle w:val="Normal"/>
            </w:pPr>
            <w:r>
              <w:t xml:space="preserve">WIDA</w:t>
            </w:r>
          </w:p>
        </w:tc>
        <w:tc>
          <w:tcPr>
            <w:vAlign w:val="center"/>
          </w:tcPr>
          <w:p>
            <w:pPr>
              <w:pStyle w:val="Normal"/>
            </w:pPr>
            <w:r>
              <w:t>Los puntajes provisionales de WIDA indican que los ELL están progresando en el aprendizaje del inglés.</w:t>
            </w:r>
          </w:p>
        </w:tc>
      </w:tr>
      <w:tr>
        <w:trPr/>
        <w:tc>
          <w:tcPr>
            <w:vAlign w:val="center"/>
          </w:tcPr>
          <w:p>
            <w:pPr>
              <w:pStyle w:val="Normal"/>
            </w:pPr>
            <w:r>
              <w:t xml:space="preserve">WIDA</w:t>
            </w:r>
          </w:p>
        </w:tc>
        <w:tc>
          <w:tcPr>
            <w:vAlign w:val="center"/>
          </w:tcPr>
          <w:p>
            <w:pPr>
              <w:pStyle w:val="Normal"/>
            </w:pPr>
            <w:r>
              <w:t>Un aumento del 31 % de estudiantes con calificaciones en el rango en expansión desde el año escolar 2024/2025 hasta el año escolar 2025/2026.</w:t>
            </w:r>
          </w:p>
        </w:tc>
      </w:tr>
      <w:tr>
        <w:trPr/>
        <w:tc>
          <w:tcPr>
            <w:vAlign w:val="center"/>
          </w:tcPr>
          <w:p>
            <w:pPr>
              <w:pStyle w:val="Normal"/>
            </w:pPr>
            <w:r>
              <w:t xml:space="preserve">WIDA</w:t>
            </w:r>
          </w:p>
        </w:tc>
        <w:tc>
          <w:tcPr>
            <w:vAlign w:val="center"/>
          </w:tcPr>
          <w:p>
            <w:pPr>
              <w:pStyle w:val="Normal"/>
            </w:pPr>
            <w:r>
              <w:t>Cuatro estudiantes cumplieron con las expectativas para salir del programa de Desarrollo del Idioma Inglés al final del año escolar 2025/2026.</w:t>
            </w:r>
          </w:p>
        </w:tc>
      </w:tr>
    </w:tbl>
    <w:p>
      <w:pPr>
        <w:pStyle w:val="Heading2"/>
      </w:pPr>
      <w:r>
        <w:t>Estudiantes con discapacidades</w:t>
      </w:r>
    </w:p>
    <w:p>
      <w:pPr>
        <w:pStyle w:val="Normal"/>
      </w:pPr>
      <w:r>
        <w:rPr>
          <w:b/>
        </w:rPr>
        <w:t>Verdadero Este grupo de estudiantes no es un enfoque en este plan.</w:t>
      </w:r>
      <w:r/>
    </w:p>
    <w:p>
      <w:pPr>
        <w:pStyle w:val="Heading2"/>
      </w:pPr>
      <w:r>
        <w:t>Estudiantes considerados económicamente desfavorecidos</w:t>
      </w:r>
    </w:p>
    <w:p>
      <w:pPr>
        <w:pStyle w:val="Normal"/>
      </w:pPr>
      <w:r>
        <w:rPr>
          <w:b/>
        </w:rPr>
        <w:t>Verdadero Este grupo de estudiantes no es un enfoque en este plan.</w:t>
      </w:r>
      <w:r/>
    </w:p>
    <w:p>
      <w:pPr>
        <w:pStyle w:val="Heading2"/>
      </w:pPr>
      <w:r>
        <w:t>Grupos de estudiantes por raza/etnicidad</w:t>
      </w:r>
    </w:p>
    <w:p>
      <w:pPr>
        <w:pStyle w:val="Normal"/>
      </w:pPr>
      <w:r>
        <w:rPr>
          <w:b/>
        </w:rPr>
        <w:t>Falso Este grupo de estudiantes no es un enfoque en este plan.</w:t>
      </w:r>
      <w:r/>
    </w:p>
    <w:tbl>
      <w:tblPr>
        <w:tblStyle w:val="TableGrid"/>
        <w:tblW w:w="5000" w:type="pct"/>
      </w:tblPr>
      <w:tblGrid>
        <w:gridCol/>
        <w:gridCol/>
      </w:tblGrid>
      <w:tr>
        <w:trPr/>
        <w:tc>
          <w:tcPr>
            <w:vAlign w:val="center"/>
          </w:tcPr>
          <w:p>
            <w:pPr>
              <w:pStyle w:val="Normal"/>
            </w:pPr>
            <w:r>
              <w:t>Grupos de estudiantes</w:t>
            </w:r>
          </w:p>
        </w:tc>
        <w:tc>
          <w:tcPr>
            <w:vAlign w:val="center"/>
          </w:tcPr>
          <w:p>
            <w:pPr>
              <w:pStyle w:val="Normal"/>
            </w:pPr>
            <w:r>
              <w:t>Comentarios/Observaciones notables</w:t>
            </w:r>
          </w:p>
        </w:tc>
      </w:tr>
      <w:tr>
        <w:trPr/>
        <w:tc>
          <w:tcPr>
            <w:vAlign w:val="center"/>
          </w:tcPr>
          <w:p>
            <w:pPr>
              <w:pStyle w:val="Normal"/>
            </w:pPr>
            <w:r>
              <w:t>hispano</w:t>
            </w:r>
          </w:p>
        </w:tc>
        <w:tc>
          <w:tcPr>
            <w:vAlign w:val="center"/>
          </w:tcPr>
          <w:p>
            <w:pPr>
              <w:pStyle w:val="Normal"/>
            </w:pPr>
            <w:r>
              <w:t>El 60% de este grupo de estudiantes alcanzó su meta de crecimiento en la evaluación MAP de artes del lenguaje inglés.</w:t>
            </w:r>
          </w:p>
        </w:tc>
      </w:tr>
    </w:tbl>
    <w:p>
      <w:pPr>
        <w:pStyle w:val="Heading2"/>
      </w:pPr>
      <w:r>
        <w:t>Resumen</w:t>
      </w:r>
    </w:p>
    <w:p>
      <w:pPr>
        <w:pStyle w:val="Heading3"/>
      </w:pPr>
      <w:r>
        <w:t>Fortalezas</w:t>
      </w:r>
    </w:p>
    <w:p>
      <w:pPr>
        <w:pStyle w:val="Normal"/>
      </w:pPr>
      <w:r>
        <w:t>Revise los comentarios y observaciones notables enumerados anteriormente y registre de 2 a 5 fortalezas que hayan tenido el mayor impacto en la mejora de sus desafíos más apremiantes.</w:t>
      </w:r>
    </w:p>
    <w:tbl>
      <w:tblPr>
        <w:tblStyle w:val="TableGrid"/>
        <w:tblW w:w="5000" w:type="pct"/>
      </w:tblPr>
      <w:tblGrid>
        <w:gridCol/>
      </w:tblGrid>
      <w:tr>
        <w:trPr/>
        <w:tc>
          <w:tcPr>
            <w:tcW w:w="5000" w:type="pct"/>
            <w:vAlign w:val="center"/>
          </w:tcPr>
          <w:p>
            <w:pPr>
              <w:pStyle w:val="Normal"/>
            </w:pPr>
            <w:r>
              <w:t>Los puntajes provisionales de WIDA indican que los ELL están progresando en el aprendizaje del inglés.</w:t>
            </w:r>
          </w:p>
        </w:tc>
      </w:tr>
      <w:tr>
        <w:trPr/>
        <w:tc>
          <w:tcPr>
            <w:tcW w:w="5000" w:type="pct"/>
            <w:vAlign w:val="center"/>
          </w:tcPr>
          <w:p>
            <w:pPr>
              <w:pStyle w:val="Normal"/>
            </w:pPr>
            <w:r>
              <w:t>El cronograma general del edificio permite dedicar tiempo a la intervención y el enriquecimiento para los estudiantes de todos los niveles de grado.</w:t>
            </w:r>
          </w:p>
        </w:tc>
      </w:tr>
      <w:tr>
        <w:trPr/>
        <w:tc>
          <w:tcPr>
            <w:tcW w:w="5000" w:type="pct"/>
            <w:vAlign w:val="center"/>
          </w:tcPr>
          <w:p>
            <w:pPr>
              <w:pStyle w:val="Normal"/>
            </w:pPr>
            <w:r>
              <w:t>Cuatro estudiantes salieron del programa de Desarrollo del Idioma Inglés según los puntajes WIDA de 2025/2026.</w:t>
            </w:r>
          </w:p>
        </w:tc>
      </w:tr>
      <w:tr>
        <w:trPr/>
        <w:tc>
          <w:tcPr>
            <w:tcW w:w="5000" w:type="pct"/>
            <w:vAlign w:val="center"/>
          </w:tcPr>
          <w:p/>
        </w:tc>
      </w:tr>
      <w:tr>
        <w:trPr/>
        <w:tc>
          <w:tcPr>
            <w:tcW w:w="5000" w:type="pct"/>
            <w:vAlign w:val="center"/>
          </w:tcPr>
          <w:p/>
        </w:tc>
      </w:tr>
    </w:tbl>
    <w:p>
      <w:pPr>
        <w:pStyle w:val="Heading3"/>
      </w:pPr>
      <w:r>
        <w:t>Desafíos</w:t>
      </w:r>
    </w:p>
    <w:p>
      <w:pPr>
        <w:pStyle w:val="Normal"/>
      </w:pPr>
      <w:r>
        <w:t>Revise los comentarios y observaciones notables enumerados anteriormente y registre de 2 a 5 desafíos que, si se mejoraran, tendrían el mayor impacto en el logro de su Misión y Visión.</w:t>
      </w:r>
    </w:p>
    <w:tbl>
      <w:tblPr>
        <w:tblStyle w:val="TableGrid"/>
        <w:tblW w:w="5000" w:type="pct"/>
      </w:tblPr>
      <w:tblGrid>
        <w:gridCol/>
      </w:tblGrid>
      <w:tr>
        <w:trPr/>
        <w:tc>
          <w:tcPr>
            <w:tcW w:w="5000" w:type="pct"/>
            <w:vAlign w:val="center"/>
          </w:tcPr>
          <w:p>
            <w:pPr>
              <w:pStyle w:val="Normal"/>
            </w:pPr>
            <w:r>
              <w:t>Los estudiantes hispanos reciben apoyo adicional en ELA de nuestro maestro de Desarrollo del Idioma Inglés. No tenemos este nivel de soporte para Matemáticas.</w:t>
            </w:r>
          </w:p>
        </w:tc>
      </w:tr>
      <w:tr>
        <w:trPr/>
        <w:tc>
          <w:tcPr>
            <w:tcW w:w="5000" w:type="pct"/>
            <w:vAlign w:val="center"/>
          </w:tcPr>
          <w:p>
            <w:pPr>
              <w:pStyle w:val="Normal"/>
            </w:pPr>
            <w:r>
              <w:t>Nuestro horario no permite suficiente tiempo para el desarrollo del vocabulario matemático.</w:t>
            </w:r>
          </w:p>
        </w:tc>
      </w:tr>
      <w:tr>
        <w:trPr/>
        <w:tc>
          <w:tcPr>
            <w:tcW w:w="5000" w:type="pct"/>
            <w:vAlign w:val="center"/>
          </w:tcPr>
          <w:p>
            <w:pPr>
              <w:pStyle w:val="Normal"/>
            </w:pPr>
            <w:r>
              <w:t>Proporcionar tiempos WIN dedicados ha sido positivo para agregar apoyo y enriquecimiento adicional para los estudiantes, pero crear este tiempo acortó la cantidad de tiempo disponible para la instrucción básica.</w:t>
            </w:r>
          </w:p>
        </w:tc>
      </w:tr>
      <w:tr>
        <w:trPr/>
        <w:tc>
          <w:tcPr>
            <w:tcW w:w="5000" w:type="pct"/>
            <w:vAlign w:val="center"/>
          </w:tcPr>
          <w:p/>
        </w:tc>
      </w:tr>
      <w:tr>
        <w:trPr/>
        <w:tc>
          <w:tcPr>
            <w:tcW w:w="5000" w:type="pct"/>
            <w:vAlign w:val="center"/>
          </w:tcPr>
          <w:p/>
        </w:tc>
      </w:tr>
    </w:tbl>
    <w:p>
      <w:pPr>
        <w:pStyle w:val="Normal"/>
      </w:pPr>
      <w:r>
        <w:br w:type="page"/>
      </w:r>
      <w:r>
        <w:lastRenderedPageBreak/>
      </w:r>
    </w:p>
    <w:p>
      <w:pPr>
        <w:pStyle w:val="Heading1"/>
      </w:pPr>
      <w:r>
        <w:t>Resumen de fortalezas y desafíos de la evaluación de necesidades</w:t>
      </w:r>
    </w:p>
    <w:p>
      <w:pPr>
        <w:pStyle w:val="Heading2"/>
      </w:pPr>
      <w:r>
        <w:t>Fortalezas</w:t>
      </w:r>
    </w:p>
    <w:p>
      <w:pPr>
        <w:pStyle w:val="Normal"/>
      </w:pPr>
      <w:r>
        <w:t>Examinar el Resumen de Fortalezas. Identifique las fortalezas que contribuyen más positivamente al logro de su misión y visión. Marque la casilla a la derecha de estas fortalezas identificadas.</w:t>
      </w:r>
    </w:p>
    <w:tbl>
      <w:tblPr>
        <w:tblStyle w:val="TableGrid"/>
        <w:tblW w:w="5000" w:type="pct"/>
      </w:tblPr>
      <w:tblGrid>
        <w:gridCol/>
        <w:gridCol/>
      </w:tblGrid>
      <w:tr>
        <w:trPr/>
        <w:tc>
          <w:tcPr>
            <w:tcW w:w="4000" w:type="pct"/>
            <w:vAlign w:val="center"/>
          </w:tcPr>
          <w:p>
            <w:pPr>
              <w:pStyle w:val="Normal"/>
            </w:pPr>
            <w:r>
              <w:t>Fortaleza</w:t>
            </w:r>
          </w:p>
        </w:tc>
        <w:tc>
          <w:tcPr>
            <w:vAlign w:val="center"/>
          </w:tcPr>
          <w:p>
            <w:pPr>
              <w:pStyle w:val="Normal"/>
            </w:pPr>
            <w:r>
              <w:t>Verificar la consideración en el plan</w:t>
            </w:r>
          </w:p>
        </w:tc>
      </w:tr>
      <w:tr>
        <w:trPr/>
        <w:tc>
          <w:tcPr>
            <w:vAlign w:val="center"/>
          </w:tcPr>
          <w:p>
            <w:pPr>
              <w:pStyle w:val="Normal"/>
            </w:pPr>
            <w:r>
              <w:t>El 100% de nuestros estudiantes cumplieron con los Estándares Profesionales.</w:t>
            </w:r>
          </w:p>
        </w:tc>
        <w:tc>
          <w:tcPr>
            <w:vAlign w:val="center"/>
          </w:tcPr>
          <w:p>
            <w:pPr>
              <w:pStyle w:val="Normal"/>
            </w:pPr>
            <w:r>
              <w:t>FALSO</w:t>
            </w:r>
          </w:p>
        </w:tc>
      </w:tr>
      <w:tr>
        <w:trPr/>
        <w:tc>
          <w:tcPr>
            <w:vAlign w:val="center"/>
          </w:tcPr>
          <w:p>
            <w:pPr>
              <w:pStyle w:val="Normal"/>
            </w:pPr>
            <w:r>
              <w:t>El 50,4% de los estudiantes blancos obtuvieron calificaciones competentes o avanzadas en su ELA PSSA. Esto está por encima del promedio escolar y estatal.</w:t>
            </w:r>
          </w:p>
        </w:tc>
        <w:tc>
          <w:tcPr>
            <w:vAlign w:val="center"/>
          </w:tcPr>
          <w:p>
            <w:pPr>
              <w:pStyle w:val="Normal"/>
            </w:pPr>
            <w:r>
              <w:t>FALSO</w:t>
            </w:r>
          </w:p>
        </w:tc>
      </w:tr>
      <w:tr>
        <w:trPr/>
        <w:tc>
          <w:tcPr>
            <w:vAlign w:val="center"/>
          </w:tcPr>
          <w:p>
            <w:pPr>
              <w:pStyle w:val="Normal"/>
            </w:pPr>
            <w:r>
              <w:t>Hubo un aumento del 6% en el número de estudiantes en desventaja económica que obtuvieron calificaciones competentes y avanzados en la prueba PSSA de Matemáticas desde el año escolar 23/24 hasta el año escolar 24/25.</w:t>
            </w:r>
          </w:p>
        </w:tc>
        <w:tc>
          <w:tcPr>
            <w:vAlign w:val="center"/>
          </w:tcPr>
          <w:p>
            <w:pPr>
              <w:pStyle w:val="Normal"/>
            </w:pPr>
            <w:r>
              <w:t>FALSO</w:t>
            </w:r>
          </w:p>
        </w:tc>
      </w:tr>
      <w:tr>
        <w:trPr/>
        <w:tc>
          <w:tcPr>
            <w:vAlign w:val="center"/>
          </w:tcPr>
          <w:p>
            <w:pPr>
              <w:pStyle w:val="Normal"/>
            </w:pPr>
            <w:r>
              <w:t>En general, los estudiantes cumplieron con el estándar de crecimiento en Matemáticas, con una puntuación de 71.</w:t>
            </w:r>
          </w:p>
        </w:tc>
        <w:tc>
          <w:tcPr>
            <w:vAlign w:val="center"/>
          </w:tcPr>
          <w:p>
            <w:pPr>
              <w:pStyle w:val="Normal"/>
            </w:pPr>
            <w:r>
              <w:t>Verdadero</w:t>
            </w:r>
          </w:p>
        </w:tc>
      </w:tr>
      <w:tr>
        <w:trPr/>
        <w:tc>
          <w:tcPr>
            <w:vAlign w:val="center"/>
          </w:tcPr>
          <w:p>
            <w:pPr>
              <w:pStyle w:val="Normal"/>
            </w:pPr>
            <w:r>
              <w:t>El grupo económicamente desfavorecido alcanzó la meta de crecimiento en ELA PSSA.</w:t>
            </w:r>
          </w:p>
        </w:tc>
        <w:tc>
          <w:tcPr>
            <w:vAlign w:val="center"/>
          </w:tcPr>
          <w:p>
            <w:pPr>
              <w:pStyle w:val="Normal"/>
            </w:pPr>
            <w:r>
              <w:t>FALSO</w:t>
            </w:r>
          </w:p>
        </w:tc>
      </w:tr>
      <w:tr>
        <w:trPr/>
        <w:tc>
          <w:tcPr>
            <w:vAlign w:val="center"/>
          </w:tcPr>
          <w:p>
            <w:pPr>
              <w:pStyle w:val="Normal"/>
            </w:pPr>
            <w:r>
              <w:t>El subgrupo en desventaja económica cumplió con la meta de crecimiento en el PSSA de Matemáticas.</w:t>
            </w:r>
          </w:p>
        </w:tc>
        <w:tc>
          <w:tcPr>
            <w:vAlign w:val="center"/>
          </w:tcPr>
          <w:p>
            <w:pPr>
              <w:pStyle w:val="Normal"/>
            </w:pPr>
            <w:r>
              <w:t>FALSO</w:t>
            </w:r>
          </w:p>
        </w:tc>
      </w:tr>
      <w:tr>
        <w:trPr/>
        <w:tc>
          <w:tcPr>
            <w:vAlign w:val="center"/>
          </w:tcPr>
          <w:p>
            <w:pPr>
              <w:pStyle w:val="Normal"/>
            </w:pPr>
            <w:r>
              <w:t>El subgrupo de Estudiantes con Discapacidades cumplió con la meta de crecimiento en el PSSA de Matemáticas.</w:t>
            </w:r>
          </w:p>
        </w:tc>
        <w:tc>
          <w:tcPr>
            <w:vAlign w:val="center"/>
          </w:tcPr>
          <w:p>
            <w:pPr>
              <w:pStyle w:val="Normal"/>
            </w:pPr>
            <w:r>
              <w:t>FALSO</w:t>
            </w:r>
          </w:p>
        </w:tc>
      </w:tr>
      <w:tr>
        <w:trPr/>
        <w:tc>
          <w:tcPr>
            <w:vAlign w:val="center"/>
          </w:tcPr>
          <w:p>
            <w:pPr>
              <w:pStyle w:val="Normal"/>
            </w:pPr>
            <w:r>
              <w:t>La asistencia de la población hispana fue del 95,2%. Este es un aumento con respecto al año anterior.</w:t>
            </w:r>
          </w:p>
        </w:tc>
        <w:tc>
          <w:tcPr>
            <w:vAlign w:val="center"/>
          </w:tcPr>
          <w:p>
            <w:pPr>
              <w:pStyle w:val="Normal"/>
            </w:pPr>
            <w:r>
              <w:t>FALSO</w:t>
            </w:r>
          </w:p>
        </w:tc>
      </w:tr>
      <w:tr>
        <w:trPr/>
        <w:tc>
          <w:tcPr>
            <w:vAlign w:val="center"/>
          </w:tcPr>
          <w:p>
            <w:pPr>
              <w:pStyle w:val="Normal"/>
            </w:pPr>
            <w:r>
              <w:t>Aunque la asistencia del subgrupo económicamente desfavorecido estuvo por debajo del promedio del edificio, hubo un aumento del 1,5% respecto al año anterior.</w:t>
            </w:r>
          </w:p>
        </w:tc>
        <w:tc>
          <w:tcPr>
            <w:vAlign w:val="center"/>
          </w:tcPr>
          <w:p>
            <w:pPr>
              <w:pStyle w:val="Normal"/>
            </w:pPr>
            <w:r>
              <w:t>FALSO</w:t>
            </w:r>
          </w:p>
        </w:tc>
      </w:tr>
      <w:tr>
        <w:trPr/>
        <w:tc>
          <w:tcPr>
            <w:vAlign w:val="center"/>
          </w:tcPr>
          <w:p>
            <w:pPr>
              <w:pStyle w:val="Normal"/>
            </w:pPr>
            <w:r>
              <w:t>El consejero escolar completa actividades que apoyan la preparación profesional de todos los estudiantes.</w:t>
            </w:r>
          </w:p>
        </w:tc>
        <w:tc>
          <w:tcPr>
            <w:vAlign w:val="center"/>
          </w:tcPr>
          <w:p>
            <w:pPr>
              <w:pStyle w:val="Normal"/>
            </w:pPr>
            <w:r>
              <w:t>FALSO</w:t>
            </w:r>
          </w:p>
        </w:tc>
      </w:tr>
      <w:tr>
        <w:trPr/>
        <w:tc>
          <w:tcPr>
            <w:vAlign w:val="center"/>
          </w:tcPr>
          <w:p>
            <w:pPr>
              <w:pStyle w:val="Normal"/>
            </w:pPr>
            <w:r>
              <w:t>Equipo dedicado de educadores para centrarse en la implementación de MTSS, revisando los datos de los estudiantes y analizando los datos de los estudiantes individuales para determinar los niveles apropiados de apoyo académico.</w:t>
            </w:r>
          </w:p>
        </w:tc>
        <w:tc>
          <w:tcPr>
            <w:vAlign w:val="center"/>
          </w:tcPr>
          <w:p>
            <w:pPr>
              <w:pStyle w:val="Normal"/>
            </w:pPr>
            <w:r>
              <w:t>Verdadero</w:t>
            </w:r>
          </w:p>
        </w:tc>
      </w:tr>
      <w:tr>
        <w:trPr/>
        <w:tc>
          <w:tcPr>
            <w:vAlign w:val="center"/>
          </w:tcPr>
          <w:p>
            <w:pPr>
              <w:pStyle w:val="Normal"/>
            </w:pPr>
            <w:r>
              <w:t>Tiempo de equipo dedicado para la planificación de la instrucción ELA a nivel de grado.</w:t>
            </w:r>
          </w:p>
        </w:tc>
        <w:tc>
          <w:tcPr>
            <w:vAlign w:val="center"/>
          </w:tcPr>
          <w:p>
            <w:pPr>
              <w:pStyle w:val="Normal"/>
            </w:pPr>
            <w:r>
              <w:t>FALSO</w:t>
            </w:r>
          </w:p>
        </w:tc>
      </w:tr>
      <w:tr>
        <w:trPr/>
        <w:tc>
          <w:tcPr>
            <w:vAlign w:val="center"/>
          </w:tcPr>
          <w:p>
            <w:pPr>
              <w:pStyle w:val="Normal"/>
            </w:pPr>
            <w:r>
              <w:t>Oportunidades para que los estudiantes se agrupen para la instrucción de habilidades según los niveles académicos.</w:t>
            </w:r>
          </w:p>
        </w:tc>
        <w:tc>
          <w:tcPr>
            <w:vAlign w:val="center"/>
          </w:tcPr>
          <w:p>
            <w:pPr>
              <w:pStyle w:val="Normal"/>
            </w:pPr>
            <w:r>
              <w:t>FALSO</w:t>
            </w:r>
          </w:p>
        </w:tc>
      </w:tr>
      <w:tr>
        <w:trPr/>
        <w:tc>
          <w:tcPr>
            <w:vAlign w:val="center"/>
          </w:tcPr>
          <w:p>
            <w:pPr>
              <w:pStyle w:val="Normal"/>
            </w:pPr>
            <w:r>
              <w:t>Implementación continua de un recurso cohesivo para la instrucción ELA K-6.</w:t>
            </w:r>
          </w:p>
        </w:tc>
        <w:tc>
          <w:tcPr>
            <w:vAlign w:val="center"/>
          </w:tcPr>
          <w:p>
            <w:pPr>
              <w:pStyle w:val="Normal"/>
            </w:pPr>
            <w:r>
              <w:t>Verdadero</w:t>
            </w:r>
          </w:p>
        </w:tc>
      </w:tr>
      <w:tr>
        <w:trPr/>
        <w:tc>
          <w:tcPr>
            <w:vAlign w:val="center"/>
          </w:tcPr>
          <w:p>
            <w:pPr>
              <w:pStyle w:val="Normal"/>
            </w:pPr>
            <w:r>
              <w:t>La puntuación de crecimiento del subgrupo blanco en la prueba PSSA de Matemáticas fue 73, que está por encima de la puntuación general del edificio.</w:t>
            </w:r>
          </w:p>
        </w:tc>
        <w:tc>
          <w:tcPr>
            <w:vAlign w:val="center"/>
          </w:tcPr>
          <w:p>
            <w:pPr>
              <w:pStyle w:val="Normal"/>
            </w:pPr>
            <w:r>
              <w:t>FALSO</w:t>
            </w:r>
          </w:p>
        </w:tc>
      </w:tr>
      <w:tr>
        <w:trPr/>
        <w:tc>
          <w:tcPr>
            <w:vAlign w:val="center"/>
          </w:tcPr>
          <w:p>
            <w:pPr>
              <w:pStyle w:val="Normal"/>
            </w:pPr>
            <w:r>
              <w:t>Equipo dedicado de educadores para centrarse en la implementación de MTSS.</w:t>
            </w:r>
          </w:p>
        </w:tc>
        <w:tc>
          <w:tcPr>
            <w:vAlign w:val="center"/>
          </w:tcPr>
          <w:p>
            <w:pPr>
              <w:pStyle w:val="Normal"/>
            </w:pPr>
            <w:r>
              <w:t>FALSO</w:t>
            </w:r>
          </w:p>
        </w:tc>
      </w:tr>
      <w:tr>
        <w:trPr/>
        <w:tc>
          <w:tcPr>
            <w:vAlign w:val="center"/>
          </w:tcPr>
          <w:p>
            <w:pPr>
              <w:pStyle w:val="Normal"/>
            </w:pPr>
            <w:r>
              <w:t>Tiempo de equipo dedicado para la planificación de la instrucción de Matemáticas a nivel de grado.</w:t>
            </w:r>
          </w:p>
        </w:tc>
        <w:tc>
          <w:tcPr>
            <w:vAlign w:val="center"/>
          </w:tcPr>
          <w:p>
            <w:pPr>
              <w:pStyle w:val="Normal"/>
            </w:pPr>
            <w:r>
              <w:t>FALSO</w:t>
            </w:r>
          </w:p>
        </w:tc>
      </w:tr>
      <w:tr>
        <w:trPr/>
        <w:tc>
          <w:tcPr>
            <w:vAlign w:val="center"/>
          </w:tcPr>
          <w:p>
            <w:pPr>
              <w:pStyle w:val="Normal"/>
            </w:pPr>
            <w:r>
              <w:t>Oportunidades para que los estudiantes se agrupen para la instrucción de matemáticas según los niveles académicos.</w:t>
            </w:r>
          </w:p>
        </w:tc>
        <w:tc>
          <w:tcPr>
            <w:vAlign w:val="center"/>
          </w:tcPr>
          <w:p>
            <w:pPr>
              <w:pStyle w:val="Normal"/>
            </w:pPr>
            <w:r>
              <w:t>FALSO</w:t>
            </w:r>
          </w:p>
        </w:tc>
      </w:tr>
      <w:tr>
        <w:trPr/>
        <w:tc>
          <w:tcPr>
            <w:vAlign w:val="center"/>
          </w:tcPr>
          <w:p>
            <w:pPr>
              <w:pStyle w:val="Normal"/>
            </w:pPr>
            <w:r>
              <w:t>Implementación de un recurso cohesivo para la instrucción de Matemáticas K-6.</w:t>
            </w:r>
          </w:p>
        </w:tc>
        <w:tc>
          <w:tcPr>
            <w:vAlign w:val="center"/>
          </w:tcPr>
          <w:p>
            <w:pPr>
              <w:pStyle w:val="Normal"/>
            </w:pPr>
            <w:r>
              <w:t>Verdadero</w:t>
            </w:r>
          </w:p>
        </w:tc>
      </w:tr>
      <w:tr>
        <w:trPr/>
        <w:tc>
          <w:tcPr>
            <w:vAlign w:val="center"/>
          </w:tcPr>
          <w:p>
            <w:pPr>
              <w:pStyle w:val="Normal"/>
            </w:pPr>
            <w:r>
              <w:t>Implementación de recursos de ciencias para los grados K-5 que se alinea con PA STEELS.</w:t>
            </w:r>
          </w:p>
        </w:tc>
        <w:tc>
          <w:tcPr>
            <w:vAlign w:val="center"/>
          </w:tcPr>
          <w:p>
            <w:pPr>
              <w:pStyle w:val="Normal"/>
            </w:pPr>
            <w:r>
              <w:t>Verdadero</w:t>
            </w:r>
          </w:p>
        </w:tc>
      </w:tr>
      <w:tr>
        <w:trPr/>
        <w:tc>
          <w:tcPr>
            <w:vAlign w:val="center"/>
          </w:tcPr>
          <w:p>
            <w:pPr>
              <w:pStyle w:val="Normal"/>
            </w:pPr>
            <w:r>
              <w:t>Implementación del recurso de Ciencias para el grado 6 que se alinea con PA STEELS y es consistente con el recurso que se utiliza para los grados 7 y 8.</w:t>
            </w:r>
          </w:p>
        </w:tc>
        <w:tc>
          <w:tcPr>
            <w:vAlign w:val="center"/>
          </w:tcPr>
          <w:p>
            <w:pPr>
              <w:pStyle w:val="Normal"/>
            </w:pPr>
            <w:r>
              <w:t>Verdadero</w:t>
            </w:r>
          </w:p>
        </w:tc>
      </w:tr>
      <w:tr>
        <w:trPr/>
        <w:tc>
          <w:tcPr>
            <w:vAlign w:val="center"/>
          </w:tcPr>
          <w:p>
            <w:pPr>
              <w:pStyle w:val="Normal"/>
            </w:pPr>
            <w:r>
              <w:t>Los maestros del área de contenido brindaron lecciones y actividades que apoyan la preparación profesional.</w:t>
            </w:r>
          </w:p>
        </w:tc>
        <w:tc>
          <w:tcPr>
            <w:vAlign w:val="center"/>
          </w:tcPr>
          <w:p>
            <w:pPr>
              <w:pStyle w:val="Normal"/>
            </w:pPr>
            <w:r>
              <w:t>FALSO</w:t>
            </w:r>
          </w:p>
        </w:tc>
      </w:tr>
      <w:tr>
        <w:trPr/>
        <w:tc>
          <w:tcPr>
            <w:vAlign w:val="center"/>
          </w:tcPr>
          <w:p>
            <w:pPr>
              <w:pStyle w:val="Normal"/>
            </w:pPr>
            <w:r>
              <w:t>Se brindan a los estudiantes experiencias de campo virtuales y en persona que mejoran su comprensión de las oportunidades profesionales.</w:t>
            </w:r>
          </w:p>
        </w:tc>
        <w:tc>
          <w:tcPr>
            <w:vAlign w:val="center"/>
          </w:tcPr>
          <w:p>
            <w:pPr>
              <w:pStyle w:val="Normal"/>
            </w:pPr>
            <w:r>
              <w:t>FALSO</w:t>
            </w:r>
          </w:p>
        </w:tc>
      </w:tr>
      <w:tr>
        <w:trPr/>
        <w:tc>
          <w:tcPr>
            <w:vAlign w:val="center"/>
          </w:tcPr>
          <w:p>
            <w:pPr>
              <w:pStyle w:val="Normal"/>
            </w:pPr>
            <w:r>
              <w:t>Los estudiantes de 5to y 6to grado participaron en BizTown a través de Jr. Achievement para incrementar sus conocimientos sobre diversas carreras.</w:t>
            </w:r>
          </w:p>
        </w:tc>
        <w:tc>
          <w:tcPr>
            <w:vAlign w:val="center"/>
          </w:tcPr>
          <w:p>
            <w:pPr>
              <w:pStyle w:val="Normal"/>
            </w:pPr>
            <w:r>
              <w:t>FALSO</w:t>
            </w:r>
          </w:p>
        </w:tc>
      </w:tr>
      <w:tr>
        <w:trPr/>
        <w:tc>
          <w:tcPr>
            <w:vAlign w:val="center"/>
          </w:tcPr>
          <w:p>
            <w:pPr>
              <w:pStyle w:val="Normal"/>
            </w:pPr>
            <w:r>
              <w:t>Los puntajes provisionales de WIDA indican que los ELL están progresando en el aprendizaje del inglés.</w:t>
            </w:r>
          </w:p>
        </w:tc>
        <w:tc>
          <w:tcPr>
            <w:vAlign w:val="center"/>
          </w:tcPr>
          <w:p>
            <w:pPr>
              <w:pStyle w:val="Normal"/>
            </w:pPr>
            <w:r>
              <w:t>Verdadero</w:t>
            </w:r>
          </w:p>
        </w:tc>
      </w:tr>
      <w:tr>
        <w:trPr/>
        <w:tc>
          <w:tcPr>
            <w:vAlign w:val="center"/>
          </w:tcPr>
          <w:p>
            <w:pPr>
              <w:pStyle w:val="Normal"/>
            </w:pPr>
            <w:r>
              <w:t>El cronograma general del edificio permite dedicar tiempo a la intervención y el enriquecimiento para los estudiantes de todos los niveles de grado.</w:t>
            </w:r>
          </w:p>
        </w:tc>
        <w:tc>
          <w:tcPr>
            <w:vAlign w:val="center"/>
          </w:tcPr>
          <w:p>
            <w:pPr>
              <w:pStyle w:val="Normal"/>
            </w:pPr>
            <w:r>
              <w:t>Verdadero</w:t>
            </w:r>
          </w:p>
        </w:tc>
      </w:tr>
      <w:tr>
        <w:trPr/>
        <w:tc>
          <w:tcPr>
            <w:vAlign w:val="center"/>
          </w:tcPr>
          <w:p>
            <w:pPr>
              <w:pStyle w:val="Normal"/>
            </w:pPr>
            <w:r>
              <w:t>Cuatro estudiantes salieron del programa de Desarrollo del Idioma Inglés según los puntajes WIDA de 2025/2026.</w:t>
            </w:r>
          </w:p>
        </w:tc>
        <w:tc>
          <w:tcPr>
            <w:vAlign w:val="center"/>
          </w:tcPr>
          <w:p>
            <w:pPr>
              <w:pStyle w:val="Normal"/>
            </w:pPr>
            <w:r>
              <w:t>FALSO</w:t>
            </w:r>
          </w:p>
        </w:tc>
      </w:tr>
      <w:tr>
        <w:trPr/>
        <w:tc>
          <w:tcPr>
            <w:vAlign w:val="center"/>
          </w:tcPr>
          <w:p>
            <w:pPr>
              <w:pStyle w:val="Normal"/>
            </w:pPr>
            <w:r>
              <w:t>Fomentar altas expectativas para todos</w:t>
            </w:r>
          </w:p>
        </w:tc>
        <w:tc>
          <w:tcPr>
            <w:vAlign w:val="center"/>
          </w:tcPr>
          <w:p>
            <w:pPr>
              <w:pStyle w:val="Normal"/>
            </w:pPr>
            <w:r>
              <w:t>Verdadero</w:t>
            </w:r>
          </w:p>
        </w:tc>
      </w:tr>
      <w:tr>
        <w:trPr/>
        <w:tc>
          <w:tcPr>
            <w:vAlign w:val="center"/>
          </w:tcPr>
          <w:p>
            <w:pPr>
              <w:pStyle w:val="Normal"/>
            </w:pPr>
            <w:r>
              <w:t>Utilice una variedad de evaluaciones (incluidas las diagnósticas, formativas y sumativas) para monitorear el aprendizaje de los estudiantes y ajustar los programas y las prácticas de instrucción.</w:t>
            </w:r>
          </w:p>
        </w:tc>
        <w:tc>
          <w:tcPr>
            <w:vAlign w:val="center"/>
          </w:tcPr>
          <w:p>
            <w:pPr>
              <w:pStyle w:val="Normal"/>
            </w:pPr>
            <w:r>
              <w:t>FALSO</w:t>
            </w:r>
          </w:p>
        </w:tc>
      </w:tr>
      <w:tr>
        <w:trPr/>
        <w:tc>
          <w:tcPr>
            <w:vAlign w:val="center"/>
          </w:tcPr>
          <w:p>
            <w:pPr>
              <w:pStyle w:val="Normal"/>
            </w:pPr>
            <w:r>
              <w:t>Identificar y abordar las necesidades individuales de aprendizaje de los estudiantes.</w:t>
            </w:r>
          </w:p>
        </w:tc>
        <w:tc>
          <w:tcPr>
            <w:vAlign w:val="center"/>
          </w:tcPr>
          <w:p>
            <w:pPr>
              <w:pStyle w:val="Normal"/>
            </w:pPr>
            <w:r>
              <w:t>Verdadero</w:t>
            </w:r>
          </w:p>
        </w:tc>
      </w:tr>
      <w:tr>
        <w:trPr/>
        <w:tc>
          <w:tcPr>
            <w:vAlign w:val="center"/>
          </w:tcPr>
          <w:p>
            <w:pPr>
              <w:pStyle w:val="Normal"/>
            </w:pPr>
            <w:r>
              <w:t>Brindar oportunidades para que los miembros del personal seleccionen por sí mismos el desarrollo profesional en función de sus necesidades individuales.</w:t>
            </w:r>
          </w:p>
        </w:tc>
        <w:tc>
          <w:tcPr>
            <w:vAlign w:val="center"/>
          </w:tcPr>
          <w:p>
            <w:pPr>
              <w:pStyle w:val="Normal"/>
            </w:pPr>
            <w:r>
              <w:t>FALSO</w:t>
            </w:r>
          </w:p>
        </w:tc>
      </w:tr>
    </w:tbl>
    <w:p>
      <w:pPr>
        <w:pStyle w:val="Heading2"/>
      </w:pPr>
      <w:r>
        <w:t>Desafíos</w:t>
      </w:r>
    </w:p>
    <w:p>
      <w:pPr>
        <w:pStyle w:val="Normal"/>
      </w:pPr>
      <w:r>
        <w:t>Examinar el resumen de desafíos. Identifique los desafíos que son más apremiantes en este momento para su escuela y que, si se mejoraran, tendrían el impacto más pronunciado en el logro de su misión y visión. Marque la casilla a la derecha de estos desafíos identificados.</w:t>
      </w:r>
    </w:p>
    <w:tbl>
      <w:tblPr>
        <w:tblStyle w:val="TableGrid"/>
        <w:tblW w:w="5000" w:type="pct"/>
      </w:tblPr>
      <w:tblGrid>
        <w:gridCol/>
        <w:gridCol/>
      </w:tblGrid>
      <w:tr>
        <w:trPr/>
        <w:tc>
          <w:tcPr>
            <w:tcW w:w="4000" w:type="pct"/>
            <w:vAlign w:val="center"/>
          </w:tcPr>
          <w:p>
            <w:pPr>
              <w:pStyle w:val="Normal"/>
            </w:pPr>
            <w:r>
              <w:t>Fortaleza</w:t>
            </w:r>
          </w:p>
        </w:tc>
        <w:tc>
          <w:tcPr>
            <w:vAlign w:val="center"/>
          </w:tcPr>
          <w:p>
            <w:pPr>
              <w:pStyle w:val="Normal"/>
            </w:pPr>
            <w:r>
              <w:t>Verificar la consideración en el plan</w:t>
            </w:r>
          </w:p>
        </w:tc>
      </w:tr>
      <w:tr>
        <w:trPr/>
        <w:tc>
          <w:tcPr>
            <w:vAlign w:val="center"/>
          </w:tcPr>
          <w:p>
            <w:pPr>
              <w:pStyle w:val="Normal"/>
            </w:pPr>
            <w:r>
              <w:t>La puntuación de crecimiento académico en Artes del Lenguaje Inglés/Literatura fue 68, lo que no cumple con el estándar de crecimiento anual. Esto también es 11 puntos menos que el año escolar anterior.</w:t>
            </w:r>
          </w:p>
        </w:tc>
        <w:tc>
          <w:tcPr>
            <w:vAlign w:val="center"/>
          </w:tcPr>
          <w:p>
            <w:pPr>
              <w:pStyle w:val="Normal"/>
            </w:pPr>
            <w:r>
              <w:t>FALSO</w:t>
            </w:r>
          </w:p>
        </w:tc>
      </w:tr>
      <w:tr>
        <w:trPr/>
        <w:tc>
          <w:tcPr>
            <w:vAlign w:val="center"/>
          </w:tcPr>
          <w:p>
            <w:pPr>
              <w:pStyle w:val="Normal"/>
            </w:pPr>
            <w:r>
              <w:t>Este grupo no cumplió con la meta de crecimiento. En 23/24, este grupo reflejó una puntuación de crecimiento de 87. Su puntuación de crecimiento en 24/25 fue 67.</w:t>
            </w:r>
          </w:p>
        </w:tc>
        <w:tc>
          <w:tcPr>
            <w:vAlign w:val="center"/>
          </w:tcPr>
          <w:p>
            <w:pPr>
              <w:pStyle w:val="Normal"/>
            </w:pPr>
            <w:r>
              <w:t>FALSO</w:t>
            </w:r>
          </w:p>
        </w:tc>
      </w:tr>
      <w:tr>
        <w:trPr/>
        <w:tc>
          <w:tcPr>
            <w:vAlign w:val="center"/>
          </w:tcPr>
          <w:p>
            <w:pPr>
              <w:pStyle w:val="Normal"/>
            </w:pPr>
            <w:r>
              <w:t>Este grupo no cumplió con la meta de crecimiento. En 23/24, este grupo reflejó una puntuación de crecimiento de 78. Su puntuación de crecimiento en 24/25 fue 61.</w:t>
            </w:r>
          </w:p>
        </w:tc>
        <w:tc>
          <w:tcPr>
            <w:vAlign w:val="center"/>
          </w:tcPr>
          <w:p>
            <w:pPr>
              <w:pStyle w:val="Normal"/>
            </w:pPr>
            <w:r>
              <w:t>FALSO</w:t>
            </w:r>
          </w:p>
        </w:tc>
      </w:tr>
      <w:tr>
        <w:trPr/>
        <w:tc>
          <w:tcPr>
            <w:vAlign w:val="center"/>
          </w:tcPr>
          <w:p>
            <w:pPr>
              <w:pStyle w:val="Normal"/>
            </w:pPr>
            <w:r>
              <w:t>El 48,7% de los estudiantes en los grados 3 a 6 fueron competentes o avanzados en la PSSA de lengua y literatura inglesa.</w:t>
            </w:r>
          </w:p>
        </w:tc>
        <w:tc>
          <w:tcPr>
            <w:vAlign w:val="center"/>
          </w:tcPr>
          <w:p>
            <w:pPr>
              <w:pStyle w:val="Normal"/>
            </w:pPr>
            <w:r>
              <w:t>Verdadero</w:t>
            </w:r>
          </w:p>
        </w:tc>
      </w:tr>
      <w:tr>
        <w:trPr/>
        <w:tc>
          <w:tcPr>
            <w:vAlign w:val="center"/>
          </w:tcPr>
          <w:p>
            <w:pPr>
              <w:pStyle w:val="Normal"/>
            </w:pPr>
            <w:r>
              <w:t>El 51,3% de los estudiantes en los grados 3 a 6 fueron competentes o avanzados en la prueba PSSA de matemáticas. Esto fue un 10% por encima del promedio estatal.</w:t>
            </w:r>
          </w:p>
        </w:tc>
        <w:tc>
          <w:tcPr>
            <w:vAlign w:val="center"/>
          </w:tcPr>
          <w:p>
            <w:pPr>
              <w:pStyle w:val="Normal"/>
            </w:pPr>
            <w:r>
              <w:t>Verdadero</w:t>
            </w:r>
          </w:p>
        </w:tc>
      </w:tr>
      <w:tr>
        <w:trPr/>
        <w:tc>
          <w:tcPr>
            <w:vAlign w:val="center"/>
          </w:tcPr>
          <w:p>
            <w:pPr>
              <w:pStyle w:val="Normal"/>
            </w:pPr>
            <w:r>
              <w:t>El subgrupo de estudiantes con discapacidades no cumplió con la meta de crecimiento para ELA PSSA. En 23/24, este grupo reflejó una puntuación de crecimiento de 87. Su puntuación de crecimiento en 24/25 fue 67.</w:t>
            </w:r>
          </w:p>
        </w:tc>
        <w:tc>
          <w:tcPr>
            <w:vAlign w:val="center"/>
          </w:tcPr>
          <w:p>
            <w:pPr>
              <w:pStyle w:val="Normal"/>
            </w:pPr>
            <w:r>
              <w:t>FALSO</w:t>
            </w:r>
          </w:p>
        </w:tc>
      </w:tr>
      <w:tr>
        <w:trPr/>
        <w:tc>
          <w:tcPr>
            <w:vAlign w:val="center"/>
          </w:tcPr>
          <w:p>
            <w:pPr>
              <w:pStyle w:val="Normal"/>
            </w:pPr>
            <w:r>
              <w:t>El subgrupo Blanco no cumplió con la meta de crecimiento. En 23/24, este grupo reflejó una puntuación de crecimiento de 78. Su puntuación de crecimiento en 24/25 fue 61.</w:t>
            </w:r>
          </w:p>
        </w:tc>
        <w:tc>
          <w:tcPr>
            <w:vAlign w:val="center"/>
          </w:tcPr>
          <w:p>
            <w:pPr>
              <w:pStyle w:val="Normal"/>
            </w:pPr>
            <w:r>
              <w:t>FALSO</w:t>
            </w:r>
          </w:p>
        </w:tc>
      </w:tr>
      <w:tr>
        <w:trPr/>
        <w:tc>
          <w:tcPr>
            <w:vAlign w:val="center"/>
          </w:tcPr>
          <w:p>
            <w:pPr>
              <w:pStyle w:val="Normal"/>
            </w:pPr>
            <w:r>
              <w:t>La asistencia del subgrupo de Estudiantes con Discapacidades fue del 81,8% durante el año escolar 24/25. Esta fue una disminución del 11% respecto al año anterior.</w:t>
            </w:r>
          </w:p>
        </w:tc>
        <w:tc>
          <w:tcPr>
            <w:vAlign w:val="center"/>
          </w:tcPr>
          <w:p>
            <w:pPr>
              <w:pStyle w:val="Normal"/>
            </w:pPr>
            <w:r>
              <w:t>FALSO</w:t>
            </w:r>
          </w:p>
        </w:tc>
      </w:tr>
      <w:tr>
        <w:trPr/>
        <w:tc>
          <w:tcPr>
            <w:vAlign w:val="center"/>
          </w:tcPr>
          <w:p>
            <w:pPr>
              <w:pStyle w:val="Normal"/>
            </w:pPr>
            <w:r>
              <w:t>El 30,8% de los estudiantes hispanos obtuvieron resultados competentes o avanzados en la prueba PSSA de Matemáticas. Esto es un 20,5% menos que toda la población escolar.</w:t>
            </w:r>
          </w:p>
        </w:tc>
        <w:tc>
          <w:tcPr>
            <w:vAlign w:val="center"/>
          </w:tcPr>
          <w:p>
            <w:pPr>
              <w:pStyle w:val="Normal"/>
            </w:pPr>
            <w:r>
              <w:t>FALSO</w:t>
            </w:r>
          </w:p>
        </w:tc>
      </w:tr>
      <w:tr>
        <w:trPr/>
        <w:tc>
          <w:tcPr>
            <w:vAlign w:val="center"/>
          </w:tcPr>
          <w:p>
            <w:pPr>
              <w:pStyle w:val="Normal"/>
            </w:pPr>
            <w:r>
              <w:t>El 17,8% de los estudiantes con discapacidades obtuvieron resultados competentes o avanzados en la PSSA de Matemáticas.</w:t>
            </w:r>
          </w:p>
        </w:tc>
        <w:tc>
          <w:tcPr>
            <w:vAlign w:val="center"/>
          </w:tcPr>
          <w:p>
            <w:pPr>
              <w:pStyle w:val="Normal"/>
            </w:pPr>
            <w:r>
              <w:t>FALSO</w:t>
            </w:r>
          </w:p>
        </w:tc>
      </w:tr>
      <w:tr>
        <w:trPr/>
        <w:tc>
          <w:tcPr>
            <w:vAlign w:val="center"/>
          </w:tcPr>
          <w:p>
            <w:pPr>
              <w:pStyle w:val="Normal"/>
            </w:pPr>
            <w:r>
              <w:t>Hubo una disminución del 8 % en el porcentaje de estudiantes con IEP que tuvieron dominio en la PSSA de artes del lenguaje inglés.</w:t>
            </w:r>
          </w:p>
        </w:tc>
        <w:tc>
          <w:tcPr>
            <w:vAlign w:val="center"/>
          </w:tcPr>
          <w:p>
            <w:pPr>
              <w:pStyle w:val="Normal"/>
            </w:pPr>
            <w:r>
              <w:t>FALSO</w:t>
            </w:r>
          </w:p>
        </w:tc>
      </w:tr>
      <w:tr>
        <w:trPr/>
        <w:tc>
          <w:tcPr>
            <w:vAlign w:val="center"/>
          </w:tcPr>
          <w:p>
            <w:pPr>
              <w:pStyle w:val="Normal"/>
            </w:pPr>
            <w:r>
              <w:t>El 42,5% de los estudiantes económicamente desfavorecidos eran competentes y avanzados. Esta fue una disminución del 4% respecto al año anterior.</w:t>
            </w:r>
          </w:p>
        </w:tc>
        <w:tc>
          <w:tcPr>
            <w:vAlign w:val="center"/>
          </w:tcPr>
          <w:p>
            <w:pPr>
              <w:pStyle w:val="Normal"/>
            </w:pPr>
            <w:r>
              <w:t>FALSO</w:t>
            </w:r>
          </w:p>
        </w:tc>
      </w:tr>
      <w:tr>
        <w:trPr/>
        <w:tc>
          <w:tcPr>
            <w:vAlign w:val="center"/>
          </w:tcPr>
          <w:p>
            <w:pPr>
              <w:pStyle w:val="Normal"/>
            </w:pPr>
            <w:r>
              <w:t>El subgrupo de estudiantes con discapacidades obtuvo una puntuación de crecimiento de 70. Esta puntuación es consistente con la puntuación del año anterior.</w:t>
            </w:r>
          </w:p>
        </w:tc>
        <w:tc>
          <w:tcPr>
            <w:vAlign w:val="center"/>
          </w:tcPr>
          <w:p>
            <w:pPr>
              <w:pStyle w:val="Normal"/>
            </w:pPr>
            <w:r>
              <w:t>FALSO</w:t>
            </w:r>
          </w:p>
        </w:tc>
      </w:tr>
      <w:tr>
        <w:trPr/>
        <w:tc>
          <w:tcPr>
            <w:vAlign w:val="center"/>
          </w:tcPr>
          <w:p>
            <w:pPr>
              <w:pStyle w:val="Normal"/>
            </w:pPr>
            <w:r>
              <w:t>La asistencia del subgrupo de Estudiantes con Discapacidades fue del 81,8% durante el año escolar 24/25. Esta fue una disminución del 11% respecto al año anterior.</w:t>
            </w:r>
          </w:p>
        </w:tc>
        <w:tc>
          <w:tcPr>
            <w:vAlign w:val="center"/>
          </w:tcPr>
          <w:p>
            <w:pPr>
              <w:pStyle w:val="Normal"/>
            </w:pPr>
            <w:r>
              <w:t>FALSO</w:t>
            </w:r>
          </w:p>
        </w:tc>
      </w:tr>
      <w:tr>
        <w:trPr/>
        <w:tc>
          <w:tcPr>
            <w:vAlign w:val="center"/>
          </w:tcPr>
          <w:p>
            <w:pPr>
              <w:pStyle w:val="Normal"/>
            </w:pPr>
            <w:r>
              <w:t>La financiación y el tiempo impiden la cantidad de experiencias de campo que podemos ofrecer a nuestros alumnos para ampliar su comprensión de las oportunidades profesionales.</w:t>
            </w:r>
          </w:p>
        </w:tc>
        <w:tc>
          <w:tcPr>
            <w:vAlign w:val="center"/>
          </w:tcPr>
          <w:p>
            <w:pPr>
              <w:pStyle w:val="Normal"/>
            </w:pPr>
            <w:r>
              <w:t>FALSO</w:t>
            </w:r>
          </w:p>
        </w:tc>
      </w:tr>
      <w:tr>
        <w:trPr/>
        <w:tc>
          <w:tcPr>
            <w:vAlign w:val="center"/>
          </w:tcPr>
          <w:p>
            <w:pPr>
              <w:pStyle w:val="Normal"/>
            </w:pPr>
            <w:r>
              <w:t>La correlación entre los estudiantes con calificaciones iguales o superiores al punto de referencia en las evaluaciones universales locales no se alinea con el porcentaje de estudiantes con calificaciones competentes o avanzadas en la prueba PSSA de lengua y literatura inglesa.</w:t>
            </w:r>
          </w:p>
        </w:tc>
        <w:tc>
          <w:tcPr>
            <w:vAlign w:val="center"/>
          </w:tcPr>
          <w:p>
            <w:pPr>
              <w:pStyle w:val="Normal"/>
            </w:pPr>
            <w:r>
              <w:t>FALSO</w:t>
            </w:r>
          </w:p>
        </w:tc>
      </w:tr>
      <w:tr>
        <w:trPr/>
        <w:tc>
          <w:tcPr>
            <w:vAlign w:val="center"/>
          </w:tcPr>
          <w:p>
            <w:pPr>
              <w:pStyle w:val="Normal"/>
            </w:pPr>
            <w:r>
              <w:t>Contratar y programar paraprofesionales de Título 1 para apoyar a los estudiantes con las mayores necesidades.</w:t>
            </w:r>
          </w:p>
        </w:tc>
        <w:tc>
          <w:tcPr>
            <w:vAlign w:val="center"/>
          </w:tcPr>
          <w:p>
            <w:pPr>
              <w:pStyle w:val="Normal"/>
            </w:pPr>
            <w:r>
              <w:t>FALSO</w:t>
            </w:r>
          </w:p>
        </w:tc>
      </w:tr>
      <w:tr>
        <w:trPr/>
        <w:tc>
          <w:tcPr>
            <w:vAlign w:val="center"/>
          </w:tcPr>
          <w:p>
            <w:pPr>
              <w:pStyle w:val="Normal"/>
            </w:pPr>
            <w:r>
              <w:t>Proporcionar tiempo adicional dedicado para conocer a los estudiantes en sus niveles académicos individuales.</w:t>
            </w:r>
          </w:p>
        </w:tc>
        <w:tc>
          <w:tcPr>
            <w:vAlign w:val="center"/>
          </w:tcPr>
          <w:p>
            <w:pPr>
              <w:pStyle w:val="Normal"/>
            </w:pPr>
            <w:r>
              <w:t>FALSO</w:t>
            </w:r>
          </w:p>
        </w:tc>
      </w:tr>
      <w:tr>
        <w:trPr/>
        <w:tc>
          <w:tcPr>
            <w:vAlign w:val="center"/>
          </w:tcPr>
          <w:p>
            <w:pPr>
              <w:pStyle w:val="Normal"/>
            </w:pPr>
            <w:r>
              <w:t>Uso continuo de sistemas de intervención de lectura de alta calidad para orientar la instrucción a las necesidades académicas individuales de los alumnos (actualmente en el cuarto año de implementación).</w:t>
            </w:r>
          </w:p>
        </w:tc>
        <w:tc>
          <w:tcPr>
            <w:vAlign w:val="center"/>
          </w:tcPr>
          <w:p>
            <w:pPr>
              <w:pStyle w:val="Normal"/>
            </w:pPr>
            <w:r>
              <w:t>FALSO</w:t>
            </w:r>
          </w:p>
        </w:tc>
      </w:tr>
      <w:tr>
        <w:trPr/>
        <w:tc>
          <w:tcPr>
            <w:vAlign w:val="center"/>
          </w:tcPr>
          <w:p>
            <w:pPr>
              <w:pStyle w:val="Normal"/>
            </w:pPr>
            <w:r>
              <w:t>Uso continuo de sistemas de intervención en Matemáticas de alta calidad para orientar la instrucción a las necesidades académicas individuales de los alumnos (actualmente en el tercer año de implementación).</w:t>
            </w:r>
          </w:p>
        </w:tc>
        <w:tc>
          <w:tcPr>
            <w:vAlign w:val="center"/>
          </w:tcPr>
          <w:p>
            <w:pPr>
              <w:pStyle w:val="Normal"/>
            </w:pPr>
            <w:r>
              <w:t>FALSO</w:t>
            </w:r>
          </w:p>
        </w:tc>
      </w:tr>
      <w:tr>
        <w:trPr/>
        <w:tc>
          <w:tcPr>
            <w:vAlign w:val="center"/>
          </w:tcPr>
          <w:p>
            <w:pPr>
              <w:pStyle w:val="Normal"/>
            </w:pPr>
            <w:r>
              <w:t>Programar paraprofesionales de Título 1 para apoyar a los estudiantes con las mayores necesidades.</w:t>
            </w:r>
          </w:p>
        </w:tc>
        <w:tc>
          <w:tcPr>
            <w:vAlign w:val="center"/>
          </w:tcPr>
          <w:p>
            <w:pPr>
              <w:pStyle w:val="Normal"/>
            </w:pPr>
            <w:r>
              <w:t>FALSO</w:t>
            </w:r>
          </w:p>
        </w:tc>
      </w:tr>
      <w:tr>
        <w:trPr/>
        <w:tc>
          <w:tcPr>
            <w:vAlign w:val="center"/>
          </w:tcPr>
          <w:p>
            <w:pPr>
              <w:pStyle w:val="Normal"/>
            </w:pPr>
            <w:r>
              <w:t>Evaluación sistemática para identificar las necesidades de fluidez matemática.</w:t>
            </w:r>
          </w:p>
        </w:tc>
        <w:tc>
          <w:tcPr>
            <w:vAlign w:val="center"/>
          </w:tcPr>
          <w:p>
            <w:pPr>
              <w:pStyle w:val="Normal"/>
            </w:pPr>
            <w:r>
              <w:t>FALSO</w:t>
            </w:r>
          </w:p>
        </w:tc>
      </w:tr>
      <w:tr>
        <w:trPr/>
        <w:tc>
          <w:tcPr>
            <w:vAlign w:val="center"/>
          </w:tcPr>
          <w:p>
            <w:pPr>
              <w:pStyle w:val="Normal"/>
            </w:pPr>
            <w:r>
              <w:t>Cuando los estudiantes se mudan a nuestro edificio al final del año escolar, puede resultar difícil recopilar los artefactos necesarios si su escuela anterior no ha compartido ningún artefacto.</w:t>
            </w:r>
          </w:p>
        </w:tc>
        <w:tc>
          <w:tcPr>
            <w:vAlign w:val="center"/>
          </w:tcPr>
          <w:p>
            <w:pPr>
              <w:pStyle w:val="Normal"/>
            </w:pPr>
            <w:r>
              <w:t>FALSO</w:t>
            </w:r>
          </w:p>
        </w:tc>
      </w:tr>
      <w:tr>
        <w:trPr/>
        <w:tc>
          <w:tcPr>
            <w:vAlign w:val="center"/>
          </w:tcPr>
          <w:p>
            <w:pPr>
              <w:pStyle w:val="Normal"/>
            </w:pPr>
            <w:r>
              <w:t>Tiempo limitado para intervenciones de Matemáticas de Nivel 2.</w:t>
            </w:r>
          </w:p>
        </w:tc>
        <w:tc>
          <w:tcPr>
            <w:vAlign w:val="center"/>
          </w:tcPr>
          <w:p>
            <w:pPr>
              <w:pStyle w:val="Normal"/>
            </w:pPr>
            <w:r>
              <w:t>FALSO</w:t>
            </w:r>
          </w:p>
        </w:tc>
      </w:tr>
      <w:tr>
        <w:trPr/>
        <w:tc>
          <w:tcPr>
            <w:vAlign w:val="center"/>
          </w:tcPr>
          <w:p>
            <w:pPr>
              <w:pStyle w:val="Normal"/>
            </w:pPr>
            <w:r>
              <w:t>Programación para permitir tiempo adecuado para la instrucción de Ciencias.</w:t>
            </w:r>
          </w:p>
        </w:tc>
        <w:tc>
          <w:tcPr>
            <w:vAlign w:val="center"/>
          </w:tcPr>
          <w:p>
            <w:pPr>
              <w:pStyle w:val="Normal"/>
            </w:pPr>
            <w:r>
              <w:t>FALSO</w:t>
            </w:r>
          </w:p>
        </w:tc>
      </w:tr>
      <w:tr>
        <w:trPr/>
        <w:tc>
          <w:tcPr>
            <w:vAlign w:val="center"/>
          </w:tcPr>
          <w:p>
            <w:pPr>
              <w:pStyle w:val="Normal"/>
            </w:pPr>
            <w:r>
              <w:t>Los estudiantes hispanos reciben apoyo adicional en ELA de nuestro maestro de Desarrollo del Idioma Inglés. No tenemos este nivel de soporte para Matemáticas.</w:t>
            </w:r>
          </w:p>
        </w:tc>
        <w:tc>
          <w:tcPr>
            <w:vAlign w:val="center"/>
          </w:tcPr>
          <w:p>
            <w:pPr>
              <w:pStyle w:val="Normal"/>
            </w:pPr>
            <w:r>
              <w:t>FALSO</w:t>
            </w:r>
          </w:p>
        </w:tc>
      </w:tr>
      <w:tr>
        <w:trPr/>
        <w:tc>
          <w:tcPr>
            <w:vAlign w:val="center"/>
          </w:tcPr>
          <w:p>
            <w:pPr>
              <w:pStyle w:val="Normal"/>
            </w:pPr>
            <w:r>
              <w:t>Nuestro horario no permite suficiente tiempo para el desarrollo del vocabulario matemático.</w:t>
            </w:r>
          </w:p>
        </w:tc>
        <w:tc>
          <w:tcPr>
            <w:vAlign w:val="center"/>
          </w:tcPr>
          <w:p>
            <w:pPr>
              <w:pStyle w:val="Normal"/>
            </w:pPr>
            <w:r>
              <w:t>FALSO</w:t>
            </w:r>
          </w:p>
        </w:tc>
      </w:tr>
      <w:tr>
        <w:trPr/>
        <w:tc>
          <w:tcPr>
            <w:vAlign w:val="center"/>
          </w:tcPr>
          <w:p>
            <w:pPr>
              <w:pStyle w:val="Normal"/>
            </w:pPr>
            <w:r>
              <w:t>Proporcionar tiempos WIN dedicados ha sido positivo para agregar apoyo y enriquecimiento adicional para los estudiantes, pero crear este tiempo acortó la cantidad de tiempo disponible para la instrucción básica.</w:t>
            </w:r>
          </w:p>
        </w:tc>
        <w:tc>
          <w:tcPr>
            <w:vAlign w:val="center"/>
          </w:tcPr>
          <w:p>
            <w:pPr>
              <w:pStyle w:val="Normal"/>
            </w:pPr>
            <w:r>
              <w:t>FALSO</w:t>
            </w:r>
          </w:p>
        </w:tc>
      </w:tr>
      <w:tr>
        <w:trPr/>
        <w:tc>
          <w:tcPr>
            <w:vAlign w:val="center"/>
          </w:tcPr>
          <w:p>
            <w:pPr>
              <w:pStyle w:val="Normal"/>
            </w:pPr>
            <w:r>
              <w:t>Comentarios oportunos sobre estrategias de instrucción.</w:t>
            </w:r>
          </w:p>
        </w:tc>
        <w:tc>
          <w:tcPr>
            <w:vAlign w:val="center"/>
          </w:tcPr>
          <w:p>
            <w:pPr>
              <w:pStyle w:val="Normal"/>
            </w:pPr>
            <w:r>
              <w:t>FALSO</w:t>
            </w:r>
          </w:p>
        </w:tc>
      </w:tr>
      <w:tr>
        <w:trPr/>
        <w:tc>
          <w:tcPr>
            <w:vAlign w:val="center"/>
          </w:tcPr>
          <w:p>
            <w:pPr>
              <w:pStyle w:val="Normal"/>
            </w:pPr>
            <w:r>
              <w:t>Mayor compromiso familiar</w:t>
            </w:r>
          </w:p>
        </w:tc>
        <w:tc>
          <w:tcPr>
            <w:vAlign w:val="center"/>
          </w:tcPr>
          <w:p>
            <w:pPr>
              <w:pStyle w:val="Normal"/>
            </w:pPr>
            <w:r>
              <w:t>Verdadero</w:t>
            </w:r>
          </w:p>
        </w:tc>
      </w:tr>
      <w:tr>
        <w:trPr/>
        <w:tc>
          <w:tcPr>
            <w:vAlign w:val="center"/>
          </w:tcPr>
          <w:p>
            <w:pPr>
              <w:pStyle w:val="Normal"/>
            </w:pPr>
            <w:r>
              <w:t>Implementar estrategias basadas en evidencia para involucrar a las familias en el apoyo al aprendizaje.</w:t>
            </w:r>
          </w:p>
        </w:tc>
        <w:tc>
          <w:tcPr>
            <w:vAlign w:val="center"/>
          </w:tcPr>
          <w:p>
            <w:pPr>
              <w:pStyle w:val="Normal"/>
            </w:pPr>
            <w:r>
              <w:t>FALSO</w:t>
            </w:r>
          </w:p>
        </w:tc>
      </w:tr>
    </w:tbl>
    <w:p>
      <w:pPr>
        <w:pStyle w:val="Heading2"/>
      </w:pPr>
      <w:r>
        <w:t>Observaciones/Patrones más notables</w:t>
      </w:r>
    </w:p>
    <w:p>
      <w:pPr>
        <w:pStyle w:val="Normal"/>
      </w:pPr>
      <w:r>
        <w:t>En el espacio provisto, registre cualquiera de los comentarios y observaciones notables realizadas mientras su equipo trabajó en la evaluación de necesidades que se destacan como importantes para los desafíos que marcó para su consideración en su plan integral.</w:t>
      </w:r>
    </w:p>
    <w:p>
      <w:pPr>
        <w:pStyle w:val="Normal"/>
      </w:pPr>
      <w:r>
        <w:t>Como escuela, debemos continuar enfocándonos en la instrucción de ELA y matemáticas, asegurando que todos los estudiantes reciban instrucción de Nivel 1 rigurosa y de alta calidad, complementada con intervenciones y enriquecimiento. Involucrar a las familias en eventos escolares y fomentar el apoyo académico en el hogar ayudará a los estudiantes a mostrar aumentos en el rendimiento académico en las evaluaciones de ELA y Matemáticas.</w:t>
      </w:r>
    </w:p>
    <w:p>
      <w:pPr>
        <w:pStyle w:val="Normal"/>
      </w:pPr>
      <w:r>
        <w:br w:type="page"/>
      </w:r>
      <w:r>
        <w:lastRenderedPageBreak/>
      </w:r>
    </w:p>
    <w:p>
      <w:pPr>
        <w:pStyle w:val="Heading1"/>
      </w:pPr>
      <w:r>
        <w:t>Analizando (Fortalezas y Desafíos)</w:t>
      </w:r>
    </w:p>
    <w:p>
      <w:pPr>
        <w:pStyle w:val="Heading2"/>
      </w:pPr>
      <w:r>
        <w:t>Analizando desafíos</w:t>
      </w:r>
    </w:p>
    <w:tbl>
      <w:tblPr>
        <w:tblStyle w:val="TableGrid"/>
        <w:tblW w:w="5000" w:type="pct"/>
      </w:tblPr>
      <w:tblGrid>
        <w:gridCol/>
        <w:gridCol/>
        <w:gridCol/>
      </w:tblGrid>
      <w:tr>
        <w:trPr/>
        <w:tc>
          <w:tcPr>
            <w:vAlign w:val="center"/>
          </w:tcPr>
          <w:p>
            <w:pPr>
              <w:pStyle w:val="Normal"/>
            </w:pPr>
            <w:r>
              <w:rPr>
                <w:b/>
              </w:rPr>
              <w:t>Analizando desafíos</w:t>
            </w:r>
          </w:p>
        </w:tc>
        <w:tc>
          <w:tcPr>
            <w:vAlign w:val="center"/>
          </w:tcPr>
          <w:p>
            <w:pPr>
              <w:pStyle w:val="Normal"/>
            </w:pPr>
            <w:r>
              <w:rPr>
                <w:b/>
              </w:rPr>
              <w:t>Puntos de discusión</w:t>
            </w:r>
          </w:p>
        </w:tc>
        <w:tc>
          <w:tcPr>
            <w:vAlign w:val="center"/>
          </w:tcPr>
          <w:p>
            <w:pPr>
              <w:pStyle w:val="Normal"/>
            </w:pPr>
            <w:r>
              <w:rPr>
                <w:b/>
              </w:rPr>
              <w:t>Verificar prioridad</w:t>
            </w:r>
          </w:p>
        </w:tc>
      </w:tr>
      <w:tr>
        <w:trPr/>
        <w:tc>
          <w:tcPr>
            <w:vAlign w:val="center"/>
          </w:tcPr>
          <w:p>
            <w:pPr>
              <w:pStyle w:val="Normal"/>
            </w:pPr>
            <w:r>
              <w:t>Mayor compromiso familiar</w:t>
            </w:r>
          </w:p>
        </w:tc>
        <w:tc>
          <w:tcPr>
            <w:vAlign w:val="center"/>
          </w:tcPr>
          <w:p>
            <w:pPr>
              <w:pStyle w:val="Normal"/>
            </w:pPr>
            <w:r>
              <w:t>Las familias están cada vez más ocupadas y encuentran barreras con los horarios deportivos, el transporte y los horarios de trabajo de los padres. Desde COVID, ha sido un desafío lograr que las familias regresen al edificio.</w:t>
            </w:r>
          </w:p>
        </w:tc>
        <w:tc>
          <w:tcPr>
            <w:vAlign w:val="center"/>
          </w:tcPr>
          <w:p>
            <w:pPr>
              <w:pStyle w:val="Normal"/>
            </w:pPr>
            <w:r>
              <w:t>Verdadero</w:t>
            </w:r>
          </w:p>
        </w:tc>
      </w:tr>
      <w:tr>
        <w:trPr/>
        <w:tc>
          <w:tcPr>
            <w:vAlign w:val="center"/>
          </w:tcPr>
          <w:p>
            <w:pPr>
              <w:pStyle w:val="Normal"/>
            </w:pPr>
            <w:r>
              <w:t>El 48,7% de los estudiantes en los grados 3 a 6 fueron competentes o avanzados en la PSSA de lengua y literatura inglesa.</w:t>
            </w:r>
          </w:p>
        </w:tc>
        <w:tc>
          <w:tcPr>
            <w:vAlign w:val="center"/>
          </w:tcPr>
          <w:p>
            <w:pPr>
              <w:pStyle w:val="Normal"/>
            </w:pPr>
            <w:r>
              <w:t>Los estudiantes con IEP no cumplen con sus objetivos de crecimiento y continúan desempeñándose por debajo del nivel de grado. Es posible que los estudiantes con conocimientos académicos avanzados no estén logrando el crecimiento de un año. Como edificio, debemos continuar enfocándonos en estos dos grupos para garantizar que la instrucción se dirija a sus necesidades.</w:t>
            </w:r>
          </w:p>
        </w:tc>
        <w:tc>
          <w:tcPr>
            <w:vAlign w:val="center"/>
          </w:tcPr>
          <w:p>
            <w:pPr>
              <w:pStyle w:val="Normal"/>
            </w:pPr>
            <w:r>
              <w:t>Verdadero</w:t>
            </w:r>
          </w:p>
        </w:tc>
      </w:tr>
      <w:tr>
        <w:trPr/>
        <w:tc>
          <w:tcPr>
            <w:vAlign w:val="center"/>
          </w:tcPr>
          <w:p>
            <w:pPr>
              <w:pStyle w:val="Normal"/>
            </w:pPr>
            <w:r>
              <w:t>El 51,3% de los estudiantes en los grados 3 a 6 fueron competentes o avanzados en la prueba PSSA de matemáticas. Esto fue un 10% por encima del promedio estatal.</w:t>
            </w:r>
          </w:p>
        </w:tc>
        <w:tc>
          <w:tcPr>
            <w:vAlign w:val="center"/>
          </w:tcPr>
          <w:p>
            <w:pPr>
              <w:pStyle w:val="Normal"/>
            </w:pPr>
            <w:r>
              <w:t>Aunque nuestro porcentaje de estudiantes con calificaciones competentes o avanzadas en la prueba PSSA de Matemáticas está por encima del promedio estatal, todavía hay un espacio significativo para crecer. Muchos de nuestros estudiantes no conocen las operaciones matemáticas con fluidez, lo que podría provocar que utilicen una carga cognitiva significativa para resolver operaciones matemáticas básicas, lo que luego distrae su capacidad para comprender y resolver partes más complejas de los problemas matemáticos.</w:t>
            </w:r>
          </w:p>
        </w:tc>
        <w:tc>
          <w:tcPr>
            <w:vAlign w:val="center"/>
          </w:tcPr>
          <w:p>
            <w:pPr>
              <w:pStyle w:val="Normal"/>
            </w:pPr>
            <w:r>
              <w:t>Verdadero</w:t>
            </w:r>
          </w:p>
        </w:tc>
      </w:tr>
    </w:tbl>
    <w:p>
      <w:pPr>
        <w:pStyle w:val="Heading2"/>
      </w:pPr>
      <w:r>
        <w:t>Analizando fortalezas</w:t>
      </w:r>
    </w:p>
    <w:tbl>
      <w:tblPr>
        <w:tblStyle w:val="TableGrid"/>
        <w:tblW w:w="5000" w:type="pct"/>
      </w:tblPr>
      <w:tblGrid>
        <w:gridCol/>
        <w:gridCol/>
      </w:tblGrid>
      <w:tr>
        <w:trPr/>
        <w:tc>
          <w:tcPr>
            <w:vAlign w:val="center"/>
          </w:tcPr>
          <w:p>
            <w:pPr>
              <w:pStyle w:val="Normal"/>
            </w:pPr>
            <w:r>
              <w:t>Analizando fortalezas</w:t>
            </w:r>
          </w:p>
        </w:tc>
        <w:tc>
          <w:tcPr>
            <w:vAlign w:val="center"/>
          </w:tcPr>
          <w:p>
            <w:pPr>
              <w:pStyle w:val="Normal"/>
            </w:pPr>
            <w:r>
              <w:t>Puntos de discusión</w:t>
            </w:r>
          </w:p>
        </w:tc>
      </w:tr>
      <w:tr>
        <w:trPr/>
        <w:tc>
          <w:tcPr>
            <w:vAlign w:val="center"/>
          </w:tcPr>
          <w:p>
            <w:pPr>
              <w:pStyle w:val="Normal"/>
            </w:pPr>
            <w:r>
              <w:t>Equipo dedicado de educadores para centrarse en la implementación de MTSS, revisando los datos de los estudiantes y analizando los datos de los estudiantes individuales para determinar los niveles apropiados de apoyo académico.</w:t>
            </w:r>
          </w:p>
        </w:tc>
        <w:tc>
          <w:tcPr>
            <w:vAlign w:val="center"/>
          </w:tcPr>
          <w:p>
            <w:pPr>
              <w:pStyle w:val="Normal"/>
            </w:pPr>
            <w:r>
              <w:t>Este equipo se reúne semanalmente para analizar las necesidades de los estudiantes. Se toman decisiones estratégicas para beneficiar a cada estudiante. Cuando es necesario, se agregan miembros adicionales al equipo para garantizar que se satisfagan las necesidades de los estudiantes. Este equipo se comunica periódicamente con el maestro del aula y lo agrega al equipo según sea necesario.</w:t>
            </w:r>
          </w:p>
        </w:tc>
      </w:tr>
      <w:tr>
        <w:trPr/>
        <w:tc>
          <w:tcPr>
            <w:vAlign w:val="center"/>
          </w:tcPr>
          <w:p>
            <w:pPr>
              <w:pStyle w:val="Normal"/>
            </w:pPr>
            <w:r>
              <w:t>Implementación continua de un recurso cohesivo para la instrucción ELA K-6.</w:t>
            </w:r>
          </w:p>
        </w:tc>
        <w:tc>
          <w:tcPr>
            <w:vAlign w:val="center"/>
          </w:tcPr>
          <w:p>
            <w:pPr>
              <w:pStyle w:val="Normal"/>
            </w:pPr>
            <w:r>
              <w:t>Continuamos implementando un recurso cohesivo consistente para K-6. Agregamos UFLI para enseñar y reforzar las habilidades de lectura temprana y lo actualizamos a la edición más reciente disponible para los grados 3 a 5.</w:t>
            </w:r>
          </w:p>
        </w:tc>
      </w:tr>
      <w:tr>
        <w:trPr/>
        <w:tc>
          <w:tcPr>
            <w:vAlign w:val="center"/>
          </w:tcPr>
          <w:p>
            <w:pPr>
              <w:pStyle w:val="Normal"/>
            </w:pPr>
            <w:r>
              <w:t>Implementación de un recurso cohesivo para la instrucción de Matemáticas K-6.</w:t>
            </w:r>
          </w:p>
        </w:tc>
        <w:tc>
          <w:tcPr>
            <w:vAlign w:val="center"/>
          </w:tcPr>
          <w:p>
            <w:pPr>
              <w:pStyle w:val="Normal"/>
            </w:pPr>
            <w:r>
              <w:t>Continuamos implementando un recurso cohesivo consistente para K-6. Agregar herramientas de intervención ha beneficiado a los estudiantes con necesidades matemáticas adicionales.</w:t>
            </w:r>
          </w:p>
        </w:tc>
      </w:tr>
      <w:tr>
        <w:trPr/>
        <w:tc>
          <w:tcPr>
            <w:vAlign w:val="center"/>
          </w:tcPr>
          <w:p>
            <w:pPr>
              <w:pStyle w:val="Normal"/>
            </w:pPr>
            <w:r>
              <w:t>Implementación de recursos de ciencias para los grados K-5 que se alinea con PA STEELS.</w:t>
            </w:r>
          </w:p>
        </w:tc>
        <w:tc>
          <w:tcPr>
            <w:vAlign w:val="center"/>
          </w:tcPr>
          <w:p>
            <w:pPr>
              <w:pStyle w:val="Normal"/>
            </w:pPr>
            <w:r>
              <w:t>Continuamos implementando un recurso cohesivo consistente para K-5.</w:t>
            </w:r>
          </w:p>
        </w:tc>
      </w:tr>
      <w:tr>
        <w:trPr/>
        <w:tc>
          <w:tcPr>
            <w:vAlign w:val="center"/>
          </w:tcPr>
          <w:p>
            <w:pPr>
              <w:pStyle w:val="Normal"/>
            </w:pPr>
            <w:r>
              <w:t>Implementación del recurso de Ciencias para el grado 6 que se alinea con PA STEELS y es consistente con el recurso que se utiliza para los grados 7 y 8.</w:t>
            </w:r>
          </w:p>
        </w:tc>
        <w:tc>
          <w:tcPr>
            <w:vAlign w:val="center"/>
          </w:tcPr>
          <w:p>
            <w:pPr>
              <w:pStyle w:val="Normal"/>
            </w:pPr>
            <w:r>
              <w:t>Alinearse con los grados 7 y 8 ayudará a nuestros estudiantes a tener una transición más fluida a medida que pasan a la escuela secundaria y continúan su educación en ciencias.</w:t>
            </w:r>
          </w:p>
        </w:tc>
      </w:tr>
      <w:tr>
        <w:trPr/>
        <w:tc>
          <w:tcPr>
            <w:vAlign w:val="center"/>
          </w:tcPr>
          <w:p>
            <w:pPr>
              <w:pStyle w:val="Normal"/>
            </w:pPr>
            <w:r>
              <w:t>Los puntajes provisionales de WIDA indican que los ELL están progresando en el aprendizaje del inglés.</w:t>
            </w:r>
          </w:p>
        </w:tc>
        <w:tc>
          <w:tcPr>
            <w:vAlign w:val="center"/>
          </w:tcPr>
          <w:p>
            <w:pPr>
              <w:pStyle w:val="Normal"/>
            </w:pPr>
            <w:r>
              <w:t>Progresar en el aprendizaje del inglés ayudará a estos estudiantes a comprender mejor la instrucción que se les presenta. Esto, a su vez, debería ayudarles a obtener mejores resultados en las evaluaciones locales y estatales.</w:t>
            </w:r>
          </w:p>
        </w:tc>
      </w:tr>
      <w:tr>
        <w:trPr/>
        <w:tc>
          <w:tcPr>
            <w:vAlign w:val="center"/>
          </w:tcPr>
          <w:p>
            <w:pPr>
              <w:pStyle w:val="Normal"/>
            </w:pPr>
            <w:r>
              <w:t>El cronograma general del edificio permite dedicar tiempo a la intervención y el enriquecimiento para los estudiantes de todos los niveles de grado.</w:t>
            </w:r>
          </w:p>
        </w:tc>
        <w:tc>
          <w:tcPr>
            <w:vAlign w:val="center"/>
          </w:tcPr>
          <w:p>
            <w:pPr>
              <w:pStyle w:val="Normal"/>
            </w:pPr>
            <w:r>
              <w:t>El cronograma del edificio prioriza el tiempo de instrucción y nos esforzamos por crear instrucción ininterrumpida para los estudiantes.</w:t>
            </w:r>
          </w:p>
        </w:tc>
      </w:tr>
      <w:tr>
        <w:trPr/>
        <w:tc>
          <w:tcPr>
            <w:vAlign w:val="center"/>
          </w:tcPr>
          <w:p>
            <w:pPr>
              <w:pStyle w:val="Normal"/>
            </w:pPr>
            <w:r>
              <w:t>Fomentar altas expectativas para todos</w:t>
            </w:r>
          </w:p>
        </w:tc>
        <w:tc>
          <w:tcPr>
            <w:vAlign w:val="center"/>
          </w:tcPr>
          <w:p>
            <w:pPr>
              <w:pStyle w:val="Normal"/>
            </w:pPr>
            <w:r>
              <w:t>Todos los estudiantes pueden tener éxito y nos esforzamos por ayudar a todos los estudiantes a sentirse exitosos en su aprendizaje.</w:t>
            </w:r>
          </w:p>
        </w:tc>
      </w:tr>
      <w:tr>
        <w:trPr/>
        <w:tc>
          <w:tcPr>
            <w:vAlign w:val="center"/>
          </w:tcPr>
          <w:p>
            <w:pPr>
              <w:pStyle w:val="Normal"/>
            </w:pPr>
            <w:r>
              <w:t>Identificar y abordar las necesidades individuales de aprendizaje de los estudiantes.</w:t>
            </w:r>
          </w:p>
        </w:tc>
        <w:tc>
          <w:tcPr>
            <w:vAlign w:val="center"/>
          </w:tcPr>
          <w:p>
            <w:pPr>
              <w:pStyle w:val="Normal"/>
            </w:pPr>
            <w:r>
              <w:t>Se proporciona tiempo dedicado para grupos de intervención académica para cada nivel de grado. También se brindan grupos de intervención para necesidades socioemocionales a los estudiantes que muestran una necesidad a través de evaluaciones universales.</w:t>
            </w:r>
          </w:p>
        </w:tc>
      </w:tr>
      <w:tr>
        <w:trPr/>
        <w:tc>
          <w:tcPr>
            <w:vAlign w:val="center"/>
          </w:tcPr>
          <w:p>
            <w:pPr>
              <w:pStyle w:val="Normal"/>
            </w:pPr>
            <w:r>
              <w:t>En general, los estudiantes cumplieron con el estándar de crecimiento en Matemáticas, con una puntuación de 71.</w:t>
            </w:r>
          </w:p>
        </w:tc>
        <w:tc>
          <w:tcPr>
            <w:vAlign w:val="center"/>
          </w:tcPr>
          <w:p>
            <w:pPr>
              <w:pStyle w:val="Normal"/>
            </w:pPr>
            <w:r>
              <w:t>Este es un reflejo positivo del crecimiento de los estudiantes en Matemáticas.</w:t>
            </w:r>
          </w:p>
        </w:tc>
      </w:tr>
    </w:tbl>
    <w:p>
      <w:pPr>
        <w:pStyle w:val="Heading2"/>
      </w:pPr>
      <w:r>
        <w:t>Desafíos prioritarios</w:t>
      </w:r>
    </w:p>
    <w:tbl>
      <w:tblPr>
        <w:tblStyle w:val="TableGrid"/>
        <w:tblW w:w="5000" w:type="pct"/>
      </w:tblPr>
      <w:tblGrid>
        <w:gridCol/>
        <w:gridCol/>
      </w:tblGrid>
      <w:tr>
        <w:trPr/>
        <w:tc>
          <w:tcPr>
            <w:vAlign w:val="center"/>
          </w:tcPr>
          <w:p>
            <w:pPr>
              <w:pStyle w:val="Normal"/>
            </w:pPr>
            <w:r>
              <w:t>Análisis de desafíos prioritarios</w:t>
            </w:r>
          </w:p>
        </w:tc>
        <w:tc>
          <w:tcPr>
            <w:vAlign w:val="center"/>
          </w:tcPr>
          <w:p>
            <w:pPr>
              <w:pStyle w:val="Normal"/>
            </w:pPr>
            <w:r>
              <w:t>Declaraciones de prioridad</w:t>
            </w:r>
          </w:p>
        </w:tc>
      </w:tr>
      <w:tr>
        <w:trPr/>
        <w:tc>
          <w:tcPr>
            <w:vAlign w:val="center"/>
          </w:tcPr>
          <w:p/>
        </w:tc>
        <w:tc>
          <w:tcPr>
            <w:vAlign w:val="center"/>
          </w:tcPr>
          <w:p>
            <w:pPr>
              <w:pStyle w:val="Normal"/>
            </w:pPr>
            <w:r>
              <w:t>Establecer sistemas de participación familiar flexibles y accesibles, como horarios de reunión variados, opciones virtuales, programación teniendo en cuenta el transporte y extensión decidida, para reducir las barreras de participación y reconstruir conexiones familiares consistentes con la escuela.</w:t>
            </w:r>
          </w:p>
        </w:tc>
      </w:tr>
      <w:tr>
        <w:trPr/>
        <w:tc>
          <w:tcPr>
            <w:vAlign w:val="center"/>
          </w:tcPr>
          <w:p/>
        </w:tc>
        <w:tc>
          <w:tcPr>
            <w:vAlign w:val="center"/>
          </w:tcPr>
          <w:p>
            <w:pPr>
              <w:pStyle w:val="Normal"/>
            </w:pPr>
            <w:r>
              <w:t>Fortalecer los sistemas del edificio para usar datos de crecimiento estudiantil para planificar, brindar y monitorear la instrucción diferenciada para que los estudiantes con IEP y los estudiantes que reciben apoyo específico hacia el progreso de nivel de grado reciban una instrucción adecuada que promueva al menos un año de crecimiento. Una instrucción más específica para estos grupos de estudiantes ayudará a ver un aumento en el porcentaje de estudiantes que son competentes o avanzados en la PSSA de Artes Lingüísticas y Literatura en Inglés.</w:t>
            </w:r>
          </w:p>
        </w:tc>
      </w:tr>
      <w:tr>
        <w:trPr/>
        <w:tc>
          <w:tcPr>
            <w:vAlign w:val="center"/>
          </w:tcPr>
          <w:p/>
        </w:tc>
        <w:tc>
          <w:tcPr>
            <w:vAlign w:val="center"/>
          </w:tcPr>
          <w:p>
            <w:pPr>
              <w:pStyle w:val="Normal"/>
            </w:pPr>
            <w:r>
              <w:t>Implementar un sistema consistente en toda la escuela para la enseñanza explícita de la fluidez de las operaciones matemáticas, la práctica, el seguimiento del progreso y la comunicación familiar para que los estudiantes desarrollen automaticidad con operaciones fundamentales y puedan dedicar más esfuerzo cognitivo a resolver problemas matemáticos complejos.</w:t>
            </w:r>
          </w:p>
        </w:tc>
      </w:tr>
    </w:tbl>
    <w:p>
      <w:pPr>
        <w:pStyle w:val="Normal"/>
      </w:pPr>
      <w:r>
        <w:br w:type="page"/>
      </w:r>
      <w:r>
        <w:lastRenderedPageBreak/>
      </w:r>
    </w:p>
    <w:p>
      <w:pPr>
        <w:pStyle w:val="Heading1"/>
      </w:pPr>
      <w:r>
        <w:t>Establecimiento de objetivos</w:t>
      </w:r>
    </w:p>
    <w:p>
      <w:pPr>
        <w:pStyle w:val="Heading2"/>
      </w:pPr>
      <w:r>
        <w:t>Prioridad: Establecer sistemas de participación familiar flexibles y accesibles, como horarios de reunión variados, opciones virtuales, programación teniendo en cuenta el transporte y extensión decidida, para reducir las barreras de participación y reconstruir conexiones familiares consistentes con la escuela.</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Participación de los padres y la familia</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la escuela aumentará el porcentaje de familias que participan en al menos una oportunidad de participación escolar en 10 puntos porcentuales con respecto a la base de 2025-2026, según lo medido a través de registros de registro de eventos y datos de participación virtual, al ofrecer horarios de reuniones flexibles, opciones de participación virtual, programación teniendo en cuenta el transporte y alcance familiar específico.</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Compromiso familiar</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Las oportunidades de participación familiar presentadas durante el primer trimestre incluyen: Eche un vistazo Casa abierta al jardín de infantes Leer bajo las luces Donas con adultos Tronco o golosina Evento familiar durante la feria del libro Conferencias de padres y maestros Analizar y comparar los registros de registro de eventos entre el año escolar 2025-2026 y el año escolar 2026-2027.</w:t>
            </w:r>
          </w:p>
        </w:tc>
        <w:tc>
          <w:tcPr>
            <w:vAlign w:val="center"/>
          </w:tcPr>
          <w:p>
            <w:pPr>
              <w:pStyle w:val="Normal"/>
            </w:pPr>
            <w:r>
              <w:t>Las oportunidades de participación familiar presentadas durante el segundo trimestre incluyen: Este período de tiempo no ofrece oportunidades para que los padres se unan a actividades en la escuela. Necesitamos priorizar al menos una actividad durante este período de tiempo.</w:t>
            </w:r>
          </w:p>
        </w:tc>
        <w:tc>
          <w:tcPr>
            <w:vAlign w:val="center"/>
          </w:tcPr>
          <w:p>
            <w:pPr>
              <w:pStyle w:val="Normal"/>
            </w:pPr>
            <w:r>
              <w:t>Las oportunidades de participación familiar presentadas durante el tercer trimestre incluyen: Evento familiar durante la Feria del Libro - Conferencias de padres y maestros de StarBooks Cafe Analizar y comparar los registros de registro de eventos entre el año escolar 2025-2026 y el año escolar 2026-2027.</w:t>
            </w:r>
          </w:p>
        </w:tc>
        <w:tc>
          <w:tcPr>
            <w:vAlign w:val="center"/>
          </w:tcPr>
          <w:p>
            <w:pPr>
              <w:pStyle w:val="Normal"/>
            </w:pPr>
            <w:r>
              <w:t>Día de campo nocturno STEAM Analice y compare los registros de registro de eventos entre el año escolar 2025-2026 y el año escolar 2026-2027.</w:t>
            </w:r>
          </w:p>
        </w:tc>
      </w:tr>
    </w:tbl>
    <w:p>
      <w:pPr>
        <w:pStyle w:val="Heading2"/>
      </w:pPr>
      <w:r>
        <w:t>Prioridad: Fortalecer los sistemas del edificio para usar datos de crecimiento estudiantil para planificar, brindar y monitorear la instrucción diferenciada para que los estudiantes con IEP y los estudiantes que reciben apoyo específico hacia el progreso de nivel de grado reciban una instrucción adecuada que promueva al menos un año de crecimiento. Una instrucción más específica para estos grupos de estudiantes ayudará a ver un aumento en el porcentaje de estudiantes que son competentes o avanzados en la PSSA de Artes Lingüísticas y Literatura en Inglés.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Artes del lenguaje inglés</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los estudiantes con IEP y los estudiantes que reciben apoyo específico de ELA demostrarán al menos un año de crecimiento en la evaluación de monitoreo de progreso identificada del edificio, y el porcentaje de estos estudiantes con calificaciones competentes o avanzados en el PSSA de ELA/Literatura de 2027 aumentará en al menos 5 puntos porcentuales desde la base de 2026, según lo medido a través de PSSA y los datos de crecimiento estudiantil.</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Crecimiento en artes del lenguaje inglés/literatura</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Identificar a los estudiantes que necesitan una intervención escalonada en artes del lenguaje inglés basada en evaluaciones universales y necesidades previamente identificadas a través de los IEP. Determine si estos estudiantes recibirán su intervención a través de Apoyo al Aprendizaje (identificado a través de un IEP) o Educación General, instrucción de Nivel 3.</w:t>
            </w:r>
          </w:p>
        </w:tc>
        <w:tc>
          <w:tcPr>
            <w:vAlign w:val="center"/>
          </w:tcPr>
          <w:p>
            <w:pPr>
              <w:pStyle w:val="Normal"/>
            </w:pPr>
            <w:r>
              <w:t>Monitorear y ajustar la instrucción basándose en sondas de monitoreo de progreso consistentes.</w:t>
            </w:r>
          </w:p>
        </w:tc>
        <w:tc>
          <w:tcPr>
            <w:vAlign w:val="center"/>
          </w:tcPr>
          <w:p>
            <w:pPr>
              <w:pStyle w:val="Normal"/>
            </w:pPr>
            <w:r>
              <w:t>Ajustar la instrucción y los grupos según las evaluaciones universales de mitad de año y el progreso hacia las metas.</w:t>
            </w:r>
          </w:p>
        </w:tc>
        <w:tc>
          <w:tcPr>
            <w:vAlign w:val="center"/>
          </w:tcPr>
          <w:p>
            <w:pPr>
              <w:pStyle w:val="Normal"/>
            </w:pPr>
            <w:r>
              <w:t>Continuar ajustando la instrucción y el progreso basado en grupos hacia las metas. Después de la administración de las evaluaciones universales de fin de año, analice los datos para determinar el crecimiento a lo largo del año escolar.</w:t>
            </w:r>
          </w:p>
        </w:tc>
      </w:tr>
    </w:tbl>
    <w:p>
      <w:pPr>
        <w:pStyle w:val="Heading2"/>
      </w:pPr>
      <w:r>
        <w:t>Prioridad: Implementar un sistema consistente en toda la escuela para la enseñanza explícita de la fluidez de las operaciones matemáticas, la práctica, el seguimiento del progreso y la comunicación familiar para que los estudiantes desarrollen automaticidad con operaciones fundamentales y puedan dedicar más esfuerzo cognitivo a resolver problemas matemáticos complejos.</w:t>
      </w:r>
    </w:p>
    <w:tbl>
      <w:tblPr>
        <w:tblStyle w:val="TableGrid"/>
        <w:tblW w:w="5000" w:type="pct"/>
      </w:tblPr>
      <w:tblGrid>
        <w:gridCol/>
        <w:gridCol/>
        <w:gridCol/>
        <w:gridCol/>
      </w:tblGrid>
      <w:tr>
        <w:trPr/>
        <w:tc>
          <w:tcPr>
            <w:gridSpan w:val="4"/>
            <w:vAlign w:val="center"/>
          </w:tcPr>
          <w:p>
            <w:pPr>
              <w:pStyle w:val="Normal"/>
            </w:pPr>
            <w:r>
              <w:rPr>
                <w:b/>
              </w:rPr>
              <w:t>Categoría de resultado</w:t>
            </w:r>
          </w:p>
        </w:tc>
      </w:tr>
      <w:tr>
        <w:trPr/>
        <w:tc>
          <w:tcPr>
            <w:gridSpan w:val="4"/>
            <w:vAlign w:val="center"/>
          </w:tcPr>
          <w:p>
            <w:pPr>
              <w:pStyle w:val="Normal"/>
            </w:pPr>
            <w:r>
              <w:t>Matemáticas</w:t>
            </w:r>
          </w:p>
        </w:tc>
      </w:tr>
      <w:tr>
        <w:trPr/>
        <w:tc>
          <w:tcPr>
            <w:gridSpan w:val="4"/>
            <w:vAlign w:val="center"/>
          </w:tcPr>
          <w:p>
            <w:pPr>
              <w:pStyle w:val="Normal"/>
            </w:pPr>
            <w:r>
              <w:rPr>
                <w:b/>
              </w:rPr>
              <w:t>Declaración de objetivos medibles (objetivo inteligente)</w:t>
            </w:r>
          </w:p>
        </w:tc>
      </w:tr>
      <w:tr>
        <w:trPr/>
        <w:tc>
          <w:tcPr>
            <w:gridSpan w:val="4"/>
            <w:vAlign w:val="center"/>
          </w:tcPr>
          <w:p>
            <w:pPr>
              <w:pStyle w:val="Normal"/>
            </w:pPr>
            <w:r>
              <w:t>Para junio de 2027, al menos el 75% de los estudiantes en los grados K-6 mostrarán un crecimiento en sus evaluaciones universales de matemáticas debido a que se centrarán en la fluidez de las operaciones matemáticas durante todo el año escolar. Se fomentará la instrucción explícita consistente, la práctica diaria, el seguimiento del progreso, la intervención y la comunicación familiar.</w:t>
            </w:r>
          </w:p>
        </w:tc>
      </w:tr>
      <w:tr>
        <w:trPr/>
        <w:tc>
          <w:tcPr>
            <w:gridSpan w:val="4"/>
            <w:vAlign w:val="center"/>
          </w:tcPr>
          <w:p>
            <w:pPr>
              <w:pStyle w:val="Normal"/>
            </w:pPr>
            <w:r>
              <w:rPr>
                <w:b/>
              </w:rPr>
              <w:t>Apodo de objetivo medible (35 caracteres como máximo)</w:t>
            </w:r>
          </w:p>
        </w:tc>
      </w:tr>
      <w:tr>
        <w:trPr/>
        <w:tc>
          <w:tcPr>
            <w:gridSpan w:val="4"/>
            <w:vAlign w:val="center"/>
          </w:tcPr>
          <w:p>
            <w:pPr>
              <w:pStyle w:val="Normal"/>
            </w:pPr>
            <w:r>
              <w:t>Crecimiento de las matemáticas</w:t>
            </w:r>
          </w:p>
        </w:tc>
      </w:tr>
      <w:tr>
        <w:trPr/>
        <w:tc>
          <w:tcPr>
            <w:vAlign w:val="center"/>
          </w:tcPr>
          <w:p>
            <w:pPr>
              <w:pStyle w:val="Normal"/>
            </w:pPr>
            <w:r>
              <w:rPr>
                <w:b/>
              </w:rPr>
              <w:t>Objetivo 1er trimestre</w:t>
            </w:r>
          </w:p>
        </w:tc>
        <w:tc>
          <w:tcPr>
            <w:vAlign w:val="center"/>
          </w:tcPr>
          <w:p>
            <w:pPr>
              <w:pStyle w:val="Normal"/>
            </w:pPr>
            <w:r>
              <w:rPr>
                <w:b/>
              </w:rPr>
              <w:t>Objetivo 2do trimestre</w:t>
            </w:r>
          </w:p>
        </w:tc>
        <w:tc>
          <w:tcPr>
            <w:vAlign w:val="center"/>
          </w:tcPr>
          <w:p>
            <w:pPr>
              <w:pStyle w:val="Normal"/>
            </w:pPr>
            <w:r>
              <w:rPr>
                <w:b/>
              </w:rPr>
              <w:t>Objetivo 3er trimestre</w:t>
            </w:r>
          </w:p>
        </w:tc>
        <w:tc>
          <w:tcPr>
            <w:vAlign w:val="center"/>
          </w:tcPr>
          <w:p>
            <w:pPr>
              <w:pStyle w:val="Normal"/>
            </w:pPr>
            <w:r>
              <w:rPr>
                <w:b/>
              </w:rPr>
              <w:t>Objetivo 4to trimestre</w:t>
            </w:r>
          </w:p>
        </w:tc>
      </w:tr>
      <w:tr>
        <w:trPr/>
        <w:tc>
          <w:tcPr>
            <w:vAlign w:val="center"/>
          </w:tcPr>
          <w:p>
            <w:pPr>
              <w:pStyle w:val="Normal"/>
            </w:pPr>
            <w:r>
              <w:t>Cree y comparta información con las familias sobre la importancia de la fluidez en las operaciones matemáticas.</w:t>
            </w:r>
          </w:p>
        </w:tc>
        <w:tc>
          <w:tcPr>
            <w:vAlign w:val="center"/>
          </w:tcPr>
          <w:p>
            <w:pPr>
              <w:pStyle w:val="Normal"/>
            </w:pPr>
            <w:r>
              <w:t>Instrucción y práctica de fluidez en operaciones matemáticas, incluido el seguimiento del progreso, intervenciones y comunicación familiar continua.</w:t>
            </w:r>
          </w:p>
        </w:tc>
        <w:tc>
          <w:tcPr>
            <w:vAlign w:val="center"/>
          </w:tcPr>
          <w:p>
            <w:pPr>
              <w:pStyle w:val="Normal"/>
            </w:pPr>
            <w:r>
              <w:t>Instrucción y práctica de fluidez en operaciones matemáticas, incluido el seguimiento del progreso, intervenciones y comunicación familiar continua.</w:t>
            </w:r>
          </w:p>
        </w:tc>
        <w:tc>
          <w:tcPr>
            <w:vAlign w:val="center"/>
          </w:tcPr>
          <w:p>
            <w:pPr>
              <w:pStyle w:val="Normal"/>
            </w:pPr>
            <w:r>
              <w:t>Instrucción y práctica de fluidez en operaciones matemáticas, incluido el seguimiento del progreso, intervenciones y comunicación familiar continua. El crecimiento en las evaluaciones universales de fin de año será evidente. La fluidez de los hechos permitirá a los estudiantes centrar su carga cognitiva en áreas más complejas de las matemáticas.</w:t>
            </w:r>
          </w:p>
        </w:tc>
      </w:tr>
    </w:tbl>
    <w:p>
      <w:pPr>
        <w:pStyle w:val="Normal"/>
      </w:pPr>
      <w:r>
        <w:br w:type="page"/>
      </w:r>
      <w:r>
        <w:lastRenderedPageBreak/>
      </w:r>
    </w:p>
    <w:p>
      <w:pPr>
        <w:pStyle w:val="Heading1"/>
      </w:pPr>
      <w:r>
        <w:t>Plan de acción</w:t>
      </w:r>
    </w:p>
    <w:p>
      <w:pPr>
        <w:pStyle w:val="Heading2"/>
      </w:pPr>
      <w:r>
        <w:t>Metas mensurables</w:t>
      </w:r>
    </w:p>
    <w:tbl>
      <w:tblPr>
        <w:tblStyle w:val="TableGrid"/>
        <w:tblW w:w="5000" w:type="pct"/>
      </w:tblPr>
      <w:tblGrid>
        <w:gridCol/>
        <w:gridCol/>
      </w:tblGrid>
      <w:tr>
        <w:trPr/>
        <w:tc>
          <w:tcPr>
            <w:vAlign w:val="center"/>
          </w:tcPr>
          <w:p>
            <w:pPr>
              <w:pStyle w:val="Normal"/>
            </w:pPr>
            <w:r>
              <w:t>Compromiso familiar</w:t>
            </w:r>
          </w:p>
        </w:tc>
        <w:tc>
          <w:tcPr>
            <w:vAlign w:val="center"/>
          </w:tcPr>
          <w:p>
            <w:pPr>
              <w:pStyle w:val="Normal"/>
            </w:pPr>
            <w:r>
              <w:t>Crecimiento en artes del lenguaje inglés/literatura</w:t>
            </w:r>
          </w:p>
        </w:tc>
      </w:tr>
      <w:tr>
        <w:trPr/>
        <w:tc>
          <w:tcPr>
            <w:vAlign w:val="center"/>
          </w:tcPr>
          <w:p>
            <w:pPr>
              <w:pStyle w:val="Normal"/>
            </w:pPr>
            <w:r>
              <w:t>Crecimiento de las matemáticas</w:t>
            </w:r>
          </w:p>
        </w:tc>
        <w:tc>
          <w:tcPr>
            <w:tcW w:w="0"/>
          </w:tcPr>
          <w:p/>
        </w:tc>
      </w:tr>
    </w:tbl>
    <w:p>
      <w:pPr>
        <w:pStyle w:val="Heading2"/>
      </w:pPr>
      <w:r>
        <w:t>Plan de acción para: participación familiar</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la escuela aumentará el porcentaje de familias que participan en al menos una oportunidad de participación escolar en 10 puntos porcentuales con respecto a la base de 2025-2026, según lo medido a través de registros de registro de eventos y datos de participación virtual, al ofrecer horarios de reuniones flexibles, opciones de participación virtual, programación teniendo en cuenta el transporte y alcance familiar específico.</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Establecer medidas de referencia y de participación revisando los registros de registro de eventos de 2025-2026 y los datos de participación virtual; identificar el porcentaje de familias que participaron en al menos una oportunidad basada en la escuela; crear un sistema consistente para rastrear la participación familiar única.</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Valerie Kauffman/Asistente administrativa</w:t>
            </w:r>
          </w:p>
        </w:tc>
        <w:tc>
          <w:tcPr>
            <w:vAlign w:val="center"/>
          </w:tcPr>
          <w:p>
            <w:pPr>
              <w:pStyle w:val="Normal"/>
            </w:pPr>
            <w:r>
              <w:t>Datos de participación del año escolar 2025-2026.</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Identifique las necesidades y barreras familiares encuestando a las familias en formatos accesibles para identificar temas, fechas, horarios, métodos de comunicación, necesidades de transporte y barreras de participación preferidos para los eventos. Revisar los resultados por nivel de grado y grupo de estudiantes.</w:t>
            </w:r>
          </w:p>
        </w:tc>
        <w:tc>
          <w:tcPr>
            <w:vAlign w:val="center"/>
          </w:tcPr>
          <w:p>
            <w:pPr>
              <w:pStyle w:val="Normal"/>
            </w:pPr>
            <w:r>
              <w:t xml:space="preserve">2026-09-15</w:t>
            </w:r>
          </w:p>
        </w:tc>
        <w:tc>
          <w:tcPr>
            <w:vAlign w:val="center"/>
          </w:tcPr>
          <w:p>
            <w:pPr>
              <w:pStyle w:val="Normal"/>
            </w:pPr>
            <w:r>
              <w:t xml:space="preserve">2026-10-14</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Gates/Decana de estudiantes Valerie Kauffman/Asistente administrativa Maestras de aula, Maestra de desarrollo del idioma inglés</w:t>
            </w:r>
          </w:p>
        </w:tc>
        <w:tc>
          <w:tcPr>
            <w:vAlign w:val="center"/>
          </w:tcPr>
          <w:p>
            <w:pPr>
              <w:pStyle w:val="Normal"/>
            </w:pPr>
            <w:r>
              <w:t>Sistemas de comunicación electrónica: Class Dojo, correo electrónico. Folletos de papel.</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Cuando sea posible, los eventos familiares se ofrecerán de forma gratuita para reducir la barrera para las familias con dificultades financieras.</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PTC de Salisbury</w:t>
            </w:r>
          </w:p>
        </w:tc>
        <w:tc>
          <w:tcPr>
            <w:vAlign w:val="center"/>
          </w:tcPr>
          <w:p>
            <w:pPr>
              <w:pStyle w:val="Normal"/>
            </w:pPr>
            <w:r>
              <w:t>Financiamiento de eventos a través de fondos PVSD, fondos PVEF y fondos PTC.</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Ofrezca oportunidades de participación flexibles a las familias. Proporcionar un calendario equilibrado de oportunidades escolares, incluidas opciones diurnas, nocturnas y virtuales. Ofrezca al menos una opción virtual o híbrida para eventos familiares importantes cuando sea posible. Cuando sea posible, comparta recursos electrónicamente o mediante copias impresas para las familias que no pudieron asistir al evento.</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Gates/Decana de Estudiantes Valerie Kauffman/Asistente administrativa Salisbury PTC</w:t>
            </w:r>
          </w:p>
        </w:tc>
        <w:tc>
          <w:tcPr>
            <w:vAlign w:val="center"/>
          </w:tcPr>
          <w:p>
            <w:pPr>
              <w:pStyle w:val="Normal"/>
            </w:pPr>
            <w:r>
              <w:t>Copias electrónicas y en papel de los recursos proporcionados en eventos en persona.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Planifique eventos teniendo en cuenta la programación. Evite conflictos predecibles cuando sea posible, coordine con otras escuelas del distrito, ofrezca eventos adyacentes a actividades o conferencias estudiantiles y comunique las fechas con mucha anticipación. Comunique eventos a través de múltiples métodos, incluidos correo electrónico, mensajes de texto, folletos, sitio web de la escuela, redes sociales e invitaciones personales del personal. Dar seguimiento a las familias que aún no han participado.</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Valerie Kauffman/Asistente administrativa Personal profesional y de apoyo</w:t>
            </w:r>
          </w:p>
        </w:tc>
        <w:tc>
          <w:tcPr>
            <w:vAlign w:val="center"/>
          </w:tcPr>
          <w:p>
            <w:pPr>
              <w:pStyle w:val="Normal"/>
            </w:pPr>
            <w:r>
              <w:t>Volantes Métodos de comunicación electrónica Invitaciones personales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Desarrollar la capacidad del personal y la responsabilidad compartida aclarando las funciones del personal para dar la bienvenida a las familias, realizar actividades de extensión, recopilar asistencia y facilitar oportunidades de participación significativas. Proporcione al personal temas de conversación y plantillas de comunicación comunes.</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Valerie Kauffman/Asistente administrativa Personal profesional y de apoyo</w:t>
            </w:r>
          </w:p>
        </w:tc>
        <w:tc>
          <w:tcPr>
            <w:vAlign w:val="center"/>
          </w:tcPr>
          <w:p>
            <w:pPr>
              <w:pStyle w:val="Normal"/>
            </w:pPr>
            <w:r>
              <w:t>Método para recopilar y registrar la asistencia; puntos de conversación comunes; plantillas de comunicación.</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Supervise el progreso y realice ajustes revisando datos únicos de participación familiar después de cada evento y formalmente al final de cada trimestre. Identifique niveles de grado o grupos con menor participación y ajuste el alcance, el tiempo, el formato o los temas del evento.</w:t>
            </w:r>
          </w:p>
        </w:tc>
        <w:tc>
          <w:tcPr>
            <w:vAlign w:val="center"/>
          </w:tcPr>
          <w:p>
            <w:pPr>
              <w:pStyle w:val="Normal"/>
            </w:pPr>
            <w:r>
              <w:t xml:space="preserve">2026-08-20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Gates/Decana de Estudiantes Valerie Kauffman/Asistente administrativa</w:t>
            </w:r>
          </w:p>
        </w:tc>
        <w:tc>
          <w:tcPr>
            <w:vAlign w:val="center"/>
          </w:tcPr>
          <w:p>
            <w:pPr>
              <w:pStyle w:val="Normal"/>
            </w:pPr>
            <w:r>
              <w:t>Datos de eventos de participación familiar</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Evaluar los resultados comparando el porcentaje de familias que participan en al menos una oportunidad de participación durante 2026-2027 con la línea de base de 2025-2026. Recopile comentarios de la familia para informar el plan del próximo año.</w:t>
            </w:r>
          </w:p>
        </w:tc>
        <w:tc>
          <w:tcPr>
            <w:vAlign w:val="center"/>
          </w:tcPr>
          <w:p>
            <w:pPr>
              <w:pStyle w:val="Normal"/>
            </w:pPr>
            <w:r>
              <w:t xml:space="preserve">2027-06-02</w:t>
            </w:r>
          </w:p>
        </w:tc>
        <w:tc>
          <w:tcPr>
            <w:vAlign w:val="center"/>
          </w:tcPr>
          <w:p>
            <w:pPr>
              <w:pStyle w:val="Normal"/>
            </w:pPr>
            <w:r>
              <w:t xml:space="preserve">2027-06-30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Gates/Decana de Estudiantes Valerie Kauffman/Asistente administrativa</w:t>
            </w:r>
          </w:p>
        </w:tc>
        <w:tc>
          <w:tcPr>
            <w:vAlign w:val="center"/>
          </w:tcPr>
          <w:p>
            <w:pPr>
              <w:pStyle w:val="Normal"/>
            </w:pPr>
            <w:r>
              <w:t>Datos de participación en eventos de participación familiar de 2026-2027 y 2025-2026.</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pPr>
              <w:pStyle w:val="Normal"/>
            </w:pPr>
            <w:r>
              <w:t>Aumento de al menos un 10 % en el porcentaje de familias que participan en al menos una oportunidad de participación escolar desde la base de referencia 2025-2026.</w:t>
            </w:r>
          </w:p>
        </w:tc>
        <w:tc>
          <w:tcPr>
            <w:vAlign w:val="center"/>
          </w:tcPr>
          <w:p>
            <w:pPr>
              <w:pStyle w:val="Normal"/>
            </w:pPr>
            <w:r>
              <w:t>Sheri McGowan/Directora Kayley Gates/Decana de Estudiantes Valerie Kauffman/Asistente administrativa Frecuencia: los registros de asistencia de cada evento se compararán con los registros de asistencia del año escolar 2025-2026. Las comparaciones se calcularán electrónicamente o mediante cálculos en papel o lápiz.</w:t>
            </w:r>
          </w:p>
        </w:tc>
      </w:tr>
    </w:tbl>
    <w:p>
      <w:pPr>
        <w:pStyle w:val="Heading2"/>
      </w:pPr>
      <w:r>
        <w:t>Plan de acción para: crecimiento de la alfabetización</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los estudiantes con IEP y los estudiantes que reciben apoyo específico de ELA demostrarán al menos un año de crecimiento en la evaluación de monitoreo de progreso identificada del edificio, y el porcentaje de estos estudiantes con calificaciones competentes o avanzados en el PSSA de ELA/Literatura de 2027 aumentará en al menos 5 puntos porcentuales desde la base de 2026, según lo medido a través de PSSA y los datos de crecimiento estudiantil.</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Establecer datos de referencia utilizando evaluaciones universales al comienzo del año escolar. Identificar a los estudiantes con IEP y a los estudiantes que reciben apoyo específico de ELA; compilar datos de PSSA, puntos de referencia, diagnóstico, IEP y aula de 2026; establecer una meta de crecimiento individual para cada estudiante.</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Intervencionistas, maestros de educación especial, maestros de aula</w:t>
            </w:r>
          </w:p>
        </w:tc>
        <w:tc>
          <w:tcPr>
            <w:vAlign w:val="center"/>
          </w:tcPr>
          <w:p>
            <w:pPr>
              <w:pStyle w:val="Normal"/>
            </w:pPr>
            <w:r>
              <w:t>Datos de la Evaluación Universal</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Continuar utilizando la estructura de revisión de datos establecida. Programe reuniones del equipo de datos/nivel de grado al menos cada seis semanas para revisar los resultados del seguimiento del progreso, identificar necesidades de habilidades y ajustar la instrucción, los grupos de intervención o los apoyos.</w:t>
            </w:r>
          </w:p>
        </w:tc>
        <w:tc>
          <w:tcPr>
            <w:vAlign w:val="center"/>
          </w:tcPr>
          <w:p>
            <w:pPr>
              <w:pStyle w:val="Normal"/>
            </w:pPr>
            <w:r>
              <w:t xml:space="preserve">2026-09-16</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MTSS, entrenadora de instrucción, equipos de nivel de grado, consultora de educación especial, asistente del superintendente</w:t>
            </w:r>
          </w:p>
        </w:tc>
        <w:tc>
          <w:tcPr>
            <w:vAlign w:val="center"/>
          </w:tcPr>
          <w:p>
            <w:pPr>
              <w:pStyle w:val="Normal"/>
            </w:pPr>
            <w:r>
              <w:t>Datos de evaluaciones universales y sondas de seguimiento del progreso.</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Proporcionar instrucción de ELA específica, explícita y diferenciada. Usar datos de evaluación para brindar instrucción explícita en grupos pequeños, alineada con los estándares, en habilidades fundamentales, fluidez en la lectura, vocabulario, comprensión y respuesta escrita; garantizar que las adaptaciones del IEP y la instrucción especialmente diseñada se implementen de manera consistente.</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Maestros de aula, maestros de educación especial, intervencionistas Kayley Gates/Coordinadora de MTSS Sheri McGowan/Directora Cathy Koenig/Directora de Educación Especial</w:t>
            </w:r>
          </w:p>
        </w:tc>
        <w:tc>
          <w:tcPr>
            <w:vAlign w:val="center"/>
          </w:tcPr>
          <w:p>
            <w:pPr>
              <w:pStyle w:val="Normal"/>
            </w:pPr>
            <w:r>
              <w:t>Recursos de artes del lenguaje inglés para instrucción e intervención básicas.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Monitorear la efectividad de la intervención administrando las evaluaciones universales identificadas al menos tres veces al año, con un monitoreo más frecuente del progreso de los estudiantes que no van por buen camino; Utilice los resultados para intensificar, revisar o atenuar los soportes.</w:t>
            </w:r>
          </w:p>
        </w:tc>
        <w:tc>
          <w:tcPr>
            <w:vAlign w:val="center"/>
          </w:tcPr>
          <w:p>
            <w:pPr>
              <w:pStyle w:val="Normal"/>
            </w:pPr>
            <w:r>
              <w:t xml:space="preserve">2026-09-22</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Kayley Gates/Coordinadora MTSS Intervencionista, Maestros de educación especial, Maestros de aula</w:t>
            </w:r>
          </w:p>
        </w:tc>
        <w:tc>
          <w:tcPr>
            <w:vAlign w:val="center"/>
          </w:tcPr>
          <w:p>
            <w:pPr>
              <w:pStyle w:val="Normal"/>
            </w:pPr>
            <w:r>
              <w:t>Datos de seguimiento del progreso y datos de detección universal (actualizados a medida que avanza el año)</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Desarrollar la capacidad de los educadores a través de oportunidades de desarrollo profesional que pueden incluir, entre otras: instrucción de escritura, aprendizaje profesional de instrucción fonética, interpretación de datos de crecimiento estudiantil, diferenciación de la instrucción básica, implementación de intervenciones basadas en evidencia, implementación de SDI, redacción de TDA basados ​​en los recursos que se utilizan en PV y uso de datos de análisis de elementos de ELA PSSA.</w:t>
            </w:r>
          </w:p>
        </w:tc>
        <w:tc>
          <w:tcPr>
            <w:vAlign w:val="center"/>
          </w:tcPr>
          <w:p>
            <w:pPr>
              <w:pStyle w:val="Normal"/>
            </w:pPr>
            <w:r>
              <w:t xml:space="preserve">2026-07-20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Gates/Decana de Estudiantes Rich Eby/Superintendente Asistente Consultores y especialistas contratados</w:t>
            </w:r>
          </w:p>
        </w:tc>
        <w:tc>
          <w:tcPr>
            <w:vAlign w:val="center"/>
          </w:tcPr>
          <w:p>
            <w:pPr>
              <w:pStyle w:val="Normal"/>
            </w:pPr>
            <w:r>
              <w:t>Depende del aprendizaje profesional específico que se proporcione</w:t>
            </w:r>
          </w:p>
        </w:tc>
        <w:tc>
          <w:tcPr>
            <w:vAlign w:val="center"/>
          </w:tcPr>
          <w:p>
            <w:pPr>
              <w:pStyle w:val="Normal"/>
            </w:pPr>
            <w:r>
              <w:t>Sí</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Involucrar a las familias en el crecimiento de la alfabetización de los estudiantes brindándoles información sobre evaluaciones universales, instrucción individualizada y crecimiento hacia metas individuales.</w:t>
            </w:r>
          </w:p>
        </w:tc>
        <w:tc>
          <w:tcPr>
            <w:vAlign w:val="center"/>
          </w:tcPr>
          <w:p>
            <w:pPr>
              <w:pStyle w:val="Normal"/>
            </w:pPr>
            <w:r>
              <w:t xml:space="preserve">2026-10-21</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Kayley Gates/Coordinadora MTSS Intervencionista, Maestros de aula, Maestros de educación especial</w:t>
            </w:r>
          </w:p>
        </w:tc>
        <w:tc>
          <w:tcPr>
            <w:vAlign w:val="center"/>
          </w:tcPr>
          <w:p>
            <w:pPr>
              <w:pStyle w:val="Normal"/>
            </w:pPr>
            <w:r>
              <w:t>Cartas generadas a través de Branching Minds, NWEA MAP, informes de progreso, boletas de calificaciones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Evaluar los resultados y planificar los próximos pasos comparando el monitoreo del progreso de primavera y los resultados del PSSA de ELA/Literatura de 2027 con la línea de base de 2026; Identificar prácticas exitosas y estudiantes o grupos que necesitan apoyo continuo.</w:t>
            </w:r>
          </w:p>
        </w:tc>
        <w:tc>
          <w:tcPr>
            <w:vAlign w:val="center"/>
          </w:tcPr>
          <w:p>
            <w:pPr>
              <w:pStyle w:val="Normal"/>
            </w:pPr>
            <w:r>
              <w:t xml:space="preserve">2027-05-25</w:t>
            </w:r>
          </w:p>
        </w:tc>
        <w:tc>
          <w:tcPr>
            <w:vAlign w:val="center"/>
          </w:tcPr>
          <w:p>
            <w:pPr>
              <w:pStyle w:val="Normal"/>
            </w:pPr>
            <w:r>
              <w:t xml:space="preserve">2027-06-30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Intervencionista, Maestros de aula, Maestros de educación especial</w:t>
            </w:r>
          </w:p>
        </w:tc>
        <w:tc>
          <w:tcPr>
            <w:vAlign w:val="center"/>
          </w:tcPr>
          <w:p>
            <w:pPr>
              <w:pStyle w:val="Normal"/>
            </w:pPr>
            <w:r>
              <w:t>Datos de exámenes universales, seguimiento del progreso y PSSA.</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pPr>
              <w:pStyle w:val="Normal"/>
            </w:pPr>
            <w:r>
              <w:t>Los estudiantes que participan en grupos de intervención y aquellos con IEP de Artes del Lenguaje Inglés mostrarán un aumento del 5% en sus puntajes PSSA entre 2025 y 2026.</w:t>
            </w:r>
          </w:p>
        </w:tc>
        <w:tc>
          <w:tcPr>
            <w:vAlign w:val="center"/>
          </w:tcPr>
          <w:p>
            <w:pPr>
              <w:pStyle w:val="Normal"/>
            </w:pPr>
            <w:r>
              <w:t>Revise los datos de implementación y crecimiento estudiantil durante las reuniones mensuales de liderazgo o de nivel de grado. Al final del año, compare los resultados de la evaluación universal de primavera con los datos de referencia del otoño e identifique los próximos pasos.</w:t>
            </w:r>
          </w:p>
        </w:tc>
      </w:tr>
    </w:tbl>
    <w:p>
      <w:pPr>
        <w:pStyle w:val="Heading2"/>
      </w:pPr>
      <w:r>
        <w:t>Plan de acción para: crecimiento de las matemáticas</w:t>
      </w:r>
    </w:p>
    <w:tbl>
      <w:tblPr>
        <w:tblStyle w:val="TableGrid"/>
        <w:tblW w:w="5000" w:type="pct"/>
      </w:tblPr>
      <w:tblGrid>
        <w:gridCol/>
        <w:gridCol/>
        <w:gridCol/>
        <w:gridCol/>
      </w:tblGrid>
      <w:tr>
        <w:trPr/>
        <w:tc>
          <w:tcPr>
            <w:gridSpan w:val="4"/>
            <w:vAlign w:val="center"/>
          </w:tcPr>
          <w:p>
            <w:pPr>
              <w:pStyle w:val="Normal"/>
            </w:pPr>
            <w:r>
              <w:rPr>
                <w:b/>
              </w:rPr>
              <w:t>Metas mensurables:</w:t>
            </w:r>
          </w:p>
        </w:tc>
      </w:tr>
      <w:tr>
        <w:trPr/>
        <w:tc>
          <w:tcPr>
            <w:gridSpan w:val="4"/>
            <w:vAlign w:val="center"/>
          </w:tcPr>
          <w:p>
            <w:pPr>
              <w:pStyle w:val="ListParagraph"/>
              <w:numPr>
                <w:ilvl w:val="0"/>
                <w:numId w:val="2"/>
              </w:numPr>
            </w:pPr>
            <w:r>
              <w:t>Para junio de 2027, al menos el 75% de los estudiantes en los grados K-6 mostrarán un crecimiento en sus evaluaciones universales de matemáticas debido a que se centrarán en la fluidez de las operaciones matemáticas durante todo el año escolar. Se fomentará la instrucción explícita consistente, la práctica diaria, el seguimiento del progreso, la intervención y la comunicación familiar.</w:t>
            </w: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Establecer datos de referencia y expectativas de nivel de grado mediante la administración de evaluaciones universales de matemáticas de otoño; Identificar a los estudiantes que necesitan apoyo adicional con operaciones y conceptos matemáticos.</w:t>
            </w:r>
          </w:p>
        </w:tc>
        <w:tc>
          <w:tcPr>
            <w:vAlign w:val="center"/>
          </w:tcPr>
          <w:p>
            <w:pPr>
              <w:pStyle w:val="Normal"/>
            </w:pPr>
            <w:r>
              <w:t xml:space="preserve">2026-08-25</w:t>
            </w:r>
          </w:p>
        </w:tc>
        <w:tc>
          <w:tcPr>
            <w:vAlign w:val="center"/>
          </w:tcPr>
          <w:p>
            <w:pPr>
              <w:pStyle w:val="Normal"/>
            </w:pPr>
            <w:r>
              <w:t xml:space="preserve">2026-09-30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Intervencionistas, maestros de educación especial, maestros de aula</w:t>
            </w:r>
          </w:p>
        </w:tc>
        <w:tc>
          <w:tcPr>
            <w:vAlign w:val="center"/>
          </w:tcPr>
          <w:p>
            <w:pPr>
              <w:pStyle w:val="Normal"/>
            </w:pPr>
            <w:r>
              <w:t>Evaluaciones universales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Implementar instrucción consistente, explícita y apropiada para el grado en estrategias eficientes, relaciones numéricas y automaticidad. Asegúrese de que la instrucción enfatice la comprensión y el uso de estrategias antes de la memorización.</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Maestros de aula, Maestros de educación especial, Intervencionista</w:t>
            </w:r>
          </w:p>
        </w:tc>
        <w:tc>
          <w:tcPr>
            <w:vAlign w:val="center"/>
          </w:tcPr>
          <w:p>
            <w:pPr>
              <w:pStyle w:val="Normal"/>
            </w:pPr>
            <w:r>
              <w:t>Recursos de matemáticas para instrucción básica e instrucción diferenciada hasta el Nivel 3 y/o Educación Especial</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Se incorporarán oportunidades de práctica diaria. Los estudiantes recibirán oportunidades breves y atractivas para practicar operaciones matemáticas a través de juegos, rutinas, práctica en pareja, herramientas digitales y revisión dirigida por el maestro. Diferenciar la práctica según las necesidades del estudiante. Los estudiantes también tendrán oportunidades diarias para practicar y perfeccionar sus habilidades matemáticas a través de instrucción explícita y revisión en espiral.</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Maestros de aula, maestros de educación especial, intervencionistas Kayley Gates/Coordinadora MTSS</w:t>
            </w:r>
          </w:p>
        </w:tc>
        <w:tc>
          <w:tcPr>
            <w:vAlign w:val="center"/>
          </w:tcPr>
          <w:p>
            <w:pPr>
              <w:pStyle w:val="Normal"/>
            </w:pPr>
            <w:r>
              <w:t>Recursos matemáticos iPads/portátiles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Los maestros de aula utilizarán evaluaciones formativas y sumativas para guiar la instrucción en el aula. Los intervencionistas y los maestros de apoyo al aprendizaje utilizarán los datos de seguimiento del progreso para guiar y ajustar la instrucción. Los datos de la evaluación universal se revisarán tres veces al año. Los resultados para reagrupar a los estudiantes, ajustar las estrategias de instrucción e identificar a los estudiantes que necesitan intervención.</w:t>
            </w:r>
          </w:p>
        </w:tc>
        <w:tc>
          <w:tcPr>
            <w:vAlign w:val="center"/>
          </w:tcPr>
          <w:p>
            <w:pPr>
              <w:pStyle w:val="Normal"/>
            </w:pPr>
            <w:r>
              <w:t xml:space="preserve">2026-08-25</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Maestros de aula, maestros de educación especial, intervencionistas Kayley Gates/Coordinadora de MTSS Sheri McGowan/Director Rich Eby/Superintendente asistente</w:t>
            </w:r>
          </w:p>
        </w:tc>
        <w:tc>
          <w:tcPr>
            <w:vAlign w:val="center"/>
          </w:tcPr>
          <w:p>
            <w:pPr>
              <w:pStyle w:val="Normal"/>
            </w:pPr>
            <w:r>
              <w:t>Datos del aula Datos de la Evaluación universal Datos de seguimiento del progreso</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Proporcionar intervención y enriquecimiento específicos a medida que se identifican las necesidades a través de evaluaciones formativas y sumativas. Proporcionar intervención individual o en grupos pequeños para los estudiantes que no cumplan con las expectativas. Ofrecer enriquecimiento y oportunidades complejas de resolución de problemas para los estudiantes que demuestren dominio.</w:t>
            </w:r>
          </w:p>
        </w:tc>
        <w:tc>
          <w:tcPr>
            <w:vAlign w:val="center"/>
          </w:tcPr>
          <w:p>
            <w:pPr>
              <w:pStyle w:val="Normal"/>
            </w:pPr>
            <w:r>
              <w:t xml:space="preserve">2026-09-30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Kayley Gates/Coordinadora MTSS Intervencionistas, Maestros de aula, Maestros de apoyo al aprendizaje Sheri McGowan/Directora</w:t>
            </w:r>
          </w:p>
        </w:tc>
        <w:tc>
          <w:tcPr>
            <w:vAlign w:val="center"/>
          </w:tcPr>
          <w:p>
            <w:pPr>
              <w:pStyle w:val="Normal"/>
            </w:pPr>
            <w:r>
              <w:t>Recursos de intervención de datos iPads/portátiles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Desarrollar la capacidad y la coherencia del personal proporcionando aprendizaje profesional sobre la enseñanza eficaz de matemáticas, el uso de evaluaciones comunes, la diferenciación y la interpretación de los datos de crecimiento estudiantil según sea necesario. Desarrollar rutinas y recursos compartidos a nivel de grado.</w:t>
            </w:r>
          </w:p>
        </w:tc>
        <w:tc>
          <w:tcPr>
            <w:vAlign w:val="center"/>
          </w:tcPr>
          <w:p>
            <w:pPr>
              <w:pStyle w:val="Normal"/>
            </w:pPr>
            <w:r>
              <w:t xml:space="preserve">2026-09-30</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Kayley Gates/Coordinadora de MTSS Sheri McGowan/Director Rich Eby/Superintendente asistente</w:t>
            </w:r>
          </w:p>
        </w:tc>
        <w:tc>
          <w:tcPr>
            <w:vAlign w:val="center"/>
          </w:tcPr>
          <w:p>
            <w:pPr>
              <w:pStyle w:val="Normal"/>
            </w:pPr>
            <w:r>
              <w:t>Materiales necesarios para sesiones individuales de aprendizaje profesional.</w:t>
            </w:r>
          </w:p>
        </w:tc>
        <w:tc>
          <w:tcPr>
            <w:vAlign w:val="center"/>
          </w:tcPr>
          <w:p>
            <w:pPr>
              <w:pStyle w:val="Normal"/>
            </w:pPr>
            <w:r>
              <w:t>Sí</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Comuníquese con las familias compartiendo expectativas de nivel de grado, objetivos individuales de los estudiantes e ideas sencillas para practicar en casa. Proporcionar actualizaciones sobre el progreso y celebrar el crecimiento de los estudiantes. Proporcionar temas de aprendizaje para cada nivel de grado.</w:t>
            </w:r>
          </w:p>
        </w:tc>
        <w:tc>
          <w:tcPr>
            <w:vAlign w:val="center"/>
          </w:tcPr>
          <w:p>
            <w:pPr>
              <w:pStyle w:val="Normal"/>
            </w:pPr>
            <w:r>
              <w:t xml:space="preserve">2026-09-16</w:t>
            </w:r>
          </w:p>
        </w:tc>
        <w:tc>
          <w:tcPr>
            <w:vAlign w:val="center"/>
          </w:tcPr>
          <w:p>
            <w:pPr>
              <w:pStyle w:val="Normal"/>
            </w:pPr>
            <w:r>
              <w:t xml:space="preserve">2027-06-02</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Kayley Gates/Coordinadora MTSS Intervencionistas, Maestros de aula, Maestros de apoyo al aprendizaje</w:t>
            </w:r>
          </w:p>
        </w:tc>
        <w:tc>
          <w:tcPr>
            <w:vAlign w:val="center"/>
          </w:tcPr>
          <w:p>
            <w:pPr>
              <w:pStyle w:val="Normal"/>
            </w:pPr>
            <w:r>
              <w:t>Cartas generadas a través de Branching Minds, NWEA MAP, informes de progreso, boletas de calificaciones e infogramas para cada nivel de grado que informan a las familias sobre los temas de matemáticas cubiertos en cada nivel de grado.</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gridCol/>
        <w:gridCol/>
      </w:tblGrid>
      <w:tr>
        <w:trPr/>
        <w:tc>
          <w:tcPr>
            <w:gridSpan w:val="2"/>
            <w:vAlign w:val="center"/>
          </w:tcPr>
          <w:p>
            <w:pPr>
              <w:pStyle w:val="Normal"/>
            </w:pPr>
            <w:r>
              <w:rPr>
                <w:b/>
              </w:rPr>
              <w:t>Paso de acción</w:t>
            </w:r>
          </w:p>
        </w:tc>
        <w:tc>
          <w:tcPr>
            <w:vAlign w:val="center"/>
          </w:tcPr>
          <w:p>
            <w:pPr>
              <w:pStyle w:val="Normal"/>
            </w:pPr>
            <w:r>
              <w:rPr>
                <w:b/>
              </w:rPr>
              <w:t>Fecha de inicio prevista</w:t>
            </w:r>
          </w:p>
        </w:tc>
        <w:tc>
          <w:tcPr>
            <w:vAlign w:val="center"/>
          </w:tcPr>
          <w:p>
            <w:pPr>
              <w:pStyle w:val="Normal"/>
            </w:pPr>
            <w:r>
              <w:rPr>
                <w:b/>
              </w:rPr>
              <w:t>Fecha de finalización prevista</w:t>
            </w:r>
          </w:p>
        </w:tc>
      </w:tr>
      <w:tr>
        <w:trPr/>
        <w:tc>
          <w:tcPr>
            <w:gridSpan w:val="2"/>
            <w:vAlign w:val="center"/>
          </w:tcPr>
          <w:p>
            <w:pPr>
              <w:pStyle w:val="Normal"/>
            </w:pPr>
            <w:r>
              <w:t>Evaluar los resultados y planificar los próximos pasos comparando el monitoreo del progreso de primavera y los resultados del PSSA de Matemáticas de 2027 con la línea de base de 2026; Identificar prácticas exitosas y estudiantes o grupos que necesitan apoyo continuo.</w:t>
            </w:r>
          </w:p>
        </w:tc>
        <w:tc>
          <w:tcPr>
            <w:vAlign w:val="center"/>
          </w:tcPr>
          <w:p>
            <w:pPr>
              <w:pStyle w:val="Normal"/>
            </w:pPr>
            <w:r>
              <w:t xml:space="preserve">2027-05-22</w:t>
            </w:r>
          </w:p>
        </w:tc>
        <w:tc>
          <w:tcPr>
            <w:vAlign w:val="center"/>
          </w:tcPr>
          <w:p>
            <w:pPr>
              <w:pStyle w:val="Normal"/>
            </w:pPr>
            <w:r>
              <w:t xml:space="preserve">2027-06-30</w:t>
            </w:r>
          </w:p>
        </w:tc>
      </w:tr>
      <w:tr>
        <w:trPr/>
        <w:tc>
          <w:tcPr>
            <w:vAlign w:val="center"/>
          </w:tcPr>
          <w:p>
            <w:pPr>
              <w:pStyle w:val="Normal"/>
            </w:pPr>
            <w:r>
              <w:rPr>
                <w:b/>
              </w:rPr>
              <w:t>Persona principal/puesto</w:t>
            </w:r>
          </w:p>
        </w:tc>
        <w:tc>
          <w:tcPr>
            <w:vAlign w:val="center"/>
          </w:tcPr>
          <w:p>
            <w:pPr>
              <w:pStyle w:val="Normal"/>
            </w:pPr>
            <w:r>
              <w:rPr>
                <w:b/>
              </w:rPr>
              <w:t>Material/Recursos/Apoyos Necesarios</w:t>
            </w:r>
          </w:p>
        </w:tc>
        <w:tc>
          <w:tcPr>
            <w:vAlign w:val="center"/>
          </w:tcPr>
          <w:p>
            <w:pPr>
              <w:pStyle w:val="Normal"/>
            </w:pPr>
            <w:r>
              <w:rPr>
                <w:b/>
              </w:rPr>
              <w:t>¿Paso PD?</w:t>
            </w:r>
          </w:p>
        </w:tc>
        <w:tc>
          <w:tcPr>
            <w:vAlign w:val="center"/>
          </w:tcPr>
          <w:p/>
        </w:tc>
      </w:tr>
      <w:tr>
        <w:trPr/>
        <w:tc>
          <w:tcPr>
            <w:vAlign w:val="center"/>
          </w:tcPr>
          <w:p>
            <w:pPr>
              <w:pStyle w:val="Normal"/>
            </w:pPr>
            <w:r>
              <w:t>Sheri McGowan/Directora Kayley Gates/Coordinadora de MTSS Intervencionista, Maestros de aula, Maestros de educación especial</w:t>
            </w:r>
          </w:p>
        </w:tc>
        <w:tc>
          <w:tcPr>
            <w:vAlign w:val="center"/>
          </w:tcPr>
          <w:p>
            <w:pPr>
              <w:pStyle w:val="Normal"/>
            </w:pPr>
            <w:r>
              <w:t>Datos de evaluaciones universales, seguimiento de progreso y PSSA de Matemáticas</w:t>
            </w:r>
          </w:p>
        </w:tc>
        <w:tc>
          <w:tcPr>
            <w:vAlign w:val="center"/>
          </w:tcPr>
          <w:p>
            <w:pPr>
              <w:pStyle w:val="Normal"/>
            </w:pPr>
            <w:r>
              <w:t xml:space="preserve">No</w:t>
            </w:r>
          </w:p>
        </w:tc>
        <w:tc>
          <w:tcPr>
            <w:vAlign w:val="center"/>
          </w:tcPr>
          <w:p/>
        </w:tc>
      </w:tr>
    </w:tbl>
    <w:p>
      <w:pPr>
        <w:pStyle w:val="Normal"/>
      </w:pPr>
    </w:p>
    <w:tbl>
      <w:tblPr>
        <w:tblStyle w:val="TableGrid"/>
        <w:tblW w:w="5000" w:type="pct"/>
      </w:tblPr>
      <w:tblGrid>
        <w:gridCol/>
        <w:gridCol/>
      </w:tblGrid>
      <w:tr>
        <w:trPr/>
        <w:tc>
          <w:tcPr>
            <w:vAlign w:val="center"/>
          </w:tcPr>
          <w:p>
            <w:pPr>
              <w:pStyle w:val="Normal"/>
            </w:pPr>
            <w:r>
              <w:rPr>
                <w:b/>
              </w:rPr>
              <w:t>Salida anticipada</w:t>
            </w:r>
          </w:p>
        </w:tc>
        <w:tc>
          <w:tcPr>
            <w:vAlign w:val="center"/>
          </w:tcPr>
          <w:p>
            <w:pPr>
              <w:pStyle w:val="Normal"/>
            </w:pPr>
            <w:r>
              <w:rPr>
                <w:b/>
              </w:rPr>
              <w:t>Monitoreo/Evaluación (Personas, Frecuencia y Método)</w:t>
            </w:r>
          </w:p>
        </w:tc>
      </w:tr>
      <w:tr>
        <w:trPr/>
        <w:tc>
          <w:tcPr>
            <w:vAlign w:val="center"/>
          </w:tcPr>
          <w:p>
            <w:pPr>
              <w:pStyle w:val="Normal"/>
            </w:pPr>
            <w:r>
              <w:t>Al menos el 75% de los estudiantes en los grados K-6 demuestran un crecimiento en las evaluaciones universales de matemáticas; Los hallazgos informan el plan 2027-2028.</w:t>
            </w:r>
          </w:p>
        </w:tc>
        <w:tc>
          <w:tcPr>
            <w:vAlign w:val="center"/>
          </w:tcPr>
          <w:p>
            <w:pPr>
              <w:pStyle w:val="Normal"/>
            </w:pPr>
            <w:r>
              <w:t>Revise los datos de implementación y crecimiento estudiantil durante las reuniones mensuales de liderazgo o de nivel de grado. Al final del año, compare los resultados de la evaluación universal de primavera con los datos de referencia del otoño e identifique los próximos pasos.</w:t>
            </w:r>
          </w:p>
        </w:tc>
      </w:tr>
    </w:tbl>
    <w:p>
      <w:pPr>
        <w:pStyle w:val="Normal"/>
      </w:pPr>
      <w:r>
        <w:br w:type="page"/>
      </w:r>
      <w:r>
        <w:lastRenderedPageBreak/>
      </w:r>
    </w:p>
    <w:p>
      <w:pPr>
        <w:pStyle w:val="Heading1"/>
      </w:pPr>
      <w:r>
        <w:t>Tablas de gastos</w:t>
      </w:r>
    </w:p>
    <w:p>
      <w:pPr>
        <w:pStyle w:val="Heading2"/>
      </w:pPr>
      <w:r>
        <w:t>Subvención reservada para mejora escolar</w:t>
      </w:r>
    </w:p>
    <w:p>
      <w:pPr>
        <w:pStyle w:val="Normal"/>
      </w:pPr>
      <w:r>
        <w:rPr>
          <w:b/>
        </w:rPr>
        <w:t>True School no recibe la Subvención Reservada para Mejoramiento Escolar.</w:t>
      </w:r>
      <w:r/>
    </w:p>
    <w:p>
      <w:pPr>
        <w:pStyle w:val="Heading2"/>
      </w:pPr>
      <w:r>
        <w:t>Asignación de fondos del Título 1 en toda la escuela</w:t>
      </w:r>
    </w:p>
    <w:p>
      <w:pPr>
        <w:pStyle w:val="Normal"/>
      </w:pPr>
      <w:r>
        <w:rPr>
          <w:b/>
        </w:rPr>
        <w:t>Falso La escuela no recibe fondos del Título 1 para toda la escuela.</w:t>
      </w:r>
      <w:r/>
    </w:p>
    <w:tbl>
      <w:tblPr>
        <w:tblStyle w:val="TableGrid"/>
        <w:tblW w:w="5000" w:type="pct"/>
      </w:tblPr>
      <w:tblGrid>
        <w:gridCol/>
        <w:gridCol/>
        <w:gridCol/>
        <w:gridCol/>
        <w:gridCol/>
      </w:tblGrid>
      <w:tr>
        <w:trPr/>
        <w:tc>
          <w:tcPr>
            <w:tcW w:w="1500" w:type="pct"/>
            <w:vAlign w:val="center"/>
          </w:tcPr>
          <w:p>
            <w:pPr>
              <w:pStyle w:val="Normal"/>
            </w:pPr>
            <w:r>
              <w:rPr>
                <w:b/>
              </w:rPr>
              <w:t>Categoría de presupuesto de eGgrant (financiamiento para toda la escuela)</w:t>
            </w:r>
          </w:p>
        </w:tc>
        <w:tc>
          <w:tcPr>
            <w:tcW w:w="1000" w:type="pct"/>
            <w:vAlign w:val="center"/>
          </w:tcPr>
          <w:p>
            <w:pPr>
              <w:pStyle w:val="Normal"/>
            </w:pPr>
            <w:r>
              <w:rPr>
                <w:b/>
              </w:rPr>
              <w:t>Plan(es) de acción</w:t>
            </w:r>
          </w:p>
        </w:tc>
        <w:tc>
          <w:tcPr>
            <w:tcW w:w="1000" w:type="pct"/>
            <w:vAlign w:val="center"/>
          </w:tcPr>
          <w:p>
            <w:pPr>
              <w:pStyle w:val="Normal"/>
            </w:pPr>
            <w:r>
              <w:rPr>
                <w:b/>
              </w:rPr>
              <w:t>Descripción del gasto</w:t>
            </w:r>
          </w:p>
        </w:tc>
        <w:tc>
          <w:tcPr>
            <w:tcW w:w="500" w:type="pct"/>
            <w:vAlign w:val="center"/>
          </w:tcPr>
          <w:p>
            <w:pPr>
              <w:pStyle w:val="Normal"/>
            </w:pPr>
            <w:r>
              <w:rPr>
                <w:b/>
              </w:rPr>
              <w:t>Cantidad</w:t>
            </w:r>
          </w:p>
        </w:tc>
        <w:tc>
          <w:tcPr>
            <w:tcW w:w="0"/>
          </w:tcPr>
          <w:p/>
        </w:tc>
      </w:tr>
      <w:tr>
        <w:trPr/>
        <w:tc>
          <w:tcPr>
            <w:vAlign w:val="center"/>
          </w:tcPr>
          <w:p>
            <w:pPr>
              <w:pStyle w:val="Normal"/>
            </w:pPr>
            <w:r>
              <w:t>Instrucción</w:t>
            </w:r>
          </w:p>
        </w:tc>
        <w:tc>
          <w:tcPr>
            <w:vAlign w:val="center"/>
          </w:tcPr>
          <w:p>
            <w:pPr>
              <w:pStyle w:val="ListParagraph"/>
              <w:numPr>
                <w:ilvl w:val="0"/>
                <w:numId w:val="2"/>
              </w:numPr>
            </w:pPr>
            <w:r>
              <w:t>Compromiso familiar</w:t>
            </w:r>
          </w:p>
          <w:p>
            <w:pPr>
              <w:pStyle w:val="ListParagraph"/>
              <w:numPr>
                <w:ilvl w:val="0"/>
                <w:numId w:val="2"/>
              </w:numPr>
            </w:pPr>
            <w:r>
              <w:t>Crecimiento de la alfabetización</w:t>
            </w:r>
          </w:p>
          <w:p>
            <w:pPr>
              <w:pStyle w:val="ListParagraph"/>
              <w:numPr>
                <w:ilvl w:val="0"/>
                <w:numId w:val="2"/>
              </w:numPr>
            </w:pPr>
            <w:r>
              <w:t>Crecimiento de las matemáticas</w:t>
            </w:r>
          </w:p>
        </w:tc>
        <w:tc>
          <w:tcPr>
            <w:vAlign w:val="center"/>
          </w:tcPr>
          <w:p>
            <w:pPr>
              <w:pStyle w:val="Normal"/>
            </w:pPr>
            <w:r>
              <w:t>Salarios del personal docente de Intervención Nivel III del MTSS.</w:t>
            </w:r>
          </w:p>
        </w:tc>
        <w:tc>
          <w:tcPr>
            <w:vAlign w:val="center"/>
          </w:tcPr>
          <w:p>
            <w:pPr>
              <w:pStyle w:val="Normal"/>
            </w:pPr>
            <w:r>
              <w:t xml:space="preserve">$202, 144</w:t>
            </w:r>
          </w:p>
        </w:tc>
        <w:tc>
          <w:tcPr>
            <w:tcW w:w="0"/>
          </w:tcPr>
          <w:p/>
        </w:tc>
      </w:tr>
      <w:tr>
        <w:trPr/>
        <w:tc>
          <w:tcPr>
            <w:vAlign w:val="center"/>
          </w:tcPr>
          <w:p>
            <w:pPr>
              <w:pStyle w:val="Normal"/>
            </w:pPr>
            <w:r>
              <w:t>Instrucción</w:t>
            </w:r>
          </w:p>
        </w:tc>
        <w:tc>
          <w:tcPr>
            <w:vAlign w:val="center"/>
          </w:tcPr>
          <w:p>
            <w:pPr>
              <w:pStyle w:val="ListParagraph"/>
              <w:numPr>
                <w:ilvl w:val="0"/>
                <w:numId w:val="2"/>
              </w:numPr>
            </w:pPr>
            <w:r>
              <w:t>Compromiso familiar</w:t>
            </w:r>
          </w:p>
          <w:p>
            <w:pPr>
              <w:pStyle w:val="ListParagraph"/>
              <w:numPr>
                <w:ilvl w:val="0"/>
                <w:numId w:val="2"/>
              </w:numPr>
            </w:pPr>
            <w:r>
              <w:t>Crecimiento de la alfabetización</w:t>
            </w:r>
          </w:p>
          <w:p>
            <w:pPr>
              <w:pStyle w:val="ListParagraph"/>
              <w:numPr>
                <w:ilvl w:val="0"/>
                <w:numId w:val="2"/>
              </w:numPr>
            </w:pPr>
            <w:r>
              <w:t>Crecimiento de las matemáticas</w:t>
            </w:r>
          </w:p>
        </w:tc>
        <w:tc>
          <w:tcPr>
            <w:vAlign w:val="center"/>
          </w:tcPr>
          <w:p>
            <w:pPr>
              <w:pStyle w:val="Normal"/>
            </w:pPr>
            <w:r>
              <w:t>Beneficios para el personal docente de Intervención Nivel III del MTSS.</w:t>
            </w:r>
          </w:p>
        </w:tc>
        <w:tc>
          <w:tcPr>
            <w:vAlign w:val="center"/>
          </w:tcPr>
          <w:p>
            <w:pPr>
              <w:pStyle w:val="Normal"/>
            </w:pPr>
            <w:r>
              <w:t xml:space="preserve">$90, 357</w:t>
            </w:r>
          </w:p>
        </w:tc>
        <w:tc>
          <w:tcPr>
            <w:tcW w:w="0"/>
          </w:tcPr>
          <w:p/>
        </w:tc>
      </w:tr>
      <w:tr>
        <w:trPr/>
        <w:tc>
          <w:tcPr>
            <w:vAlign w:val="center"/>
          </w:tcPr>
          <w:p>
            <w:pPr>
              <w:pStyle w:val="Normal"/>
            </w:pPr>
            <w:r>
              <w:t>Instrucción</w:t>
            </w:r>
          </w:p>
        </w:tc>
        <w:tc>
          <w:tcPr>
            <w:vAlign w:val="center"/>
          </w:tcPr>
          <w:p>
            <w:pPr>
              <w:pStyle w:val="ListParagraph"/>
              <w:numPr>
                <w:ilvl w:val="0"/>
                <w:numId w:val="2"/>
              </w:numPr>
            </w:pPr>
            <w:r>
              <w:t>Crecimiento de la alfabetización</w:t>
            </w:r>
          </w:p>
          <w:p>
            <w:pPr>
              <w:pStyle w:val="ListParagraph"/>
              <w:numPr>
                <w:ilvl w:val="0"/>
                <w:numId w:val="2"/>
              </w:numPr>
            </w:pPr>
            <w:r>
              <w:t>Crecimiento de las matemáticas</w:t>
            </w:r>
          </w:p>
        </w:tc>
        <w:tc>
          <w:tcPr>
            <w:vAlign w:val="center"/>
          </w:tcPr>
          <w:p>
            <w:pPr>
              <w:pStyle w:val="Normal"/>
            </w:pPr>
            <w:r>
              <w:t>STS - Compensación de apoyo para educadores de nivel III del MTSS</w:t>
            </w:r>
          </w:p>
        </w:tc>
        <w:tc>
          <w:tcPr>
            <w:vAlign w:val="center"/>
          </w:tcPr>
          <w:p>
            <w:pPr>
              <w:pStyle w:val="Normal"/>
            </w:pPr>
            <w:r>
              <w:t xml:space="preserve">$71.974</w:t>
            </w:r>
          </w:p>
        </w:tc>
        <w:tc>
          <w:tcPr>
            <w:tcW w:w="0"/>
          </w:tcPr>
          <w:p/>
        </w:tc>
      </w:tr>
      <w:tr>
        <w:trPr/>
        <w:tc>
          <w:tcPr>
            <w:vAlign w:val="center"/>
          </w:tcPr>
          <w:p>
            <w:pPr>
              <w:pStyle w:val="Normal"/>
            </w:pPr>
            <w:r>
              <w:t>Equipo</w:t>
            </w:r>
          </w:p>
        </w:tc>
        <w:tc>
          <w:tcPr>
            <w:vAlign w:val="center"/>
          </w:tcPr>
          <w:p>
            <w:pPr>
              <w:pStyle w:val="ListParagraph"/>
              <w:numPr>
                <w:ilvl w:val="0"/>
                <w:numId w:val="2"/>
              </w:numPr>
            </w:pPr>
            <w:r>
              <w:t>Compromiso familiar</w:t>
            </w:r>
          </w:p>
          <w:p>
            <w:pPr>
              <w:pStyle w:val="ListParagraph"/>
              <w:numPr>
                <w:ilvl w:val="0"/>
                <w:numId w:val="2"/>
              </w:numPr>
            </w:pPr>
            <w:r>
              <w:t>Crecimiento de la alfabetización</w:t>
            </w:r>
          </w:p>
          <w:p>
            <w:pPr>
              <w:pStyle w:val="ListParagraph"/>
              <w:numPr>
                <w:ilvl w:val="0"/>
                <w:numId w:val="2"/>
              </w:numPr>
            </w:pPr>
            <w:r>
              <w:t>Crecimiento de las matemáticas</w:t>
            </w:r>
          </w:p>
        </w:tc>
        <w:tc>
          <w:tcPr>
            <w:vAlign w:val="center"/>
          </w:tcPr>
          <w:p>
            <w:pPr>
              <w:pStyle w:val="Normal"/>
            </w:pPr>
            <w:r>
              <w:t>Suministros</w:t>
            </w:r>
          </w:p>
        </w:tc>
        <w:tc>
          <w:tcPr>
            <w:vAlign w:val="center"/>
          </w:tcPr>
          <w:p>
            <w:pPr>
              <w:pStyle w:val="Normal"/>
            </w:pPr>
            <w:r>
              <w:t xml:space="preserve">$2,500</w:t>
            </w:r>
          </w:p>
        </w:tc>
        <w:tc>
          <w:tcPr>
            <w:tcW w:w="0"/>
          </w:tcPr>
          <w:p/>
        </w:tc>
      </w:tr>
      <w:tr>
        <w:trPr/>
        <w:tc>
          <w:tcPr>
            <w:vAlign w:val="center"/>
          </w:tcPr>
          <w:p>
            <w:pPr>
              <w:pStyle w:val="Normal"/>
            </w:pPr>
            <w:r>
              <w:t>Otros gastos</w:t>
            </w:r>
          </w:p>
        </w:tc>
        <w:tc>
          <w:tcPr>
            <w:vAlign w:val="center"/>
          </w:tcPr>
          <w:p>
            <w:pPr>
              <w:pStyle w:val="ListParagraph"/>
              <w:numPr>
                <w:ilvl w:val="0"/>
                <w:numId w:val="2"/>
              </w:numPr>
            </w:pPr>
            <w:r>
              <w:t>Compromiso familiar</w:t>
            </w:r>
          </w:p>
        </w:tc>
        <w:tc>
          <w:tcPr>
            <w:vAlign w:val="center"/>
          </w:tcPr>
          <w:p>
            <w:pPr>
              <w:pStyle w:val="Normal"/>
            </w:pPr>
            <w:r>
              <w:t>Suministros y eventos de participación familiar</w:t>
            </w:r>
          </w:p>
        </w:tc>
        <w:tc>
          <w:tcPr>
            <w:vAlign w:val="center"/>
          </w:tcPr>
          <w:p>
            <w:pPr>
              <w:pStyle w:val="Normal"/>
            </w:pPr>
            <w:r>
              <w:t xml:space="preserve">$5,370.05</w:t>
            </w:r>
          </w:p>
        </w:tc>
        <w:tc>
          <w:tcPr>
            <w:tcW w:w="0"/>
          </w:tcPr>
          <w:p/>
        </w:tc>
      </w:tr>
      <w:tr>
        <w:trPr/>
        <w:tc>
          <w:tcPr>
            <w:gridSpan w:val="4"/>
            <w:vAlign w:val="center"/>
          </w:tcPr>
          <w:p>
            <w:pPr>
              <w:pStyle w:val="Normal"/>
            </w:pPr>
            <w:r>
              <w:t>Gastos totales</w:t>
            </w:r>
          </w:p>
        </w:tc>
        <w:tc>
          <w:tcPr>
            <w:vAlign w:val="center"/>
          </w:tcPr>
          <w:p>
            <w:pPr>
              <w:pStyle w:val="Normal"/>
            </w:pPr>
            <w:r>
              <w:t xml:space="preserve">0</w:t>
            </w:r>
          </w:p>
        </w:tc>
      </w:tr>
    </w:tbl>
    <w:sectPr>
      <w:footerReference xmlns:r="http://schemas.openxmlformats.org/officeDocument/2006/relationships" w:type="default" r:id="R6dfb6c0c7f8c4a49"/>
      <w:headerReference xmlns:ns0="http://schemas.openxmlformats.org/officeDocument/2006/relationships" w:type="default" ns0:id="rId1"/>
      <w:pgSz w:w="12240" w:h="15840" w:orient="landscape"/>
      <w:pgMar w:top="720" w:right="720" w:bottom="720" w:left="720"/>
    </w:sectPr>
  </w:body>
</w:document>
</file>

<file path=word/footer1.xml><?xml version="1.0" encoding="utf-8"?>
<w:ftr xmlns:w="http://schemas.openxmlformats.org/wordprocessingml/2006/main">
  <w:p>
    <w:pPr>
      <w:jc w:val="right"/>
    </w:pPr>
    <w:r>
      <w:fldChar w:fldCharType="begin"/>
    </w:r>
    <w:r>
      <w:instrText xml:space="preserve"> PAGE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style xmlns:w="http://schemas.openxmlformats.org/wordprocessingml/2006/main" w:type="paragraph" w:styleId="Normal" w:default="1">
    <w:name w:val="Normal"/>
    <w:qFormat/>
  </w:style>
  <w:style xmlns:w="http://schemas.openxmlformats.org/wordprocessingml/2006/main" w:type="paragraph" w:styleId="Heading1">
    <w:name w:val="heading 1"/>
    <w:basedOn w:val="Normal"/>
    <w:next w:val="Normal"/>
    <w:link w:val="Heading1Char"/>
    <w:qFormat/>
    <w:pPr>
      <w:keepNext/>
      <w:keepLines/>
      <w:spacing w:before="480" w:after="0"/>
      <w:outlineLvl w:val="0"/>
    </w:pPr>
    <w:rPr>
      <w:rFonts w:asciiTheme="majorHAnsi" w:hAnsiTheme="majorHAnsi" w:eastAsiaTheme="majorEastAsia" w:cstheme="majorBidi"/>
      <w:b/>
      <w:bCs/>
      <w:color w:val="2E74B5" w:themeColor="accent1" w:themeShade="BF"/>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Heading2">
    <w:name w:val="heading 2"/>
    <w:basedOn w:val="Normal"/>
    <w:next w:val="Normal"/>
    <w:link w:val="Heading2Char"/>
    <w:unhideWhenUsed/>
    <w:qFormat/>
    <w:pPr>
      <w:keepNext/>
      <w:keepLines/>
      <w:spacing w:before="200" w:after="0"/>
      <w:outlineLvl w:val="1"/>
    </w:pPr>
    <w:rPr>
      <w:rFonts w:asciiTheme="majorHAnsi" w:hAnsiTheme="majorHAnsi" w:eastAsiaTheme="majorEastAsia" w:cstheme="majorBidi"/>
      <w:b/>
      <w:bCs/>
      <w:color w:val="5B9BD5" w:themeColor="accent1"/>
      <w:sz w:val="26"/>
      <w:szCs w:val="26"/>
    </w:rPr>
  </w:style>
  <w:style xmlns:w="http://schemas.openxmlformats.org/wordprocessingml/2006/main" w:type="paragraph" w:styleId="Heading3">
    <w:name w:val="heading 3"/>
    <w:basedOn w:val="Normal"/>
    <w:next w:val="Normal"/>
    <w:link w:val="Heading3Char"/>
    <w:unhideWhenUsed/>
    <w:qFormat/>
    <w:pPr>
      <w:keepNext/>
      <w:keepLines/>
      <w:spacing w:before="200" w:after="0"/>
      <w:outlineLvl w:val="2"/>
    </w:pPr>
    <w:rPr>
      <w:rFonts w:asciiTheme="majorHAnsi" w:hAnsiTheme="majorHAnsi" w:eastAsiaTheme="majorEastAsia" w:cstheme="majorBidi"/>
      <w:b/>
      <w:bCs/>
      <w:color w:val="5B9BD5" w:themeColor="accent1"/>
    </w:rPr>
  </w:style>
  <w:style xmlns:w="http://schemas.openxmlformats.org/wordprocessingml/2006/main" w:type="paragraph" w:styleId="ListParagraph">
    <w:name w:val="List Paragraph"/>
    <w:next w:val="List Paragraph"/>
    <w:pPr>
      <w:keepNext w:val="0"/>
      <w:keepLines w:val="0"/>
      <w:spacing w:before="0" w:after="0" w:line="240" w:lineRule="auto"/>
      <w:ind w:firstLine="0"/>
      <w:contextualSpacing/>
    </w:pPr>
  </w:style>
</w:styles>
</file>

<file path=word/_rels/document.xml.rels><?xml version='1.0' encoding='UTF-8' standalone='yes'?>
<Relationships xmlns="http://schemas.openxmlformats.org/package/2006/relationships"><Relationship Id="R0c452d110582444d" Type="http://schemas.openxmlformats.org/officeDocument/2006/relationships/styles" Target="styles.xml"/><Relationship Id="R6d6a4aa8dba64239" Type="http://schemas.openxmlformats.org/officeDocument/2006/relationships/settings" Target="settings.xml"/><Relationship Id="Rdcca29be1bb14878" Type="http://schemas.openxmlformats.org/officeDocument/2006/relationships/numbering" Target="numbering.xml"/><Relationship Id="R6dfb6c0c7f8c4a49" Type="http://schemas.openxmlformats.org/officeDocument/2006/relationships/footer" Target="footer1.xml"/><Relationship Id="rId1" Type="http://schemas.openxmlformats.org/officeDocument/2006/relationships/header" Target="header1.xml"/></Relationships>
</file>