
<file path=[Content_Types].xml><?xml version="1.0" encoding="utf-8"?>
<Types xmlns="http://schemas.openxmlformats.org/package/2006/content-types">
  <Default Extension="rels" ContentType="application/vnd.openxmlformats-package.relationships+xml"/>
  <Default Extension="xml" ContentType="application/xml"/>
  <Override PartName="/package/services/metadata/core-properties/3e4740424001489cad6d72180d87c96c.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8bc8cbaf31f64bdb" Type="http://schemas.openxmlformats.org/officeDocument/2006/relationships/officeDocument" Target="word/document.xml"/><Relationship Id="Rb4f31e5c9757414e" Type="http://schemas.openxmlformats.org/package/2006/relationships/metadata/core-properties" Target="package/services/metadata/core-properties/3e4740424001489cad6d72180d87c96c.psmdcp"/></Relationships>
</file>

<file path=word/document.xml><?xml version="1.0" encoding="utf-8"?>
<w:document xmlns:w="http://schemas.openxmlformats.org/wordprocessingml/2006/main">
  <w:body>
    <w:p>
      <w:pPr>
        <w:pStyle w:val="Normal"/>
      </w:pPr>
      <w:r>
        <w:rPr>
          <w:b/>
        </w:rPr>
        <w:t>Paraíso El Sch</w:t>
      </w:r>
    </w:p>
    <w:p>
      <w:pPr>
        <w:pStyle w:val="Normal"/>
      </w:pPr>
      <w:r>
        <w:t>Plan escolar Título 1 para toda la escuela | 2026 - 2027</w:t>
      </w:r>
    </w:p>
    <w:p>
      <w:pPr>
        <w:pStyle w:val="Normal"/>
      </w:pPr>
      <w:r>
        <w:br w:type="page"/>
      </w:r>
      <w:r>
        <w:lastRenderedPageBreak/>
      </w:r>
    </w:p>
    <w:p>
      <w:pPr>
        <w:pStyle w:val="Heading1"/>
      </w:pPr>
      <w:r>
        <w:t>Aspectos básicos del perfil y el plan</w:t>
      </w:r>
    </w:p>
    <w:tbl>
      <w:tblPr>
        <w:tblStyle w:val="TableGrid"/>
        <w:tblW w:w="5000" w:type="pct"/>
      </w:tblPr>
      <w:tblGrid>
        <w:gridCol/>
        <w:gridCol/>
        <w:gridCol/>
      </w:tblGrid>
      <w:tr>
        <w:trPr/>
        <w:tc>
          <w:tcPr>
            <w:gridSpan w:val="2"/>
            <w:vAlign w:val="center"/>
          </w:tcPr>
          <w:p>
            <w:pPr>
              <w:pStyle w:val="Normal"/>
            </w:pPr>
            <w:r>
              <w:rPr>
                <w:b/>
              </w:rPr>
              <w:t>Escuela</w:t>
            </w:r>
          </w:p>
        </w:tc>
        <w:tc>
          <w:tcPr>
            <w:vAlign w:val="center"/>
          </w:tcPr>
          <w:p>
            <w:pPr>
              <w:pStyle w:val="Normal"/>
            </w:pPr>
            <w:r>
              <w:t>AUN/Sucursal</w:t>
            </w:r>
          </w:p>
        </w:tc>
      </w:tr>
      <w:tr>
        <w:trPr/>
        <w:tc>
          <w:tcPr>
            <w:gridSpan w:val="2"/>
            <w:vAlign w:val="center"/>
          </w:tcPr>
          <w:p>
            <w:pPr>
              <w:pStyle w:val="Normal"/>
            </w:pPr>
            <w:r>
              <w:t>Paraíso El Sch</w:t>
            </w:r>
          </w:p>
        </w:tc>
        <w:tc>
          <w:tcPr>
            <w:vAlign w:val="center"/>
          </w:tcPr>
          <w:p>
            <w:pPr>
              <w:pStyle w:val="Normal"/>
            </w:pPr>
            <w:r>
              <w:t xml:space="preserve">113365303</w:t>
            </w:r>
          </w:p>
        </w:tc>
      </w:tr>
      <w:tr>
        <w:trPr/>
        <w:tc>
          <w:tcPr>
            <w:gridSpan w:val="3"/>
            <w:vAlign w:val="center"/>
          </w:tcPr>
          <w:p>
            <w:pPr>
              <w:pStyle w:val="Normal"/>
            </w:pPr>
            <w:r>
              <w:rPr>
                <w:b/>
              </w:rPr>
              <w:t>Dirección 1</w:t>
            </w:r>
          </w:p>
        </w:tc>
      </w:tr>
      <w:tr>
        <w:trPr/>
        <w:tc>
          <w:tcPr>
            <w:gridSpan w:val="3"/>
            <w:vAlign w:val="center"/>
          </w:tcPr>
          <w:p>
            <w:pPr>
              <w:pStyle w:val="Normal"/>
            </w:pPr>
            <w:r>
              <w:t xml:space="preserve">20 N Belmont Rd</w:t>
            </w:r>
          </w:p>
        </w:tc>
      </w:tr>
      <w:tr>
        <w:trPr/>
        <w:tc>
          <w:tcPr>
            <w:gridSpan w:val="3"/>
            <w:vAlign w:val="center"/>
          </w:tcPr>
          <w:p>
            <w:pPr>
              <w:pStyle w:val="Normal"/>
            </w:pPr>
            <w:r>
              <w:rPr>
                <w:b/>
              </w:rPr>
              <w:t>Dirección 2</w:t>
            </w:r>
          </w:p>
        </w:tc>
      </w:tr>
      <w:tr>
        <w:trPr/>
        <w:tc>
          <w:tcPr>
            <w:gridSpan w:val="3"/>
            <w:vAlign w:val="center"/>
          </w:tcPr>
          <w:p/>
        </w:tc>
      </w:tr>
      <w:tr>
        <w:trPr/>
        <w:tc>
          <w:tcPr>
            <w:vAlign w:val="center"/>
          </w:tcPr>
          <w:p>
            <w:pPr>
              <w:pStyle w:val="Normal"/>
            </w:pPr>
            <w:r>
              <w:rPr>
                <w:b/>
              </w:rPr>
              <w:t>Ciudad</w:t>
            </w:r>
          </w:p>
        </w:tc>
        <w:tc>
          <w:tcPr>
            <w:vAlign w:val="center"/>
          </w:tcPr>
          <w:p>
            <w:pPr>
              <w:pStyle w:val="Normal"/>
            </w:pPr>
            <w:r>
              <w:rPr>
                <w:b/>
              </w:rPr>
              <w:t>Estado</w:t>
            </w:r>
          </w:p>
        </w:tc>
        <w:tc>
          <w:tcPr>
            <w:vAlign w:val="center"/>
          </w:tcPr>
          <w:p>
            <w:pPr>
              <w:pStyle w:val="Normal"/>
            </w:pPr>
            <w:r>
              <w:rPr>
                <w:b/>
              </w:rPr>
              <w:t>Código postal</w:t>
            </w:r>
          </w:p>
        </w:tc>
      </w:tr>
      <w:tr>
        <w:trPr/>
        <w:tc>
          <w:tcPr>
            <w:vAlign w:val="center"/>
          </w:tcPr>
          <w:p>
            <w:pPr>
              <w:pStyle w:val="Normal"/>
            </w:pPr>
            <w:r>
              <w:t>Paraíso</w:t>
            </w:r>
          </w:p>
        </w:tc>
        <w:tc>
          <w:tcPr>
            <w:vAlign w:val="center"/>
          </w:tcPr>
          <w:p>
            <w:pPr>
              <w:pStyle w:val="Normal"/>
            </w:pPr>
            <w:r>
              <w:t>Pensilvania</w:t>
            </w:r>
          </w:p>
        </w:tc>
        <w:tc>
          <w:tcPr>
            <w:vAlign w:val="center"/>
          </w:tcPr>
          <w:p>
            <w:pPr>
              <w:pStyle w:val="Normal"/>
            </w:pPr>
            <w:r>
              <w:t xml:space="preserve">17562</w:t>
            </w:r>
          </w:p>
        </w:tc>
      </w:tr>
      <w:tr>
        <w:trPr/>
        <w:tc>
          <w:tcPr>
            <w:gridSpan w:val="2"/>
            <w:vAlign w:val="center"/>
          </w:tcPr>
          <w:p>
            <w:pPr>
              <w:pStyle w:val="Normal"/>
            </w:pPr>
            <w:r>
              <w:rPr>
                <w:b/>
              </w:rPr>
              <w:t>Administrador principal de la escuela</w:t>
            </w:r>
          </w:p>
        </w:tc>
        <w:tc>
          <w:tcPr>
            <w:vAlign w:val="center"/>
          </w:tcPr>
          <w:p>
            <w:pPr>
              <w:pStyle w:val="Normal"/>
            </w:pPr>
            <w:r>
              <w:rPr>
                <w:b/>
              </w:rPr>
              <w:t>Correo electrónico del administrador principal de la escuela</w:t>
            </w:r>
          </w:p>
        </w:tc>
      </w:tr>
      <w:tr>
        <w:trPr/>
        <w:tc>
          <w:tcPr>
            <w:gridSpan w:val="2"/>
            <w:vAlign w:val="center"/>
          </w:tcPr>
          <w:p>
            <w:pPr>
              <w:pStyle w:val="Normal"/>
            </w:pPr>
            <w:r>
              <w:t>Dr. Erik B. Orndorff</w:t>
            </w:r>
          </w:p>
        </w:tc>
        <w:tc>
          <w:tcPr>
            <w:vAlign w:val="center"/>
          </w:tcPr>
          <w:p>
            <w:pPr>
              <w:pStyle w:val="Normal"/>
            </w:pPr>
            <w:r>
              <w:t xml:space="preserve">erik_orndorff@pequeavalley.org</w:t>
            </w:r>
          </w:p>
        </w:tc>
      </w:tr>
      <w:tr>
        <w:trPr/>
        <w:tc>
          <w:tcPr>
            <w:gridSpan w:val="3"/>
            <w:vAlign w:val="center"/>
          </w:tcPr>
          <w:p>
            <w:pPr>
              <w:pStyle w:val="Normal"/>
            </w:pPr>
            <w:r>
              <w:rPr>
                <w:b/>
              </w:rPr>
              <w:t>Nombre principal</w:t>
            </w:r>
          </w:p>
        </w:tc>
      </w:tr>
      <w:tr>
        <w:trPr/>
        <w:tc>
          <w:tcPr>
            <w:gridSpan w:val="3"/>
            <w:vAlign w:val="center"/>
          </w:tcPr>
          <w:p>
            <w:pPr>
              <w:pStyle w:val="Normal"/>
            </w:pPr>
            <w:r>
              <w:t xml:space="preserve">Dr. Rick Esche</w:t>
            </w:r>
          </w:p>
        </w:tc>
      </w:tr>
      <w:tr>
        <w:trPr/>
        <w:tc>
          <w:tcPr>
            <w:gridSpan w:val="3"/>
            <w:vAlign w:val="center"/>
          </w:tcPr>
          <w:p>
            <w:pPr>
              <w:pStyle w:val="Normal"/>
            </w:pPr>
            <w:r>
              <w:rPr>
                <w:b/>
              </w:rPr>
              <w:t>Correo electrónico del director</w:t>
            </w:r>
          </w:p>
        </w:tc>
      </w:tr>
      <w:tr>
        <w:trPr/>
        <w:tc>
          <w:tcPr>
            <w:gridSpan w:val="3"/>
            <w:vAlign w:val="center"/>
          </w:tcPr>
          <w:p>
            <w:pPr>
              <w:pStyle w:val="Normal"/>
            </w:pPr>
            <w:r>
              <w:t xml:space="preserve">rick_esche@pequeavalley.org</w:t>
            </w:r>
          </w:p>
        </w:tc>
      </w:tr>
      <w:tr>
        <w:trPr/>
        <w:tc>
          <w:tcPr>
            <w:gridSpan w:val="2"/>
            <w:vAlign w:val="center"/>
          </w:tcPr>
          <w:p>
            <w:pPr>
              <w:pStyle w:val="Normal"/>
            </w:pPr>
            <w:r>
              <w:rPr>
                <w:b/>
              </w:rPr>
              <w:t>Número de teléfono principal</w:t>
            </w:r>
          </w:p>
        </w:tc>
        <w:tc>
          <w:tcPr>
            <w:vAlign w:val="center"/>
          </w:tcPr>
          <w:p>
            <w:pPr>
              <w:pStyle w:val="Normal"/>
            </w:pPr>
            <w:r>
              <w:rPr>
                <w:b/>
              </w:rPr>
              <w:t>Ampliación principal</w:t>
            </w:r>
          </w:p>
        </w:tc>
      </w:tr>
      <w:tr>
        <w:trPr/>
        <w:tc>
          <w:tcPr>
            <w:gridSpan w:val="2"/>
            <w:vAlign w:val="center"/>
          </w:tcPr>
          <w:p>
            <w:pPr>
              <w:pStyle w:val="Normal"/>
            </w:pPr>
            <w:r>
              <w:t xml:space="preserve">717-768-5560</w:t>
            </w:r>
          </w:p>
        </w:tc>
        <w:tc>
          <w:tcPr>
            <w:vAlign w:val="center"/>
          </w:tcPr>
          <w:p/>
        </w:tc>
      </w:tr>
      <w:tr>
        <w:trPr/>
        <w:tc>
          <w:tcPr>
            <w:gridSpan w:val="2"/>
            <w:vAlign w:val="center"/>
          </w:tcPr>
          <w:p>
            <w:pPr>
              <w:pStyle w:val="Normal"/>
            </w:pPr>
            <w:r>
              <w:rPr>
                <w:b/>
              </w:rPr>
              <w:t>Nombre del facilitador de mejoramiento escolar</w:t>
            </w:r>
          </w:p>
        </w:tc>
        <w:tc>
          <w:tcPr>
            <w:vAlign w:val="center"/>
          </w:tcPr>
          <w:p>
            <w:pPr>
              <w:pStyle w:val="Normal"/>
            </w:pPr>
            <w:r>
              <w:rPr>
                <w:b/>
              </w:rPr>
              <w:t>Correo electrónico del facilitador de mejoramiento escolar</w:t>
            </w:r>
          </w:p>
        </w:tc>
      </w:tr>
      <w:tr>
        <w:trPr/>
        <w:tc>
          <w:tcPr>
            <w:gridSpan w:val="2"/>
            <w:vAlign w:val="center"/>
          </w:tcPr>
          <w:p/>
        </w:tc>
        <w:tc>
          <w:tcPr>
            <w:vAlign w:val="center"/>
          </w:tcPr>
          <w:p/>
        </w:tc>
      </w:tr>
    </w:tbl>
    <w:p>
      <w:pPr>
        <w:pStyle w:val="Normal"/>
      </w:pPr>
      <w:r>
        <w:br w:type="page"/>
      </w:r>
      <w:r>
        <w:lastRenderedPageBreak/>
      </w:r>
    </w:p>
    <w:p>
      <w:pPr>
        <w:pStyle w:val="Heading1"/>
      </w:pPr>
      <w:r>
        <w:t>Visión para el aprendizaje</w:t>
      </w:r>
    </w:p>
    <w:p>
      <w:pPr>
        <w:pStyle w:val="Normal"/>
      </w:pPr>
      <w:r>
        <w:rPr>
          <w:b/>
        </w:rPr>
        <w:t>Visión para el aprendizaje</w:t>
      </w:r>
    </w:p>
    <w:p>
      <w:pPr>
        <w:pStyle w:val="Normal"/>
      </w:pPr>
      <w:r>
        <w:t>Declaración de la misión El Distrito Escolar de Pequea Valley se esforzará por crear un "ambiente de aprendizaje ideal" que inspire a cada alumno a sobresalir. "Experiencia de aprendizaje ideal": encontrar a cada alumno en su nivel (interés/aprendizaje), desafiarlos, para que todos estén motivados para regresar mañana. Declaración de visión Distrito Escolar de Pequea Valley, "Donde cada alumno cuenta".</w:t>
      </w:r>
    </w:p>
    <w:p>
      <w:pPr>
        <w:pStyle w:val="Normal"/>
      </w:pPr>
      <w:r>
        <w:br w:type="page"/>
      </w:r>
      <w:r>
        <w:lastRenderedPageBreak/>
      </w:r>
    </w:p>
    <w:p>
      <w:pPr>
        <w:pStyle w:val="Heading1"/>
      </w:pPr>
      <w:r>
        <w:t>Índice de PA preparada para el futuro</w:t>
      </w:r>
    </w:p>
    <w:p>
      <w:pPr>
        <w:pStyle w:val="Heading2"/>
      </w:pPr>
      <w:r>
        <w:t>Competente o avanzado en artes del lenguaje inglés/literatura</w:t>
      </w:r>
    </w:p>
    <w:p>
      <w:pPr>
        <w:pStyle w:val="Normal"/>
      </w:pPr>
      <w:r>
        <w:rPr>
          <w:b/>
        </w:rPr>
        <w:t>Falso No tenemos datos del índice Future Ready Pa para este indicador</w:t>
      </w:r>
      <w:r/>
    </w:p>
    <w:p>
      <w:pPr>
        <w:pStyle w:val="Heading3"/>
      </w:pPr>
      <w:r>
        <w:t>Comentarios/Observaciones notables</w:t>
      </w:r>
    </w:p>
    <w:p>
      <w:pPr>
        <w:pStyle w:val="Normal"/>
      </w:pPr>
      <w:r>
        <w:t>El grupo de todos los estudiantes de la Escuela Primaria Paradise logró un 50,2 % de competencia en artes del lenguaje y literatura en inglés, con un desempeño ligeramente superior al promedio estatal de 49,9 %. Si bien el desempeño general superó el promedio estatal, la escuela no alcanzó su objetivo de mejora provisional. Las brechas de rendimiento persisten entre los estudiantes económicamente desfavorecidos y los estudiantes con discapacidades, lo que indica una necesidad continua de apoyo educativo específico mientras se aprovecha el crecimiento académico positivo de la escuela.</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Verdaderos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hispano</w:t>
            </w:r>
          </w:p>
        </w:tc>
        <w:tc>
          <w:tcPr>
            <w:vAlign w:val="center"/>
          </w:tcPr>
          <w:p>
            <w:pPr>
              <w:pStyle w:val="Normal"/>
            </w:pPr>
            <w:r>
              <w:t>Los estudiantes hispanos demostraron una fortaleza en el dominio de las artes del lenguaje inglés, logrando un 56,0% de competencia o avanzado, lo que superó tanto el desempeño del grupo de todos los estudiantes de la escuela como el promedio estatal para todos los estudiantes. Esto refleja apoyos educativos exitosos para este subgrupo.</w:t>
            </w:r>
          </w:p>
        </w:tc>
      </w:tr>
      <w:tr>
        <w:trPr/>
        <w:tc>
          <w:tcPr>
            <w:vAlign w:val="center"/>
          </w:tcPr>
          <w:p>
            <w:pPr>
              <w:pStyle w:val="Normal"/>
            </w:pPr>
            <w:r>
              <w:t>Blanco</w:t>
            </w:r>
          </w:p>
        </w:tc>
        <w:tc>
          <w:tcPr>
            <w:vAlign w:val="center"/>
          </w:tcPr>
          <w:p>
            <w:pPr>
              <w:pStyle w:val="Normal"/>
            </w:pPr>
            <w:r>
              <w:t>Los estudiantes blancos lograron un 50,9 % de competencia en artes del lenguaje inglés/literatura, con un desempeño superior al grupo de todos los estudiantes de la escuela (50,2 %) y ligeramente por encima del promedio estatal para todos los estudiantes. Este subgrupo demostró un desempeño constante en el cumplimiento de las expectativas del nivel de grado.</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Los estudiantes con discapacidades lograron un 17,6 % de competencia en artes del lenguaje inglés/literatura, sustancialmente por debajo del desempeño de todos los grupos de estudiantes. Se necesita un énfasis continuo en la instrucción de Nivel I basada en evidencia, instrucción especialmente diseñada e intervenciones MTSS específicas para mejorar los resultados de rendimiento de este subgrupo.</w:t>
            </w:r>
          </w:p>
        </w:tc>
      </w:tr>
      <w:tr>
        <w:trPr/>
        <w:tc>
          <w:tcPr>
            <w:vAlign w:val="center"/>
          </w:tcPr>
          <w:p>
            <w:pPr>
              <w:pStyle w:val="Normal"/>
            </w:pPr>
            <w:r>
              <w:t>Económicamente en desventaja</w:t>
            </w:r>
          </w:p>
        </w:tc>
        <w:tc>
          <w:tcPr>
            <w:vAlign w:val="center"/>
          </w:tcPr>
          <w:p>
            <w:pPr>
              <w:pStyle w:val="Normal"/>
            </w:pPr>
            <w:r>
              <w:t>Los estudiantes económicamente desfavorecidos lograron un 42,6 % de competencia en artes del lenguaje inglés/literatura, por debajo del desempeño del grupo de todos los estudiantes. Dado que casi el 45% de los estudiantes de la Primaria Paradise están en desventaja económica, las intervenciones continuas respaldadas por el Título I, la programación MTSS y los esfuerzos de participación familiar siguen siendo estrategias importantes para aumentar el rendimiento estudiantil.</w:t>
            </w:r>
          </w:p>
        </w:tc>
      </w:tr>
    </w:tbl>
    <w:p>
      <w:pPr>
        <w:pStyle w:val="Heading2"/>
      </w:pPr>
      <w:r>
        <w:t>Competente o avanzado en Matemáticas/Álgebra</w:t>
      </w:r>
    </w:p>
    <w:p>
      <w:pPr>
        <w:pStyle w:val="Normal"/>
      </w:pPr>
      <w:r>
        <w:rPr>
          <w:b/>
        </w:rPr>
        <w:t>Falso No tenemos datos del índice Future Ready Pa para este indicador</w:t>
      </w:r>
      <w:r/>
    </w:p>
    <w:p>
      <w:pPr>
        <w:pStyle w:val="Heading3"/>
      </w:pPr>
      <w:r>
        <w:t>Comentarios/Observaciones notables</w:t>
      </w:r>
    </w:p>
    <w:p>
      <w:pPr>
        <w:pStyle w:val="Normal"/>
      </w:pPr>
      <w:r>
        <w:t>El grupo de todos los estudiantes de la Escuela Primaria Paradise logró un 46,4% de competencia en Matemáticas, superando el promedio estatal de 41,7%. Aunque el desempeño general estuvo por encima del promedio estatal, la escuela no alcanzó su objetivo de mejora provisional. Siguen existiendo brechas de rendimiento para los estudiantes económicamente desfavorecidos y los estudiantes con discapacidades, lo que indica la necesidad de continuar fortaleciendo la instrucción básica y las intervenciones específicas.</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Verdaderos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Los estudiantes blancos lograron un 49,7% de competencia en Matemáticas, superando tanto el desempeño del grupo de todos los estudiantes de la escuela como el promedio estatal. Este subgrupo demostró un rendimiento académico constante en matemáticas.</w:t>
            </w:r>
          </w:p>
        </w:tc>
      </w:tr>
      <w:tr>
        <w:trPr/>
        <w:tc>
          <w:tcPr>
            <w:vAlign w:val="center"/>
          </w:tcPr>
          <w:p>
            <w:pPr>
              <w:pStyle w:val="Normal"/>
            </w:pPr>
            <w:r>
              <w:t>hispano</w:t>
            </w:r>
          </w:p>
        </w:tc>
        <w:tc>
          <w:tcPr>
            <w:vAlign w:val="center"/>
          </w:tcPr>
          <w:p>
            <w:pPr>
              <w:pStyle w:val="Normal"/>
            </w:pPr>
            <w:r>
              <w:t>Los estudiantes hispanos lograron un 40,0% de competencia en Matemáticas, con un desempeño cercano al promedio estatal a pesar de representar un subgrupo de estudiantes más pequeño. Esto refleja un logro positivo en relación con las expectativas a nivel estatal y proporciona una base para un crecimiento continuo.</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Económicamente en desventaja</w:t>
            </w:r>
          </w:p>
        </w:tc>
        <w:tc>
          <w:tcPr>
            <w:vAlign w:val="center"/>
          </w:tcPr>
          <w:p>
            <w:pPr>
              <w:pStyle w:val="Normal"/>
            </w:pPr>
            <w:r>
              <w:t>Los estudiantes económicamente desfavorecidos lograron un 37,0 % de competencia en Matemáticas, por debajo del rendimiento del grupo de todos los estudiantes. La implementación continua de los servicios de intervención respaldados por el Título I, la programación MTSS y los apoyos educativos específicos serán importantes para aumentar el rendimiento en matemáticas de este subgrupo.</w:t>
            </w:r>
          </w:p>
        </w:tc>
      </w:tr>
      <w:tr>
        <w:trPr/>
        <w:tc>
          <w:tcPr>
            <w:vAlign w:val="center"/>
          </w:tcPr>
          <w:p>
            <w:pPr>
              <w:pStyle w:val="Normal"/>
            </w:pPr>
            <w:r>
              <w:t>Estudiantes con discapacidades</w:t>
            </w:r>
          </w:p>
        </w:tc>
        <w:tc>
          <w:tcPr>
            <w:vAlign w:val="center"/>
          </w:tcPr>
          <w:p>
            <w:pPr>
              <w:pStyle w:val="Normal"/>
            </w:pPr>
            <w:r>
              <w:t>Los estudiantes con discapacidades lograron un 11,8% de competencia en Matemáticas, sustancialmente por debajo del grupo de todos los estudiantes. Se necesita un énfasis continuo en la instrucción de matemáticas basada en evidencia, instrucción especialmente diseñada e intervenciones MTSS específicas para mejorar el rendimiento de este subgrupo.</w:t>
            </w:r>
          </w:p>
        </w:tc>
      </w:tr>
    </w:tbl>
    <w:p>
      <w:pPr>
        <w:pStyle w:val="Heading2"/>
      </w:pPr>
      <w:r>
        <w:t>Cumplir con las Expectativas Anuales de Crecimiento Académico (PVAAS) en Artes del Lenguaje Inglés/Literatura</w:t>
      </w:r>
    </w:p>
    <w:p>
      <w:pPr>
        <w:pStyle w:val="Normal"/>
      </w:pPr>
      <w:r>
        <w:rPr>
          <w:b/>
        </w:rPr>
        <w:t>Falso No tenemos datos del índice Future Ready Pa para este indicador</w:t>
      </w:r>
      <w:r/>
    </w:p>
    <w:p>
      <w:pPr>
        <w:pStyle w:val="Heading3"/>
      </w:pPr>
      <w:r>
        <w:t>Comentarios/Observaciones notables</w:t>
      </w:r>
    </w:p>
    <w:p>
      <w:pPr>
        <w:pStyle w:val="Normal"/>
      </w:pPr>
      <w:r>
        <w:t>La Primaria Paradise demostró un crecimiento académico positivo en Artes del Lenguaje Inglés, obteniendo una puntuación de crecimiento PVAAS de 77,0, que superó el estándar de crecimiento estatal de 70,0. Si bien el dominio general sigue siendo un área de mejora continua, los resultados de crecimiento de la escuela indican que las prácticas de instrucción están acelerando efectivamente el aprendizaje de los estudiantes.</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Etnicidad combinada</w:t>
            </w:r>
          </w:p>
        </w:tc>
        <w:tc>
          <w:tcPr>
            <w:vAlign w:val="center"/>
          </w:tcPr>
          <w:p>
            <w:pPr>
              <w:pStyle w:val="Normal"/>
            </w:pPr>
            <w:r>
              <w:t>El subgrupo de etnia combinada obtuvo una puntuación de crecimiento PVAAS de 80,0, superando el estándar de crecimiento estatal y demostrando un fuerte crecimiento académico en artes del lenguaje inglés. Los estudiantes de este subgrupo lograron un crecimiento académico de más de un año durante el año escolar.</w:t>
            </w:r>
          </w:p>
        </w:tc>
      </w:tr>
      <w:tr>
        <w:trPr/>
        <w:tc>
          <w:tcPr>
            <w:vAlign w:val="center"/>
          </w:tcPr>
          <w:p>
            <w:pPr>
              <w:pStyle w:val="Normal"/>
            </w:pPr>
            <w:r>
              <w:t>Blanco</w:t>
            </w:r>
          </w:p>
        </w:tc>
        <w:tc>
          <w:tcPr>
            <w:vAlign w:val="center"/>
          </w:tcPr>
          <w:p>
            <w:pPr>
              <w:pStyle w:val="Normal"/>
            </w:pPr>
            <w:r>
              <w:t>Los estudiantes blancos obtuvieron una puntuación de crecimiento PVAAS de 75,0, cumpliendo con el estándar de crecimiento estatal y demostrando el crecimiento académico anual esperado en artes del lenguaje inglés.</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Los estudiantes con discapacidades obtuvieron un puntaje de crecimiento PVAAS de 68.0, ligeramente por debajo del estándar de crecimiento estatal de 70. El monitoreo continuo de la efectividad de la instrucción y las intervenciones específicas respaldarán un mayor crecimiento académico para este subgrupo.</w:t>
            </w:r>
          </w:p>
        </w:tc>
      </w:tr>
    </w:tbl>
    <w:p>
      <w:pPr>
        <w:pStyle w:val="Heading2"/>
      </w:pPr>
      <w:r>
        <w:t>Cumplir con las expectativas anuales de crecimiento académico (PVAAS) en Matemáticas/Álgebra</w:t>
      </w:r>
    </w:p>
    <w:p>
      <w:pPr>
        <w:pStyle w:val="Normal"/>
      </w:pPr>
      <w:r>
        <w:rPr>
          <w:b/>
        </w:rPr>
        <w:t>Falso No tenemos datos del índice Future Ready Pa para este indicador</w:t>
      </w:r>
      <w:r/>
    </w:p>
    <w:p>
      <w:pPr>
        <w:pStyle w:val="Heading3"/>
      </w:pPr>
      <w:r>
        <w:t>Comentarios/Observaciones notables</w:t>
      </w:r>
    </w:p>
    <w:p>
      <w:pPr>
        <w:pStyle w:val="Normal"/>
      </w:pPr>
      <w:r>
        <w:t>La Primaria Paradise superó el estándar de crecimiento académico estatal en Matemáticas, obteniendo una puntuación de crecimiento PVAAS de 80,0. Estos resultados indican que los estudiantes lograron un crecimiento académico de más de un año, lo que refleja la efectividad de la instrucción de matemáticas, los apoyos de intervención y las prácticas de instrucción basadas en datos.</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Los estudiantes blancos obtuvieron una puntuación de crecimiento PVAAS de 86,0, superando el estándar de crecimiento estatal y demostrando un crecimiento académico de más de un año en Matemáticas.</w:t>
            </w:r>
          </w:p>
        </w:tc>
      </w:tr>
      <w:tr>
        <w:trPr/>
        <w:tc>
          <w:tcPr>
            <w:vAlign w:val="center"/>
          </w:tcPr>
          <w:p>
            <w:pPr>
              <w:pStyle w:val="Normal"/>
            </w:pPr>
            <w:r>
              <w:t>Económicamente en desventaja</w:t>
            </w:r>
          </w:p>
        </w:tc>
        <w:tc>
          <w:tcPr>
            <w:vAlign w:val="center"/>
          </w:tcPr>
          <w:p>
            <w:pPr>
              <w:pStyle w:val="Normal"/>
            </w:pPr>
            <w:r>
              <w:t>Los estudiantes económicamente desfavorecidos obtuvieron una puntuación de crecimiento PVAAS de 74,0, superando el estándar de crecimiento estatal. Esto demuestra que los estudiantes de este subgrupo lograron un crecimiento académico esperado o mayor al esperado en Matemáticas durante el año escolar.</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Etnicidad combinada</w:t>
            </w:r>
          </w:p>
        </w:tc>
        <w:tc>
          <w:tcPr>
            <w:vAlign w:val="center"/>
          </w:tcPr>
          <w:p>
            <w:pPr>
              <w:pStyle w:val="Normal"/>
            </w:pPr>
            <w:r>
              <w:t>El subgrupo de etnicidad combinada obtuvo una puntuación de crecimiento PVAAS de 66,0, por debajo del estándar de crecimiento estatal de 70. El seguimiento continuo de las prácticas de instrucción y los apoyos específicos ayudarán a acelerar el crecimiento en matemáticas para este subgrupo.</w:t>
            </w:r>
          </w:p>
        </w:tc>
      </w:tr>
    </w:tbl>
    <w:p>
      <w:pPr>
        <w:pStyle w:val="Heading2"/>
      </w:pPr>
      <w:r>
        <w:t xml:space="preserve">Crecimiento y logro del idioma inglés </w:t>
      </w:r>
    </w:p>
    <w:p>
      <w:pPr>
        <w:pStyle w:val="Normal"/>
      </w:pPr>
      <w:r>
        <w:rPr>
          <w:b/>
        </w:rPr>
        <w:t>Verdadero No tenemos datos del índice Future Ready Pa para este indicador</w:t>
      </w:r>
      <w:r/>
    </w:p>
    <w:p>
      <w:pPr>
        <w:pStyle w:val="Heading3"/>
      </w:pPr>
      <w:r>
        <w:t>Comentarios/Observaciones notables</w:t>
      </w:r>
    </w:p>
    <w:p>
      <w:pPr>
        <w:pStyle w:val="Normal"/>
      </w:pPr>
      <w:r>
        <w:t>La Primaria Paradise no recibió una designación de desempeño para el indicador de Crecimiento y Logro del Idioma Inglés debido a un tamaño de muestra insuficiente. Debido a que no hubo suficientes estudiantes de inglés incluidos en la medida de responsabilidad, no se pueden sacar conclusiones con respecto al desempeño o crecimiento de los estudiantes para este indicador.</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2"/>
      </w:pPr>
      <w:r>
        <w:t xml:space="preserve">Asistencia regular </w:t>
      </w:r>
    </w:p>
    <w:p>
      <w:pPr>
        <w:pStyle w:val="Normal"/>
      </w:pPr>
      <w:r>
        <w:rPr>
          <w:b/>
        </w:rPr>
        <w:t>Falso No tenemos datos del índice Future Ready Pa para este indicador</w:t>
      </w:r>
      <w:r/>
    </w:p>
    <w:p>
      <w:pPr>
        <w:pStyle w:val="Heading3"/>
      </w:pPr>
      <w:r>
        <w:t>Comentarios/Observaciones notables</w:t>
      </w:r>
    </w:p>
    <w:p>
      <w:pPr>
        <w:pStyle w:val="Normal"/>
      </w:pPr>
      <w:r>
        <w:t>La Primaria Paradise logró una tasa de asistencia regular del 90,0%, superando el promedio estatal de 79,6% y cumpliendo con el estándar de desempeño estatal. Una asistencia sólida refleja una participación estudiantil positiva, asociaciones familiares efectivas y un clima escolar que apoya la participación estudiantil constante.</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Multirracial (no hispano)</w:t>
            </w:r>
          </w:p>
        </w:tc>
        <w:tc>
          <w:tcPr>
            <w:vAlign w:val="center"/>
          </w:tcPr>
          <w:p>
            <w:pPr>
              <w:pStyle w:val="Normal"/>
            </w:pPr>
            <w:r>
              <w:t>Los estudiantes identificados como de dos o más razas lograron una tasa de asistencia regular del 90.5%, superando la tasa de asistencia general de la escuela y cumpliendo con el estándar de desempeño estatal para asistencia regular.</w:t>
            </w:r>
          </w:p>
        </w:tc>
      </w:tr>
      <w:tr>
        <w:trPr/>
        <w:tc>
          <w:tcPr>
            <w:vAlign w:val="center"/>
          </w:tcPr>
          <w:p>
            <w:pPr>
              <w:pStyle w:val="Normal"/>
            </w:pPr>
            <w:r>
              <w:t>Blanco</w:t>
            </w:r>
          </w:p>
        </w:tc>
        <w:tc>
          <w:tcPr>
            <w:vAlign w:val="center"/>
          </w:tcPr>
          <w:p>
            <w:pPr>
              <w:pStyle w:val="Normal"/>
            </w:pPr>
            <w:r>
              <w:t>Los estudiantes blancos lograron una tasa de asistencia regular del 92,3%, superando la tasa de asistencia general de la escuela y demostrando una participación estudiantil sólida y constante.</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de inglés</w:t>
            </w:r>
          </w:p>
        </w:tc>
        <w:tc>
          <w:tcPr>
            <w:vAlign w:val="center"/>
          </w:tcPr>
          <w:p>
            <w:pPr>
              <w:pStyle w:val="Normal"/>
            </w:pPr>
            <w:r>
              <w:t>Los estudiantes de inglés lograron una tasa de asistencia regular del 79,2%, muy por debajo de la tasa de asistencia general de la escuela. El apoyo continuo de extensión familiar, comunicación y asistencia ayudará a mejorar la asistencia escolar constante para este subgrupo.</w:t>
            </w:r>
          </w:p>
        </w:tc>
      </w:tr>
    </w:tbl>
    <w:p>
      <w:pPr>
        <w:pStyle w:val="Heading2"/>
      </w:pPr>
      <w:r>
        <w:t xml:space="preserve">Punto de referencia de estándares profesionales </w:t>
      </w:r>
    </w:p>
    <w:p>
      <w:pPr>
        <w:pStyle w:val="Normal"/>
      </w:pPr>
      <w:r>
        <w:rPr>
          <w:b/>
        </w:rPr>
        <w:t>Falso No tenemos datos del índice Future Ready Pa para este indicador</w:t>
      </w:r>
      <w:r/>
    </w:p>
    <w:p>
      <w:pPr>
        <w:pStyle w:val="Heading3"/>
      </w:pPr>
      <w:r>
        <w:t>Comentarios/Observaciones notables</w:t>
      </w:r>
    </w:p>
    <w:p>
      <w:pPr>
        <w:pStyle w:val="Normal"/>
      </w:pPr>
      <w:r>
        <w:t>La Primaria Paradise logró el 100% en el punto de referencia de estándares profesionales, superando tanto el promedio estatal como la meta de desempeño estatal. Estos resultados demuestran una implementación consistente de los estándares laborales y de educación profesional de Pensilvania a través de la instrucción en el aula y experiencias de concientización profesional que preparan a los estudiantes para el futuro éxito académico y profesional.</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Los estudiantes blancos lograron un punto de referencia de estándares profesionales del 100%, lo que demuestra una participación constante en experiencias de concientización y preparación profesional alineadas con los estándares laborales y de educación profesional de Pensilvania.</w:t>
            </w:r>
          </w:p>
        </w:tc>
      </w:tr>
      <w:tr>
        <w:trPr/>
        <w:tc>
          <w:tcPr>
            <w:vAlign w:val="center"/>
          </w:tcPr>
          <w:p>
            <w:pPr>
              <w:pStyle w:val="Normal"/>
            </w:pPr>
            <w:r>
              <w:t>Económicamente en desventaja</w:t>
            </w:r>
          </w:p>
        </w:tc>
        <w:tc>
          <w:tcPr>
            <w:vAlign w:val="center"/>
          </w:tcPr>
          <w:p>
            <w:pPr>
              <w:pStyle w:val="Normal"/>
            </w:pPr>
            <w:r>
              <w:t>Los estudiantes económicamente desfavorecidos también lograron un punto de referencia de estándares profesionales del 100%, lo que demuestra un acceso equitativo a experiencias de concientización profesional y una implementación exitosa de la programación de educación profesional para este subgrupo.</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No hay subgrupos a destacar como desafío ya que todos los grupos cumplieron la meta al 100%.</w:t>
            </w:r>
          </w:p>
        </w:tc>
      </w:tr>
    </w:tbl>
    <w:p>
      <w:pPr>
        <w:pStyle w:val="Heading2"/>
      </w:pPr>
      <w:r>
        <w:t>Tasa de graduación de la escuela secundaria Cohorte de cuatro años</w:t>
      </w:r>
    </w:p>
    <w:p>
      <w:pPr>
        <w:pStyle w:val="Normal"/>
      </w:pPr>
      <w:r>
        <w:rPr>
          <w:b/>
        </w:rPr>
        <w:t>Verdadero No tenemos datos del índice Future Ready Pa para este indicador</w:t>
      </w:r>
      <w:r/>
    </w:p>
    <w:p>
      <w:pPr>
        <w:pStyle w:val="Heading3"/>
      </w:pPr>
      <w:r>
        <w:t>Comentarios/Observaciones notables</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2"/>
      </w:pPr>
      <w:r>
        <w:t>Resumen</w:t>
      </w:r>
    </w:p>
    <w:p>
      <w:pPr>
        <w:pStyle w:val="Heading3"/>
      </w:pPr>
      <w:r>
        <w:t>Fortalezas</w:t>
      </w:r>
    </w:p>
    <w:p>
      <w:pPr>
        <w:pStyle w:val="Normal"/>
      </w:pPr>
      <w:r>
        <w:t>Revise las fortalezas enumeradas. Seleccione las fortalezas que han tenido el impacto más significativo al abordar sus desafíos más apremiantes.</w:t>
      </w:r>
    </w:p>
    <w:tbl>
      <w:tblPr>
        <w:tblStyle w:val="TableGrid"/>
        <w:tblW w:w="5000" w:type="pct"/>
      </w:tblPr>
      <w:tblGrid>
        <w:gridCol/>
      </w:tblGrid>
      <w:tr>
        <w:trPr/>
        <w:tc>
          <w:tcPr>
            <w:vAlign w:val="center"/>
          </w:tcPr>
          <w:p>
            <w:pPr>
              <w:pStyle w:val="Normal"/>
            </w:pPr>
            <w:r>
              <w:t>La Primaria Paradise demostró un crecimiento académico positivo en Artes del Lenguaje Inglés, obteniendo una puntuación de crecimiento PVAAS de 77,0, que superó el estándar de crecimiento estatal de 70,0. Si bien el dominio general sigue siendo un área de mejora continua, los resultados de crecimiento de la escuela indican que las prácticas de instrucción están acelerando efectivamente el aprendizaje de los estudiantes.</w:t>
            </w:r>
          </w:p>
        </w:tc>
      </w:tr>
      <w:tr>
        <w:trPr/>
        <w:tc>
          <w:tcPr>
            <w:vAlign w:val="center"/>
          </w:tcPr>
          <w:p>
            <w:pPr>
              <w:pStyle w:val="Normal"/>
            </w:pPr>
            <w:r>
              <w:t>La Primaria Paradise superó el estándar de crecimiento académico estatal en Matemáticas, obteniendo una puntuación de crecimiento PVAAS de 80,0. Estos resultados indican que los estudiantes lograron un crecimiento académico de más de un año, lo que refleja la efectividad de la instrucción de matemáticas, los apoyos de intervención y las prácticas de instrucción basadas en datos.</w:t>
            </w:r>
          </w:p>
        </w:tc>
      </w:tr>
      <w:tr>
        <w:trPr/>
        <w:tc>
          <w:tcPr>
            <w:vAlign w:val="center"/>
          </w:tcPr>
          <w:p>
            <w:pPr>
              <w:pStyle w:val="Normal"/>
            </w:pPr>
            <w:r>
              <w:t>La Primaria Paradise logró una tasa de asistencia regular del 90,0%, superando el promedio estatal de 79,6% y cumpliendo con el estándar de desempeño estatal. Una asistencia sólida refleja una participación estudiantil positiva, asociaciones familiares efectivas y un clima escolar que apoya la participación estudiantil constante.</w:t>
            </w:r>
          </w:p>
        </w:tc>
      </w:tr>
      <w:tr>
        <w:trPr/>
        <w:tc>
          <w:tcPr>
            <w:vAlign w:val="center"/>
          </w:tcPr>
          <w:p>
            <w:pPr>
              <w:pStyle w:val="Normal"/>
            </w:pPr>
            <w:r>
              <w:t>La Primaria Paradise logró el 100% en el punto de referencia de estándares profesionales, superando tanto el promedio estatal como la meta de desempeño estatal. Estos resultados demuestran una implementación consistente de los estándares laborales y de educación profesional de Pensilvania a través de la instrucción en el aula y experiencias de concientización profesional que preparan a los estudiantes para el futuro éxito académico y profesional.</w:t>
            </w:r>
          </w:p>
        </w:tc>
      </w:tr>
    </w:tbl>
    <w:p>
      <w:pPr>
        <w:pStyle w:val="Heading3"/>
      </w:pPr>
      <w:r>
        <w:t>Desafíos</w:t>
      </w:r>
    </w:p>
    <w:p>
      <w:pPr>
        <w:pStyle w:val="Normal"/>
      </w:pPr>
      <w:r>
        <w:t>Revise los desafíos enumerados. Seleccione los desafíos que, si se mejoraran, tendrían el mayor impacto en el logro de los objetivos del índice Future Ready PA.</w:t>
      </w:r>
    </w:p>
    <w:tbl>
      <w:tblPr>
        <w:tblStyle w:val="TableGrid"/>
        <w:tblW w:w="5000" w:type="pct"/>
      </w:tblPr>
      <w:tblGrid>
        <w:gridCol/>
      </w:tblGrid>
      <w:tr>
        <w:trPr/>
        <w:tc>
          <w:tcPr>
            <w:vAlign w:val="center"/>
          </w:tcPr>
          <w:p>
            <w:pPr>
              <w:pStyle w:val="Normal"/>
            </w:pPr>
            <w:r>
              <w:t>El grupo de todos los estudiantes de la Escuela Primaria Paradise logró un 50,2 % de competencia en artes del lenguaje y literatura en inglés, con un desempeño ligeramente superior al promedio estatal de 49,9 %. Si bien el desempeño general superó el promedio estatal, la escuela no alcanzó su objetivo de mejora provisional. Las brechas de rendimiento persisten entre los estudiantes económicamente desfavorecidos y los estudiantes con discapacidades, lo que indica una necesidad continua de apoyo educativo específico mientras se aprovecha el crecimiento académico positivo de la escuela.</w:t>
            </w:r>
          </w:p>
        </w:tc>
      </w:tr>
      <w:tr>
        <w:trPr/>
        <w:tc>
          <w:tcPr>
            <w:vAlign w:val="center"/>
          </w:tcPr>
          <w:p>
            <w:pPr>
              <w:pStyle w:val="Normal"/>
            </w:pPr>
            <w:r>
              <w:t>Los estudiantes con discapacidades lograron un 17,6 % de competencia en artes del lenguaje inglés/literatura, sustancialmente por debajo del desempeño de todos los grupos de estudiantes. Se necesita un énfasis continuo en la instrucción de Nivel I basada en evidencia, instrucción especialmente diseñada e intervenciones MTSS específicas para mejorar los resultados de rendimiento de este subgrupo.</w:t>
            </w:r>
          </w:p>
        </w:tc>
      </w:tr>
      <w:tr>
        <w:trPr/>
        <w:tc>
          <w:tcPr>
            <w:vAlign w:val="center"/>
          </w:tcPr>
          <w:p>
            <w:pPr>
              <w:pStyle w:val="Normal"/>
            </w:pPr>
            <w:r>
              <w:t>Los estudiantes económicamente desfavorecidos lograron un 42,6 % de competencia en artes del lenguaje inglés/literatura, por debajo del desempeño del grupo de todos los estudiantes. Dado que casi el 45% de los estudiantes de la Primaria Paradise están en desventaja económica, las intervenciones continuas respaldadas por el Título I, la programación MTSS y los esfuerzos de participación familiar siguen siendo estrategias importantes para aumentar el rendimiento estudiantil.</w:t>
            </w:r>
          </w:p>
        </w:tc>
      </w:tr>
      <w:tr>
        <w:trPr/>
        <w:tc>
          <w:tcPr>
            <w:vAlign w:val="center"/>
          </w:tcPr>
          <w:p>
            <w:pPr>
              <w:pStyle w:val="Normal"/>
            </w:pPr>
            <w:r>
              <w:t>El grupo de todos los estudiantes de la Escuela Primaria Paradise logró un 46,4% de competencia en Matemáticas, superando el promedio estatal de 41,7%. Aunque el desempeño general estuvo por encima del promedio estatal, la escuela no alcanzó su objetivo de mejora provisional. Siguen existiendo brechas de rendimiento para los estudiantes económicamente desfavorecidos y los estudiantes con discapacidades, lo que indica la necesidad de continuar fortaleciendo la instrucción básica y las intervenciones específicas.</w:t>
            </w:r>
          </w:p>
        </w:tc>
      </w:tr>
    </w:tbl>
    <w:p>
      <w:pPr>
        <w:pStyle w:val="Normal"/>
      </w:pPr>
      <w:r>
        <w:br w:type="page"/>
      </w:r>
      <w:r>
        <w:lastRenderedPageBreak/>
      </w:r>
    </w:p>
    <w:p>
      <w:pPr>
        <w:pStyle w:val="Heading1"/>
      </w:pPr>
      <w:r>
        <w:t>Evaluación Local</w:t>
      </w:r>
    </w:p>
    <w:p>
      <w:pPr>
        <w:pStyle w:val="Heading2"/>
      </w:pPr>
      <w:r>
        <w:t>Artes del lenguaje inglés</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Los resultados de lectura de NWEA MAP indican que los estudiantes lograron un crecimiento medio del percentil 70, superando el crecimiento nacional esperado.</w:t>
            </w:r>
          </w:p>
        </w:tc>
        <w:tc>
          <w:tcPr>
            <w:vAlign w:val="center"/>
          </w:tcPr>
          <w:p>
            <w:pPr>
              <w:pStyle w:val="Normal"/>
            </w:pPr>
            <w:r>
              <w:t>Los estudiantes demostraron un fuerte crecimiento académico en lectura y un rendimiento general.</w:t>
            </w:r>
          </w:p>
        </w:tc>
      </w:tr>
      <w:tr>
        <w:trPr/>
        <w:tc>
          <w:tcPr>
            <w:vAlign w:val="center"/>
          </w:tcPr>
          <w:p>
            <w:pPr>
              <w:pStyle w:val="Normal"/>
            </w:pPr>
            <w:r>
              <w:t>NWEA MAP: el rendimiento en lectura en toda la escuela también aumentó del percentil 51 en el otoño de 2025 al percentil 63 en la primavera de 2026, lo que demuestra un progreso académico significativo durante todo el año escolar.</w:t>
            </w:r>
          </w:p>
        </w:tc>
        <w:tc>
          <w:tcPr>
            <w:vAlign w:val="center"/>
          </w:tcPr>
          <w:p>
            <w:pPr>
              <w:pStyle w:val="Normal"/>
            </w:pPr>
            <w:r>
              <w:t>Los estudiantes demostraron un fuerte crecimiento académico en lectura y un rendimiento general.</w:t>
            </w:r>
          </w:p>
        </w:tc>
      </w:tr>
      <w:tr>
        <w:trPr/>
        <w:tc>
          <w:tcPr>
            <w:vAlign w:val="center"/>
          </w:tcPr>
          <w:p>
            <w:pPr>
              <w:pStyle w:val="Normal"/>
            </w:pPr>
            <w:r>
              <w:t>Los resultados del punto de referencia compuesto de mCLASS DIBELS 8 mostraron que el porcentaje de estudiantes con un desempeño por encima del punto de referencia aumentó del 21% al comienzo del año al 40% al final del año, mientras que los estudiantes identificados como muy por debajo del punto de referencia disminuyeron del 31% al 23%.</w:t>
            </w:r>
          </w:p>
        </w:tc>
        <w:tc>
          <w:tcPr>
            <w:vAlign w:val="center"/>
          </w:tcPr>
          <w:p>
            <w:pPr>
              <w:pStyle w:val="Normal"/>
            </w:pPr>
            <w:r>
              <w:t>Los resultados fundamentales de alfabetización mejoraron a lo largo del año escolar. Estos datos indican que las intervenciones de alfabetización y la instrucción básica tuvieron un impacto positivo en las habilidades fundamentales de lectura.</w:t>
            </w:r>
          </w:p>
        </w:tc>
      </w:tr>
    </w:tbl>
    <w:p>
      <w:pPr>
        <w:pStyle w:val="Heading2"/>
      </w:pPr>
      <w:r>
        <w:t>Resumen de artes del lenguaje inglés</w:t>
      </w:r>
    </w:p>
    <w:p>
      <w:pPr>
        <w:pStyle w:val="Heading3"/>
      </w:pPr>
      <w:r>
        <w:t>Fortalezas</w:t>
      </w:r>
    </w:p>
    <w:tbl>
      <w:tblPr>
        <w:tblStyle w:val="TableGrid"/>
        <w:tblW w:w="5000" w:type="pct"/>
      </w:tblPr>
      <w:tblGrid>
        <w:gridCol/>
      </w:tblGrid>
      <w:tr>
        <w:trPr/>
        <w:tc>
          <w:tcPr>
            <w:vAlign w:val="center"/>
          </w:tcPr>
          <w:p>
            <w:pPr>
              <w:pStyle w:val="Normal"/>
            </w:pPr>
            <w:r>
              <w:t>Los datos de lectura de NWEA MAP indican un fuerte crecimiento académico en toda la escuela, con un crecimiento general del percentil 70, lo que demuestra que los estudiantes superaron el crecimiento anual esperado.</w:t>
            </w:r>
          </w:p>
        </w:tc>
      </w:tr>
      <w:tr>
        <w:trPr/>
        <w:tc>
          <w:tcPr>
            <w:vAlign w:val="center"/>
          </w:tcPr>
          <w:p>
            <w:pPr>
              <w:pStyle w:val="Normal"/>
            </w:pPr>
            <w:r>
              <w:t>El rendimiento en lectura en toda la escuela mejoró del percentil 51 en el otoño de 2025 al percentil 63 en la primavera de 2026, lo que refleja un progreso académico positivo.</w:t>
            </w:r>
          </w:p>
        </w:tc>
      </w:tr>
      <w:tr>
        <w:trPr/>
        <w:tc>
          <w:tcPr>
            <w:vAlign w:val="center"/>
          </w:tcPr>
          <w:p>
            <w:pPr>
              <w:pStyle w:val="Normal"/>
            </w:pPr>
            <w:r>
              <w:t>Los datos de mCLASS DIBELS 8 mostraron un aumento sustancial en los estudiantes con desempeño por encima del punto de referencia (21 % a 40 %) y una reducción en los estudiantes identificados como muy por debajo del punto de referencia (31 % a 23 %), lo que demuestra la efectividad de la instrucción e intervención de alfabetización temprana.</w:t>
            </w:r>
          </w:p>
        </w:tc>
      </w:tr>
      <w:tr>
        <w:trPr/>
        <w:tc>
          <w:tcPr>
            <w:vAlign w:val="center"/>
          </w:tcPr>
          <w:p>
            <w:pPr>
              <w:pStyle w:val="Normal"/>
            </w:pPr>
            <w:r>
              <w:t>NWEA MAP Reading, mCLASS DIBELS 8 y Future Ready PA Index indican un fuerte crecimiento estudiantil, lo que sugiere que la instrucción básica de alfabetización, el marco MTSS y la programación de intervención de Paradise Elementary están impactando positivamente el aprendizaje de los estudiantes.</w:t>
            </w:r>
          </w:p>
        </w:tc>
      </w:tr>
    </w:tbl>
    <w:p>
      <w:pPr>
        <w:pStyle w:val="Heading3"/>
      </w:pPr>
      <w:r>
        <w:t>Desafíos</w:t>
      </w:r>
    </w:p>
    <w:tbl>
      <w:tblPr>
        <w:tblStyle w:val="TableGrid"/>
        <w:tblW w:w="5000" w:type="pct"/>
      </w:tblPr>
      <w:tblGrid>
        <w:gridCol/>
      </w:tblGrid>
      <w:tr>
        <w:trPr/>
        <w:tc>
          <w:tcPr>
            <w:vAlign w:val="center"/>
          </w:tcPr>
          <w:p>
            <w:pPr>
              <w:pStyle w:val="Normal"/>
            </w:pPr>
            <w:r>
              <w:t>Si bien los estudiantes demostraron un fuerte crecimiento, los datos de rendimiento indican oportunidades continuas para aumentar el porcentaje de estudiantes que se desempeñan en las bandas de rendimiento más altas y cumplen con las expectativas de nivel de grado.</w:t>
            </w:r>
          </w:p>
        </w:tc>
      </w:tr>
      <w:tr>
        <w:trPr/>
        <w:tc>
          <w:tcPr>
            <w:vAlign w:val="center"/>
          </w:tcPr>
          <w:p>
            <w:pPr>
              <w:pStyle w:val="Normal"/>
            </w:pPr>
            <w:r>
              <w:t>Los resultados de lectura de NWEA MAP indican que los grados 4 y 5 demostraron un rendimiento general más bajo que otros niveles de grado, lo que sugiere la necesidad de apoyo educativo continuo e intervenciones específicas.</w:t>
            </w:r>
          </w:p>
        </w:tc>
      </w:tr>
      <w:tr>
        <w:trPr/>
        <w:tc>
          <w:tcPr>
            <w:vAlign w:val="center"/>
          </w:tcPr>
          <w:p>
            <w:pPr>
              <w:pStyle w:val="Normal"/>
            </w:pPr>
            <w:r>
              <w:t>Aunque el desempeño en DIBELS mejoró, el 34% de los estudiantes permanecieron en las categorías Muy por debajo o por debajo del punto de referencia al final del año, lo que indica una necesidad continua de intervención sistemática y seguimiento del progreso.</w:t>
            </w:r>
          </w:p>
        </w:tc>
      </w:tr>
      <w:tr>
        <w:trPr/>
        <w:tc>
          <w:tcPr>
            <w:vAlign w:val="center"/>
          </w:tcPr>
          <w:p>
            <w:pPr>
              <w:pStyle w:val="Normal"/>
            </w:pPr>
            <w:r>
              <w:t>Los datos de las evaluaciones locales respaldan la necesidad de fortalecer la instrucción básica de alfabetización mientras se continúa con la intervención específica, el monitoreo del progreso y la toma de decisiones de instrucción basada en datos para aumentar la competencia y cerrar las brechas de rendimiento en todos los niveles de grado.</w:t>
            </w:r>
          </w:p>
        </w:tc>
      </w:tr>
    </w:tbl>
    <w:p>
      <w:pPr>
        <w:pStyle w:val="Heading2"/>
      </w:pPr>
      <w:r>
        <w:t>Matemáticas</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El percentil de crecimiento en matemáticas de NWEA MAP de 82 indica que los estudiantes de la escuela primaria Paradise excedieron el crecimiento anual esperado en comparación con las normas nacionales.</w:t>
            </w:r>
          </w:p>
        </w:tc>
        <w:tc>
          <w:tcPr>
            <w:vAlign w:val="center"/>
          </w:tcPr>
          <w:p>
            <w:pPr>
              <w:pStyle w:val="Normal"/>
            </w:pPr>
            <w:r>
              <w:t>Estos resultados reflejan la efectividad de la instrucción básica de matemáticas, las intervenciones MTSS y las prácticas de instrucción basadas en datos implementadas durante todo el año escolar.</w:t>
            </w:r>
          </w:p>
        </w:tc>
      </w:tr>
      <w:tr>
        <w:trPr/>
        <w:tc>
          <w:tcPr>
            <w:vAlign w:val="center"/>
          </w:tcPr>
          <w:p>
            <w:pPr>
              <w:pStyle w:val="Normal"/>
            </w:pPr>
            <w:r>
              <w:t>El rendimiento en matemáticas de NWEA MAP aumentó del percentil 52 (otoño de 2025) al percentil 73 (primavera de 2026).</w:t>
            </w:r>
          </w:p>
        </w:tc>
        <w:tc>
          <w:tcPr>
            <w:vAlign w:val="center"/>
          </w:tcPr>
          <w:p>
            <w:pPr>
              <w:pStyle w:val="Normal"/>
            </w:pPr>
            <w:r>
              <w:t>El rendimiento en matemáticas en toda la escuela mejoró en 21 puntos percentiles entre el otoño y la primavera, lo que indica que los estudiantes no sólo demostraron un fuerte crecimiento sino que también aumentaron el rendimiento general en relación con las normas nacionales. Esta tendencia ascendente respalda el enfoque continuo de la escuela en la instrucción e intervención de matemáticas basadas en evidencia.</w:t>
            </w:r>
          </w:p>
        </w:tc>
      </w:tr>
      <w:tr>
        <w:trPr/>
        <w:tc>
          <w:tcPr>
            <w:vAlign w:val="center"/>
          </w:tcPr>
          <w:p>
            <w:pPr>
              <w:pStyle w:val="Normal"/>
            </w:pPr>
            <w:r>
              <w:t>Percentil de rendimiento medio en matemáticas del 73 % (primavera de 2026)</w:t>
            </w:r>
          </w:p>
        </w:tc>
        <w:tc>
          <w:tcPr>
            <w:vAlign w:val="center"/>
          </w:tcPr>
          <w:p>
            <w:pPr>
              <w:pStyle w:val="Normal"/>
            </w:pPr>
            <w:r>
              <w:t>Los estudiantes terminaron el año escolar con un percentil de rendimiento general en matemáticas de 73, lo que representa un logro sólido en relación con las normas nacionales. Los esfuerzos continuos deben centrarse en aumentar el porcentaje de estudiantes que se desempeñan dentro de las bandas de rendimiento más alto.</w:t>
            </w:r>
          </w:p>
        </w:tc>
      </w:tr>
    </w:tbl>
    <w:p>
      <w:pPr>
        <w:pStyle w:val="Heading2"/>
      </w:pPr>
      <w:r>
        <w:t>Resumen de matemáticas</w:t>
      </w:r>
    </w:p>
    <w:p>
      <w:pPr>
        <w:pStyle w:val="Heading3"/>
      </w:pPr>
      <w:r>
        <w:t>Fortalezas</w:t>
      </w:r>
    </w:p>
    <w:tbl>
      <w:tblPr>
        <w:tblStyle w:val="TableGrid"/>
        <w:tblW w:w="5000" w:type="pct"/>
      </w:tblPr>
      <w:tblGrid>
        <w:gridCol/>
      </w:tblGrid>
      <w:tr>
        <w:trPr/>
        <w:tc>
          <w:tcPr>
            <w:vAlign w:val="center"/>
          </w:tcPr>
          <w:p>
            <w:pPr>
              <w:pStyle w:val="Normal"/>
            </w:pPr>
            <w:r>
              <w:t>Los resultados de crecimiento de NWEA MAP indican que los estudiantes lograron un crecimiento general del percentil 82, lo que demuestra un crecimiento académico mayor al esperado en comparación con las normas nacionales. Este fuerte crecimiento refleja la efectividad de la instrucción básica de matemáticas, los apoyos MTSS y las intervenciones específicas y se alinea con los resultados positivos de crecimiento en matemáticas PVAAS de la escuela.</w:t>
            </w:r>
          </w:p>
        </w:tc>
      </w:tr>
      <w:tr>
        <w:trPr/>
        <w:tc>
          <w:tcPr>
            <w:vAlign w:val="center"/>
          </w:tcPr>
          <w:p>
            <w:pPr>
              <w:pStyle w:val="Normal"/>
            </w:pPr>
            <w:r>
              <w:t>El rendimiento general en matemáticas aumentó del percentil 52 en el otoño de 2025 al percentil 73 en la primavera de 2026, lo que demuestra un progreso académico significativo en todos los niveles de grado e indica que los estudiantes están logrando avances hacia las expectativas de su nivel de grado.</w:t>
            </w:r>
          </w:p>
        </w:tc>
      </w:tr>
      <w:tr>
        <w:trPr/>
        <w:tc>
          <w:tcPr>
            <w:vAlign w:val="center"/>
          </w:tcPr>
          <w:p>
            <w:pPr>
              <w:pStyle w:val="Normal"/>
            </w:pPr>
            <w:r>
              <w:t>Los grados 5 y 6 lograron percentiles de crecimiento mediano de 93 y 95, respectivamente, mientras que el grado 1 también demostró un fuerte crecimiento en el percentil 81. Estos éxitos a nivel de grado brindan oportunidades para identificar prácticas de instrucción efectivas que se pueden compartir en toda la escuela.</w:t>
            </w:r>
          </w:p>
        </w:tc>
      </w:tr>
      <w:tr>
        <w:trPr/>
        <w:tc>
          <w:tcPr>
            <w:vAlign w:val="center"/>
          </w:tcPr>
          <w:p>
            <w:pPr>
              <w:pStyle w:val="Normal"/>
            </w:pPr>
            <w:r>
              <w:t>Los datos de Matemáticas de NWEA MAP se alinean estrechamente con el índice Future Ready PA y los resultados de PVAAS, lo que demuestra evidencia consistente de un fuerte crecimiento estudiantil. Esta alineación brinda confianza en que las prácticas de instrucción actuales y los sistemas MTSS están impactando positivamente el aprendizaje de los estudiantes y deben aprovecharse para aumentar aún más el dominio de las matemáticas.</w:t>
            </w:r>
          </w:p>
        </w:tc>
      </w:tr>
    </w:tbl>
    <w:p>
      <w:pPr>
        <w:pStyle w:val="Heading3"/>
      </w:pPr>
      <w:r>
        <w:t>Desafíos</w:t>
      </w:r>
    </w:p>
    <w:tbl>
      <w:tblPr>
        <w:tblStyle w:val="TableGrid"/>
        <w:tblW w:w="5000" w:type="pct"/>
      </w:tblPr>
      <w:tblGrid>
        <w:gridCol/>
      </w:tblGrid>
      <w:tr>
        <w:trPr/>
        <w:tc>
          <w:tcPr>
            <w:vAlign w:val="center"/>
          </w:tcPr>
          <w:p>
            <w:pPr>
              <w:pStyle w:val="Normal"/>
            </w:pPr>
            <w:r>
              <w:t>Aunque los estudiantes demostraron un crecimiento académico excepcional, aumentar el porcentaje de estudiantes que se desempeñan en niveles competentes y avanzados sigue siendo una prioridad. El enfoque continuo en la enseñanza de matemáticas de Nivel I de alta calidad ayudará a traducir un fuerte crecimiento en niveles más altos de rendimiento en las evaluaciones estatales.</w:t>
            </w:r>
          </w:p>
        </w:tc>
      </w:tr>
      <w:tr>
        <w:trPr/>
        <w:tc>
          <w:tcPr>
            <w:vAlign w:val="center"/>
          </w:tcPr>
          <w:p>
            <w:pPr>
              <w:pStyle w:val="Normal"/>
            </w:pPr>
            <w:r>
              <w:t>Los datos de rendimiento a nivel de grado indican que algunos grados, particularmente el cuarto grado, obtuvieron resultados por debajo del nivel de rendimiento escolar general. El análisis continuo de las prácticas de instrucción y los apoyos específicos ayudarán a garantizar un rendimiento constante en matemáticas en todos los niveles de grado.</w:t>
            </w:r>
          </w:p>
        </w:tc>
      </w:tr>
      <w:tr>
        <w:trPr/>
        <w:tc>
          <w:tcPr>
            <w:vAlign w:val="center"/>
          </w:tcPr>
          <w:p>
            <w:pPr>
              <w:pStyle w:val="Normal"/>
            </w:pPr>
            <w:r>
              <w:t>Si bien el rendimiento escolar mejoró, el 19% de los estudiantes permaneció por debajo del percentil 40 a nivel nacional (8% en el percentil 1 al 20 y 11% en el percentil 21 al 40). Fortalecer la instrucción básica y ampliar las intervenciones específicas ayudará a que más estudiantes avancen hacia las bandas de rendimiento competentes.</w:t>
            </w:r>
          </w:p>
        </w:tc>
      </w:tr>
      <w:tr>
        <w:trPr/>
        <w:tc>
          <w:tcPr>
            <w:vAlign w:val="center"/>
          </w:tcPr>
          <w:p>
            <w:pPr>
              <w:pStyle w:val="Normal"/>
            </w:pPr>
            <w:r>
              <w:t>Los datos indican que si bien los estudiantes están logrando un fuerte crecimiento académico, el uso sostenido de los datos de las evaluaciones formativas, el seguimiento del progreso, la instrucción diferenciada y las intervenciones de Nivel II y III serán fundamentales para acelerar el rendimiento de los estudiantes que aún no han alcanzado las expectativas de su nivel de grado.</w:t>
            </w:r>
          </w:p>
        </w:tc>
      </w:tr>
    </w:tbl>
    <w:p>
      <w:pPr>
        <w:pStyle w:val="Heading2"/>
      </w:pPr>
      <w:r>
        <w:t>Educación en ciencia, tecnología e ingeniería</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bl>
    <w:p>
      <w:pPr>
        <w:pStyle w:val="Heading2"/>
      </w:pPr>
      <w:r>
        <w:t>Resumen de educación en ciencia, tecnología e ingeniería</w:t>
      </w:r>
    </w:p>
    <w:p>
      <w:pPr>
        <w:pStyle w:val="Heading3"/>
      </w:pPr>
      <w:r>
        <w:t>Fortalezas</w:t>
      </w:r>
    </w:p>
    <w:p>
      <w:pPr>
        <w:pStyle w:val="Heading3"/>
      </w:pPr>
      <w:r>
        <w:t>Desafíos</w:t>
      </w:r>
    </w:p>
    <w:p>
      <w:pPr>
        <w:pStyle w:val="Normal"/>
      </w:pPr>
      <w:r>
        <w:br w:type="page"/>
      </w:r>
      <w:r>
        <w:lastRenderedPageBreak/>
      </w:r>
    </w:p>
    <w:p>
      <w:pPr>
        <w:pStyle w:val="Heading1"/>
      </w:pPr>
      <w:r>
        <w:t>Académicos Relacionados</w:t>
      </w:r>
    </w:p>
    <w:p>
      <w:pPr>
        <w:pStyle w:val="Heading2"/>
      </w:pPr>
      <w:r>
        <w:t>Preparación profesional</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El 100% de los estudiantes completaron sus Portafolios de preparación profesional de acuerdo con las expectativas estatales.</w:t>
            </w:r>
          </w:p>
        </w:tc>
        <w:tc>
          <w:tcPr>
            <w:vAlign w:val="center"/>
          </w:tcPr>
          <w:p>
            <w:pPr>
              <w:pStyle w:val="Normal"/>
            </w:pPr>
            <w:r>
              <w:t>La Primaria Paradise logró el 100% en el punto de referencia de estándares profesionales, superando tanto el promedio estatal como la meta de desempeño estatal. Estos resultados demuestran una implementación consistente de los estándares laborales y de educación profesional de Pensilvania a través de la instrucción en el aula y experiencias de concientización profesional que preparan a los estudiantes para el futuro éxito académico y profesional.</w:t>
            </w:r>
          </w:p>
        </w:tc>
      </w:tr>
    </w:tbl>
    <w:p>
      <w:pPr>
        <w:pStyle w:val="Heading2"/>
      </w:pPr>
      <w:r>
        <w:t>Programas de educación profesional y técnica (CTE)</w:t>
      </w:r>
    </w:p>
    <w:p>
      <w:pPr>
        <w:pStyle w:val="Normal"/>
      </w:pPr>
      <w:r>
        <w:rPr>
          <w:b/>
        </w:rPr>
        <w:t>Los verdaderos programas de educación técnica y profesional (CTE) omiten</w:t>
      </w:r>
      <w:r/>
    </w:p>
    <w:p>
      <w:pPr>
        <w:pStyle w:val="Heading2"/>
      </w:pPr>
      <w:r>
        <w:t>Artes y Humanidades</w:t>
      </w:r>
    </w:p>
    <w:p>
      <w:pPr>
        <w:pStyle w:val="Normal"/>
      </w:pPr>
      <w:r>
        <w:rPr>
          <w:b/>
        </w:rPr>
        <w:t>Las verdaderas artes y humanidades omitir</w:t>
      </w:r>
      <w:r/>
    </w:p>
    <w:p>
      <w:pPr>
        <w:pStyle w:val="Heading2"/>
      </w:pPr>
      <w:r>
        <w:t>Medio Ambiente y Ecología</w:t>
      </w:r>
    </w:p>
    <w:p>
      <w:pPr>
        <w:pStyle w:val="Normal"/>
      </w:pPr>
      <w:r>
        <w:rPr>
          <w:b/>
        </w:rPr>
        <w:t>Verdadero Medio Ambiente y Ecología Omitir</w:t>
      </w:r>
      <w:r/>
    </w:p>
    <w:p>
      <w:pPr>
        <w:pStyle w:val="Heading2"/>
      </w:pPr>
      <w:r>
        <w:t>Ciencias de la Familia y del Consumidor</w:t>
      </w:r>
    </w:p>
    <w:p>
      <w:pPr>
        <w:pStyle w:val="Normal"/>
      </w:pPr>
      <w:r>
        <w:rPr>
          <w:b/>
        </w:rPr>
        <w:t>Las verdaderas ciencias de la familia y del consumidor omiten</w:t>
      </w:r>
      <w:r/>
    </w:p>
    <w:p>
      <w:pPr>
        <w:pStyle w:val="Heading2"/>
      </w:pPr>
      <w:r>
        <w:t>Salud, Seguridad y Educación Física</w:t>
      </w:r>
    </w:p>
    <w:p>
      <w:pPr>
        <w:pStyle w:val="Normal"/>
      </w:pPr>
      <w:r>
        <w:rPr>
          <w:b/>
        </w:rPr>
        <w:t>Verdadero Salud, Seguridad y Educación Física Omitir</w:t>
      </w:r>
      <w:r/>
    </w:p>
    <w:p>
      <w:pPr>
        <w:pStyle w:val="Heading2"/>
      </w:pPr>
      <w:r>
        <w:t>Estudios Sociales (Cívica y Gobierno, Economía, Geografía, Historia)</w:t>
      </w:r>
    </w:p>
    <w:p>
      <w:pPr>
        <w:pStyle w:val="Normal"/>
      </w:pPr>
      <w:r>
        <w:rPr>
          <w:b/>
        </w:rPr>
        <w:t>Verdaderos estudios sociales (Cívica y Gobierno, Economía, Geografía, Historia) Omitir</w:t>
      </w:r>
      <w:r/>
    </w:p>
    <w:p>
      <w:pPr>
        <w:pStyle w:val="Heading2"/>
      </w:pPr>
      <w:r>
        <w:t>Resumen</w:t>
      </w:r>
    </w:p>
    <w:p>
      <w:pPr>
        <w:pStyle w:val="Heading3"/>
      </w:pPr>
      <w:r>
        <w:t>Fortalezas</w:t>
      </w:r>
    </w:p>
    <w:p>
      <w:pPr>
        <w:pStyle w:val="Normal"/>
      </w:pPr>
      <w:r>
        <w:t>Revise los comentarios y observaciones notables enumerados anteriormente y registre de 2 a 5 fortalezas que hayan tenido el mayor impacto en la mejora de sus desafíos más apremiantes.</w:t>
      </w:r>
    </w:p>
    <w:tbl>
      <w:tblPr>
        <w:tblStyle w:val="TableGrid"/>
        <w:tblW w:w="5000" w:type="pct"/>
      </w:tblPr>
      <w:tblGrid>
        <w:gridCol/>
      </w:tblGrid>
      <w:tr>
        <w:trPr/>
        <w:tc>
          <w:tcPr>
            <w:vAlign w:val="center"/>
          </w:tcPr>
          <w:p>
            <w:pPr>
              <w:pStyle w:val="Normal"/>
            </w:pPr>
            <w:r>
              <w:t>El 100% de los estudiantes completaron sus Portafolios de preparación profesional de acuerdo con las expectativas estatales.</w:t>
            </w:r>
          </w:p>
        </w:tc>
      </w:tr>
      <w:tr>
        <w:trPr/>
        <w:tc>
          <w:tcPr>
            <w:vAlign w:val="center"/>
          </w:tcPr>
          <w:p>
            <w:pPr>
              <w:pStyle w:val="Normal"/>
            </w:pPr>
            <w:r>
              <w:t>Más allá de la preparación profesional, las áreas académicas relacionadas no son un enfoque de nuestro plan de escuela primaria.</w:t>
            </w:r>
          </w:p>
        </w:tc>
      </w:tr>
    </w:tbl>
    <w:p>
      <w:pPr>
        <w:pStyle w:val="Heading3"/>
      </w:pPr>
      <w:r>
        <w:t>Desafíos</w:t>
      </w:r>
    </w:p>
    <w:p>
      <w:pPr>
        <w:pStyle w:val="Normal"/>
      </w:pPr>
      <w:r>
        <w:t>Revise los comentarios y observaciones notables enumerados anteriormente y registre de 2 a 5 desafíos que, si se mejoraran, tendrían el mayor impacto en el logro de su Misión y Visión.</w:t>
      </w:r>
    </w:p>
    <w:tbl>
      <w:tblPr>
        <w:tblStyle w:val="TableGrid"/>
        <w:tblW w:w="5000" w:type="pct"/>
      </w:tblPr>
      <w:tblGrid>
        <w:gridCol/>
      </w:tblGrid>
      <w:tr>
        <w:trPr/>
        <w:tc>
          <w:tcPr>
            <w:vAlign w:val="center"/>
          </w:tcPr>
          <w:p>
            <w:pPr>
              <w:pStyle w:val="Normal"/>
            </w:pPr>
            <w:r>
              <w:t>Continuar involucrando al 100% de los estudiantes para que completen su portafolio de preparación profesional.</w:t>
            </w:r>
          </w:p>
        </w:tc>
      </w:tr>
      <w:tr>
        <w:trPr/>
        <w:tc>
          <w:tcPr>
            <w:vAlign w:val="center"/>
          </w:tcPr>
          <w:p>
            <w:pPr>
              <w:pStyle w:val="Normal"/>
            </w:pPr>
            <w:r>
              <w:t>Más allá de la preparación profesional, las áreas académicas relacionadas no son un enfoque de nuestro plan de escuela primaria.</w:t>
            </w:r>
          </w:p>
        </w:tc>
      </w:tr>
    </w:tbl>
    <w:p>
      <w:pPr>
        <w:pStyle w:val="Normal"/>
      </w:pPr>
      <w:r>
        <w:br w:type="page"/>
      </w:r>
      <w:r>
        <w:lastRenderedPageBreak/>
      </w:r>
    </w:p>
    <w:p>
      <w:pPr>
        <w:pStyle w:val="Heading1"/>
      </w:pPr>
      <w:r>
        <w:t>Consideraciones de equidad</w:t>
      </w:r>
    </w:p>
    <w:p>
      <w:pPr>
        <w:pStyle w:val="Heading2"/>
      </w:pPr>
      <w:r>
        <w:t>Estudiantes de inglés</w:t>
      </w:r>
    </w:p>
    <w:p>
      <w:pPr>
        <w:pStyle w:val="Normal"/>
      </w:pPr>
      <w:r>
        <w:rPr>
          <w:b/>
        </w:rPr>
        <w:t>Falso Este grupo de estudiantes no es un enfoque en este plan.</w:t>
      </w:r>
      <w:r/>
    </w:p>
    <w:tbl>
      <w:tblPr>
        <w:tblStyle w:val="TableGrid"/>
        <w:tblW w:w="5000" w:type="pct"/>
      </w:tblPr>
      <w:tblGrid>
        <w:gridCol/>
        <w:gridCol/>
      </w:tblGrid>
      <w:tr>
        <w:trPr/>
        <w:tc>
          <w:tcPr>
            <w:vAlign w:val="center"/>
          </w:tcPr>
          <w:p>
            <w:pPr>
              <w:pStyle w:val="Normal"/>
            </w:pPr>
            <w:r>
              <w:t>Datos</w:t>
            </w:r>
          </w:p>
        </w:tc>
        <w:tc>
          <w:tcPr>
            <w:vAlign w:val="center"/>
          </w:tcPr>
          <w:p>
            <w:pPr>
              <w:pStyle w:val="Normal"/>
            </w:pPr>
            <w:r>
              <w:t>Comentarios/Observaciones notables</w:t>
            </w:r>
          </w:p>
        </w:tc>
      </w:tr>
      <w:tr>
        <w:trPr/>
        <w:tc>
          <w:tcPr>
            <w:vAlign w:val="center"/>
          </w:tcPr>
          <w:p>
            <w:pPr>
              <w:pStyle w:val="Normal"/>
            </w:pPr>
            <w:r>
              <w:t>Índice Future Ready PA: El crecimiento y el logro del idioma inglés se informaron como muestra insuficiente (IS) para la escuela primaria Paradise.</w:t>
            </w:r>
          </w:p>
        </w:tc>
        <w:tc>
          <w:tcPr>
            <w:vAlign w:val="center"/>
          </w:tcPr>
          <w:p>
            <w:pPr>
              <w:pStyle w:val="Normal"/>
            </w:pPr>
            <w:r>
              <w:t>Debido a que el subgrupo de estudiantes de inglés no cumplió con el tamaño de muestra mínimo para los informes de responsabilidad estatal, las evaluaciones de referencia locales y el monitoreo del progreso en el aula siguen siendo las principales fuentes de datos utilizadas para evaluar el progreso de los estudiantes y guiar las decisiones educativas.</w:t>
            </w:r>
          </w:p>
        </w:tc>
      </w:tr>
      <w:tr>
        <w:trPr/>
        <w:tc>
          <w:tcPr>
            <w:vAlign w:val="center"/>
          </w:tcPr>
          <w:p>
            <w:pPr>
              <w:pStyle w:val="Normal"/>
            </w:pPr>
            <w:r>
              <w:t>Asistencia regular: Los estudiantes de inglés demostraron un 79,2 % de asistencia regular, en comparación con el 90,0 % del grupo de todos los estudiantes.</w:t>
            </w:r>
          </w:p>
        </w:tc>
        <w:tc>
          <w:tcPr>
            <w:vAlign w:val="center"/>
          </w:tcPr>
          <w:p>
            <w:pPr>
              <w:pStyle w:val="Normal"/>
            </w:pPr>
            <w:r>
              <w:t>La asistencia representa un área de enfoque continuo para los estudiantes de inglés. Fortalecer la comunicación con las familias y mantener apoyos de asistencia constantes ayudará a maximizar el acceso a la instrucción.</w:t>
            </w:r>
          </w:p>
        </w:tc>
      </w:tr>
      <w:tr>
        <w:trPr/>
        <w:tc>
          <w:tcPr>
            <w:vAlign w:val="center"/>
          </w:tcPr>
          <w:p/>
        </w:tc>
        <w:tc>
          <w:tcPr>
            <w:vAlign w:val="center"/>
          </w:tcPr>
          <w:p/>
        </w:tc>
      </w:tr>
    </w:tbl>
    <w:p>
      <w:pPr>
        <w:pStyle w:val="Heading2"/>
      </w:pPr>
      <w:r>
        <w:t>Estudiantes con discapacidades</w:t>
      </w:r>
    </w:p>
    <w:p>
      <w:pPr>
        <w:pStyle w:val="Normal"/>
      </w:pPr>
      <w:r>
        <w:rPr>
          <w:b/>
        </w:rPr>
        <w:t>Falso Este grupo de estudiantes no es un enfoque en este plan.</w:t>
      </w:r>
      <w:r/>
    </w:p>
    <w:tbl>
      <w:tblPr>
        <w:tblStyle w:val="TableGrid"/>
        <w:tblW w:w="5000" w:type="pct"/>
      </w:tblPr>
      <w:tblGrid>
        <w:gridCol/>
        <w:gridCol/>
      </w:tblGrid>
      <w:tr>
        <w:trPr/>
        <w:tc>
          <w:tcPr>
            <w:vAlign w:val="center"/>
          </w:tcPr>
          <w:p>
            <w:pPr>
              <w:pStyle w:val="Normal"/>
            </w:pPr>
            <w:r>
              <w:t>Datos</w:t>
            </w:r>
          </w:p>
        </w:tc>
        <w:tc>
          <w:tcPr>
            <w:vAlign w:val="center"/>
          </w:tcPr>
          <w:p>
            <w:pPr>
              <w:pStyle w:val="Normal"/>
            </w:pPr>
            <w:r>
              <w:t>Comentarios/Observaciones notables</w:t>
            </w:r>
          </w:p>
        </w:tc>
      </w:tr>
      <w:tr>
        <w:trPr/>
        <w:tc>
          <w:tcPr>
            <w:vAlign w:val="center"/>
          </w:tcPr>
          <w:p>
            <w:pPr>
              <w:pStyle w:val="Normal"/>
            </w:pPr>
            <w:r>
              <w:t>PSSA Artes del Lenguaje Inglés: Los estudiantes con discapacidades lograron un 17,6% de nivel competente o avanzado en comparación con el 50,2% del grupo de todos los estudiantes.</w:t>
            </w:r>
          </w:p>
        </w:tc>
        <w:tc>
          <w:tcPr>
            <w:vAlign w:val="center"/>
          </w:tcPr>
          <w:p>
            <w:pPr>
              <w:pStyle w:val="Normal"/>
            </w:pPr>
            <w:r>
              <w:t>Los estudiantes con discapacidades continúan demostrando la mayor brecha de rendimiento en artes del lenguaje inglés. La colaboración continua entre el personal de educación general y especial, la instrucción especialmente diseñada y las intervenciones específicas siguen siendo esenciales.</w:t>
            </w:r>
          </w:p>
        </w:tc>
      </w:tr>
      <w:tr>
        <w:trPr/>
        <w:tc>
          <w:tcPr>
            <w:vAlign w:val="center"/>
          </w:tcPr>
          <w:p>
            <w:pPr>
              <w:pStyle w:val="Normal"/>
            </w:pPr>
            <w:r>
              <w:t>Matemáticas PSSA: Los estudiantes con discapacidades lograron un 11,8% competente o avanzado, en comparación con el 46,4% del grupo de todos los estudiantes.</w:t>
            </w:r>
          </w:p>
        </w:tc>
        <w:tc>
          <w:tcPr>
            <w:vAlign w:val="center"/>
          </w:tcPr>
          <w:p>
            <w:pPr>
              <w:pStyle w:val="Normal"/>
            </w:pPr>
            <w:r>
              <w:t>El dominio de las matemáticas permanece significativamente por debajo del promedio escolar, lo que indica una necesidad continua de apoyo educativo intensivo, seguimiento del progreso e instrucción matemática diferenciada.</w:t>
            </w:r>
          </w:p>
        </w:tc>
      </w:tr>
      <w:tr>
        <w:trPr/>
        <w:tc>
          <w:tcPr>
            <w:vAlign w:val="center"/>
          </w:tcPr>
          <w:p>
            <w:pPr>
              <w:pStyle w:val="Normal"/>
            </w:pPr>
            <w:r>
              <w:t>Crecimiento en artes del lenguaje inglés de PVAAS: los estudiantes con discapacidades obtuvieron una puntuación de crecimiento de 68, ligeramente por debajo del estándar de crecimiento estatal de 70.</w:t>
            </w:r>
          </w:p>
        </w:tc>
        <w:tc>
          <w:tcPr>
            <w:vAlign w:val="center"/>
          </w:tcPr>
          <w:p>
            <w:pPr>
              <w:pStyle w:val="Normal"/>
            </w:pPr>
            <w:r>
              <w:t>Aunque los estudiantes demostraron crecimiento académico, el crecimiento cayó justo por debajo de las expectativas estatales, lo que indica una oportunidad para fortalecer las prácticas de instrucción y la efectividad de la intervención para este subgrupo.</w:t>
            </w:r>
          </w:p>
        </w:tc>
      </w:tr>
    </w:tbl>
    <w:p>
      <w:pPr>
        <w:pStyle w:val="Heading2"/>
      </w:pPr>
      <w:r>
        <w:t>Estudiantes considerados económicamente desfavorecidos</w:t>
      </w:r>
    </w:p>
    <w:p>
      <w:pPr>
        <w:pStyle w:val="Normal"/>
      </w:pPr>
      <w:r>
        <w:rPr>
          <w:b/>
        </w:rPr>
        <w:t>Falso Este grupo de estudiantes no es un enfoque en este plan.</w:t>
      </w:r>
      <w:r/>
    </w:p>
    <w:tbl>
      <w:tblPr>
        <w:tblStyle w:val="TableGrid"/>
        <w:tblW w:w="5000" w:type="pct"/>
      </w:tblPr>
      <w:tblGrid>
        <w:gridCol/>
        <w:gridCol/>
      </w:tblGrid>
      <w:tr>
        <w:trPr/>
        <w:tc>
          <w:tcPr>
            <w:vAlign w:val="center"/>
          </w:tcPr>
          <w:p>
            <w:pPr>
              <w:pStyle w:val="Normal"/>
            </w:pPr>
            <w:r>
              <w:t>Datos</w:t>
            </w:r>
          </w:p>
        </w:tc>
        <w:tc>
          <w:tcPr>
            <w:vAlign w:val="center"/>
          </w:tcPr>
          <w:p>
            <w:pPr>
              <w:pStyle w:val="Normal"/>
            </w:pPr>
            <w:r>
              <w:t>Comentarios/Observaciones notables</w:t>
            </w:r>
          </w:p>
        </w:tc>
      </w:tr>
      <w:tr>
        <w:trPr/>
        <w:tc>
          <w:tcPr>
            <w:vAlign w:val="center"/>
          </w:tcPr>
          <w:p>
            <w:pPr>
              <w:pStyle w:val="Normal"/>
            </w:pPr>
            <w:r>
              <w:t>PSSA Artes del Lenguaje Inglés: Los estudiantes económicamente desfavorecidos lograron un 42,6% de nivel competente o avanzado, en comparación con el 50,2% del grupo de todos los estudiantes.</w:t>
            </w:r>
          </w:p>
        </w:tc>
        <w:tc>
          <w:tcPr>
            <w:vAlign w:val="center"/>
          </w:tcPr>
          <w:p>
            <w:pPr>
              <w:pStyle w:val="Normal"/>
            </w:pPr>
            <w:r>
              <w:t>Los estudiantes económicamente desfavorecidos continúan desempeñándose por debajo del promedio escolar general en artes del lenguaje inglés, lo que indica la necesidad de una implementación continua de instrucción de Nivel I basada en evidencia, intervenciones específicas de Título I y apoyos de participación familiar para mejorar el rendimiento en alfabetización.</w:t>
            </w:r>
          </w:p>
        </w:tc>
      </w:tr>
      <w:tr>
        <w:trPr/>
        <w:tc>
          <w:tcPr>
            <w:vAlign w:val="center"/>
          </w:tcPr>
          <w:p>
            <w:pPr>
              <w:pStyle w:val="Normal"/>
            </w:pPr>
            <w:r>
              <w:t>Matemáticas PSSA: Los estudiantes económicamente desfavorecidos lograron un 37,0% competente o avanzado, en comparación con el 46,4% del grupo de todos los estudiantes.</w:t>
            </w:r>
          </w:p>
        </w:tc>
        <w:tc>
          <w:tcPr>
            <w:vAlign w:val="center"/>
          </w:tcPr>
          <w:p>
            <w:pPr>
              <w:pStyle w:val="Normal"/>
            </w:pPr>
            <w:r>
              <w:t>Aunque el crecimiento en matemáticas es fuerte, el dominio de los estudiantes económicamente desfavorecidos sigue estando por debajo del promedio escolar general. El uso continuo de apoyos del MTSS, intervencionistas y planificación de instrucción basada en datos será importante para aumentar el rendimiento.</w:t>
            </w:r>
          </w:p>
        </w:tc>
      </w:tr>
      <w:tr>
        <w:trPr/>
        <w:tc>
          <w:tcPr>
            <w:vAlign w:val="center"/>
          </w:tcPr>
          <w:p/>
        </w:tc>
        <w:tc>
          <w:tcPr>
            <w:vAlign w:val="center"/>
          </w:tcPr>
          <w:p/>
        </w:tc>
      </w:tr>
    </w:tbl>
    <w:p>
      <w:pPr>
        <w:pStyle w:val="Heading2"/>
      </w:pPr>
      <w:r>
        <w:t>Grupos de estudiantes por raza/etnicidad</w:t>
      </w:r>
    </w:p>
    <w:p>
      <w:pPr>
        <w:pStyle w:val="Normal"/>
      </w:pPr>
      <w:r>
        <w:rPr>
          <w:b/>
        </w:rPr>
        <w:t>Verdadero Este grupo de estudiantes no es un enfoque en este plan.</w:t>
      </w:r>
      <w:r/>
    </w:p>
    <w:p>
      <w:pPr>
        <w:pStyle w:val="Heading2"/>
      </w:pPr>
      <w:r>
        <w:t>Resumen</w:t>
      </w:r>
    </w:p>
    <w:p>
      <w:pPr>
        <w:pStyle w:val="Heading3"/>
      </w:pPr>
      <w:r>
        <w:t>Fortalezas</w:t>
      </w:r>
    </w:p>
    <w:p>
      <w:pPr>
        <w:pStyle w:val="Normal"/>
      </w:pPr>
      <w:r>
        <w:t>Revise los comentarios y observaciones notables enumerados anteriormente y registre de 2 a 5 fortalezas que hayan tenido el mayor impacto en la mejora de sus desafíos más apremiantes.</w:t>
      </w:r>
    </w:p>
    <w:tbl>
      <w:tblPr>
        <w:tblStyle w:val="TableGrid"/>
        <w:tblW w:w="5000" w:type="pct"/>
      </w:tblPr>
      <w:tblGrid>
        <w:gridCol/>
      </w:tblGrid>
      <w:tr>
        <w:trPr/>
        <w:tc>
          <w:tcPr>
            <w:tcW w:w="5000" w:type="pct"/>
            <w:vAlign w:val="center"/>
          </w:tcPr>
          <w:p>
            <w:pPr>
              <w:pStyle w:val="Normal"/>
            </w:pPr>
            <w:r>
              <w:t>Los estudiantes de varios grupos de estudiantes demostraron un fuerte crecimiento académico tanto en lectura como en matemáticas, como lo demuestran los resultados de NWEA MAP y PVAAS.</w:t>
            </w:r>
          </w:p>
        </w:tc>
      </w:tr>
      <w:tr>
        <w:trPr/>
        <w:tc>
          <w:tcPr>
            <w:tcW w:w="5000" w:type="pct"/>
            <w:vAlign w:val="center"/>
          </w:tcPr>
          <w:p>
            <w:pPr>
              <w:pStyle w:val="Normal"/>
            </w:pPr>
            <w:r>
              <w:t>Los resultados fundamentales de alfabetización mejoraron a lo largo del año escolar. Los datos de mCLASS DIBELS 8 mostraron un aumento en los estudiantes con un desempeño por encima del punto de referencia y una reducción en los estudiantes con un desempeño muy por debajo del punto de referencia, lo que demuestra la eficacia de la instrucción e intervención en alfabetización temprana.</w:t>
            </w:r>
          </w:p>
        </w:tc>
      </w:tr>
      <w:tr>
        <w:trPr/>
        <w:tc>
          <w:tcPr>
            <w:tcW w:w="5000" w:type="pct"/>
            <w:vAlign w:val="center"/>
          </w:tcPr>
          <w:p>
            <w:pPr>
              <w:pStyle w:val="Normal"/>
            </w:pPr>
            <w:r>
              <w:t>El rendimiento en matemáticas aumentó en todos los niveles de grado y al mismo tiempo mantuvo un crecimiento excepcional. Los resultados de NWEA MAP Matemáticas mostraron ganancias sustanciales en el rendimiento y el crecimiento general, lo que proporciona evidencia de que las prácticas de instrucción actuales se pueden aprovechar para mejorar la competencia general de todos los grupos de estudiantes.</w:t>
            </w:r>
          </w:p>
        </w:tc>
      </w:tr>
      <w:tr>
        <w:trPr/>
        <w:tc>
          <w:tcPr>
            <w:tcW w:w="5000" w:type="pct"/>
            <w:vAlign w:val="center"/>
          </w:tcPr>
          <w:p>
            <w:pPr>
              <w:pStyle w:val="Normal"/>
            </w:pPr>
            <w:r>
              <w:t>Los apoyos del Título I y MTSS están contribuyendo a resultados positivos para los estudiantes. La implementación continua de intervencionistas, paraprofesionales de MTSS, la toma de decisiones basada en datos a través de Branching Minds y las prácticas de instrucción basadas en evidencia están produciendo un crecimiento estudiantil mensurable que se puede aprovechar para abordar las brechas de rendimiento restantes.</w:t>
            </w:r>
          </w:p>
        </w:tc>
      </w:tr>
      <w:tr>
        <w:trPr/>
        <w:tc>
          <w:tcPr>
            <w:tcW w:w="5000" w:type="pct"/>
            <w:vAlign w:val="center"/>
          </w:tcPr>
          <w:p/>
        </w:tc>
      </w:tr>
    </w:tbl>
    <w:p>
      <w:pPr>
        <w:pStyle w:val="Heading3"/>
      </w:pPr>
      <w:r>
        <w:t>Desafíos</w:t>
      </w:r>
    </w:p>
    <w:p>
      <w:pPr>
        <w:pStyle w:val="Normal"/>
      </w:pPr>
      <w:r>
        <w:t>Revise los comentarios y observaciones notables enumerados anteriormente y registre de 2 a 5 desafíos que, si se mejoraran, tendrían el mayor impacto en el logro de su Misión y Visión.</w:t>
      </w:r>
    </w:p>
    <w:tbl>
      <w:tblPr>
        <w:tblStyle w:val="TableGrid"/>
        <w:tblW w:w="5000" w:type="pct"/>
      </w:tblPr>
      <w:tblGrid>
        <w:gridCol/>
      </w:tblGrid>
      <w:tr>
        <w:trPr/>
        <w:tc>
          <w:tcPr>
            <w:tcW w:w="5000" w:type="pct"/>
            <w:vAlign w:val="center"/>
          </w:tcPr>
          <w:p>
            <w:pPr>
              <w:pStyle w:val="Normal"/>
            </w:pPr>
            <w:r>
              <w:t>Los estudiantes con discapacidades continúan demostrando las mayores brechas de rendimiento tanto en artes del lenguaje inglés como en matemáticas.</w:t>
            </w:r>
          </w:p>
        </w:tc>
      </w:tr>
      <w:tr>
        <w:trPr/>
        <w:tc>
          <w:tcPr>
            <w:tcW w:w="5000" w:type="pct"/>
            <w:vAlign w:val="center"/>
          </w:tcPr>
          <w:p>
            <w:pPr>
              <w:pStyle w:val="Normal"/>
            </w:pPr>
            <w:r>
              <w:t>Los estudiantes en desventaja económica continúan desempeñándose por debajo del grupo de todos los estudiantes en competencia en artes del lenguaje inglés y matemáticas.</w:t>
            </w:r>
          </w:p>
        </w:tc>
      </w:tr>
      <w:tr>
        <w:trPr/>
        <w:tc>
          <w:tcPr>
            <w:tcW w:w="5000" w:type="pct"/>
            <w:vAlign w:val="center"/>
          </w:tcPr>
          <w:p>
            <w:pPr>
              <w:pStyle w:val="Normal"/>
            </w:pPr>
            <w:r>
              <w:t>Aunque el crecimiento estudiantil es fuerte, el dominio general aún no ha alcanzado los niveles deseados. Aumentar el porcentaje de estudiantes que se desempeñan en los niveles competente y avanzado en las evaluaciones estatales sigue siendo una prioridad de mejora de la escuela primaria.</w:t>
            </w:r>
          </w:p>
        </w:tc>
      </w:tr>
      <w:tr>
        <w:trPr/>
        <w:tc>
          <w:tcPr>
            <w:tcW w:w="5000" w:type="pct"/>
            <w:vAlign w:val="center"/>
          </w:tcPr>
          <w:p>
            <w:pPr>
              <w:pStyle w:val="Normal"/>
            </w:pPr>
            <w:r>
              <w:t>Las diferencias de rendimiento entre grupos de estudiantes y niveles de grado indican una necesidad continua de implementación consistente de instrucción de Nivel I basada en evidencia y apoyos diferenciados.</w:t>
            </w:r>
          </w:p>
        </w:tc>
      </w:tr>
      <w:tr>
        <w:trPr/>
        <w:tc>
          <w:tcPr>
            <w:tcW w:w="5000" w:type="pct"/>
            <w:vAlign w:val="center"/>
          </w:tcPr>
          <w:p/>
        </w:tc>
      </w:tr>
    </w:tbl>
    <w:p>
      <w:pPr>
        <w:pStyle w:val="Normal"/>
      </w:pPr>
      <w:r>
        <w:br w:type="page"/>
      </w:r>
      <w:r>
        <w:lastRenderedPageBreak/>
      </w:r>
    </w:p>
    <w:p>
      <w:pPr>
        <w:pStyle w:val="Heading1"/>
      </w:pPr>
      <w:r>
        <w:t>Resumen de fortalezas y desafíos de la evaluación de necesidades</w:t>
      </w:r>
    </w:p>
    <w:p>
      <w:pPr>
        <w:pStyle w:val="Heading2"/>
      </w:pPr>
      <w:r>
        <w:t>Fortalezas</w:t>
      </w:r>
    </w:p>
    <w:p>
      <w:pPr>
        <w:pStyle w:val="Normal"/>
      </w:pPr>
      <w:r>
        <w:t>Examinar el Resumen de Fortalezas. Identifique las fortalezas que contribuyen más positivamente al logro de su misión y visión. Marque la casilla a la derecha de estas fortalezas identificadas.</w:t>
      </w:r>
    </w:p>
    <w:tbl>
      <w:tblPr>
        <w:tblStyle w:val="TableGrid"/>
        <w:tblW w:w="5000" w:type="pct"/>
      </w:tblPr>
      <w:tblGrid>
        <w:gridCol/>
        <w:gridCol/>
      </w:tblGrid>
      <w:tr>
        <w:trPr/>
        <w:tc>
          <w:tcPr>
            <w:tcW w:w="4000" w:type="pct"/>
            <w:vAlign w:val="center"/>
          </w:tcPr>
          <w:p>
            <w:pPr>
              <w:pStyle w:val="Normal"/>
            </w:pPr>
            <w:r>
              <w:t>Fortaleza</w:t>
            </w:r>
          </w:p>
        </w:tc>
        <w:tc>
          <w:tcPr>
            <w:vAlign w:val="center"/>
          </w:tcPr>
          <w:p>
            <w:pPr>
              <w:pStyle w:val="Normal"/>
            </w:pPr>
            <w:r>
              <w:t>Verificar la consideración en el plan</w:t>
            </w:r>
          </w:p>
        </w:tc>
      </w:tr>
      <w:tr>
        <w:trPr/>
        <w:tc>
          <w:tcPr>
            <w:vAlign w:val="center"/>
          </w:tcPr>
          <w:p>
            <w:pPr>
              <w:pStyle w:val="Normal"/>
            </w:pPr>
            <w:r>
              <w:t>La Primaria Paradise demostró un crecimiento académico positivo en Artes del Lenguaje Inglés, obteniendo una puntuación de crecimiento PVAAS de 77,0, que superó el estándar de crecimiento estatal de 70,0. Si bien el dominio general sigue siendo un área de mejora continua, los resultados de crecimiento de la escuela indican que las prácticas de instrucción están acelerando efectivamente el aprendizaje de los estudiantes.</w:t>
            </w:r>
          </w:p>
        </w:tc>
        <w:tc>
          <w:tcPr>
            <w:vAlign w:val="center"/>
          </w:tcPr>
          <w:p>
            <w:pPr>
              <w:pStyle w:val="Normal"/>
            </w:pPr>
            <w:r>
              <w:t>Verdadero</w:t>
            </w:r>
          </w:p>
        </w:tc>
      </w:tr>
      <w:tr>
        <w:trPr/>
        <w:tc>
          <w:tcPr>
            <w:vAlign w:val="center"/>
          </w:tcPr>
          <w:p>
            <w:pPr>
              <w:pStyle w:val="Normal"/>
            </w:pPr>
            <w:r>
              <w:t>La Primaria Paradise superó el estándar de crecimiento académico estatal en Matemáticas, obteniendo una puntuación de crecimiento PVAAS de 80,0. Estos resultados indican que los estudiantes lograron un crecimiento académico de más de un año, lo que refleja la efectividad de la instrucción de matemáticas, los apoyos de intervención y las prácticas de instrucción basadas en datos.</w:t>
            </w:r>
          </w:p>
        </w:tc>
        <w:tc>
          <w:tcPr>
            <w:vAlign w:val="center"/>
          </w:tcPr>
          <w:p>
            <w:pPr>
              <w:pStyle w:val="Normal"/>
            </w:pPr>
            <w:r>
              <w:t>Verdadero</w:t>
            </w:r>
          </w:p>
        </w:tc>
      </w:tr>
      <w:tr>
        <w:trPr/>
        <w:tc>
          <w:tcPr>
            <w:vAlign w:val="center"/>
          </w:tcPr>
          <w:p>
            <w:pPr>
              <w:pStyle w:val="Normal"/>
            </w:pPr>
            <w:r>
              <w:t>La Primaria Paradise logró una tasa de asistencia regular del 90,0%, superando el promedio estatal de 79,6% y cumpliendo con el estándar de desempeño estatal. Una asistencia sólida refleja una participación estudiantil positiva, asociaciones familiares efectivas y un clima escolar que apoya la participación estudiantil constante.</w:t>
            </w:r>
          </w:p>
        </w:tc>
        <w:tc>
          <w:tcPr>
            <w:vAlign w:val="center"/>
          </w:tcPr>
          <w:p>
            <w:pPr>
              <w:pStyle w:val="Normal"/>
            </w:pPr>
            <w:r>
              <w:t>Verdadero</w:t>
            </w:r>
          </w:p>
        </w:tc>
      </w:tr>
      <w:tr>
        <w:trPr/>
        <w:tc>
          <w:tcPr>
            <w:vAlign w:val="center"/>
          </w:tcPr>
          <w:p>
            <w:pPr>
              <w:pStyle w:val="Normal"/>
            </w:pPr>
            <w:r>
              <w:t>La Primaria Paradise logró el 100% en el punto de referencia de estándares profesionales, superando tanto el promedio estatal como la meta de desempeño estatal. Estos resultados demuestran una implementación consistente de los estándares laborales y de educación profesional de Pensilvania a través de la instrucción en el aula y experiencias de concientización profesional que preparan a los estudiantes para el futuro éxito académico y profesional.</w:t>
            </w:r>
          </w:p>
        </w:tc>
        <w:tc>
          <w:tcPr>
            <w:vAlign w:val="center"/>
          </w:tcPr>
          <w:p>
            <w:pPr>
              <w:pStyle w:val="Normal"/>
            </w:pPr>
            <w:r>
              <w:t>FALSO</w:t>
            </w:r>
          </w:p>
        </w:tc>
      </w:tr>
      <w:tr>
        <w:trPr/>
        <w:tc>
          <w:tcPr>
            <w:vAlign w:val="center"/>
          </w:tcPr>
          <w:p>
            <w:pPr>
              <w:pStyle w:val="Normal"/>
            </w:pPr>
            <w:r>
              <w:t>Los datos de lectura de NWEA MAP indican un fuerte crecimiento académico en toda la escuela, con un crecimiento general del percentil 70, lo que demuestra que los estudiantes superaron el crecimiento anual esperado.</w:t>
            </w:r>
          </w:p>
        </w:tc>
        <w:tc>
          <w:tcPr>
            <w:vAlign w:val="center"/>
          </w:tcPr>
          <w:p>
            <w:pPr>
              <w:pStyle w:val="Normal"/>
            </w:pPr>
            <w:r>
              <w:t>FALSO</w:t>
            </w:r>
          </w:p>
        </w:tc>
      </w:tr>
      <w:tr>
        <w:trPr/>
        <w:tc>
          <w:tcPr>
            <w:vAlign w:val="center"/>
          </w:tcPr>
          <w:p>
            <w:pPr>
              <w:pStyle w:val="Normal"/>
            </w:pPr>
            <w:r>
              <w:t>Más allá de la preparación profesional, las áreas académicas relacionadas no son un enfoque de nuestro plan de escuela primaria.</w:t>
            </w:r>
          </w:p>
        </w:tc>
        <w:tc>
          <w:tcPr>
            <w:vAlign w:val="center"/>
          </w:tcPr>
          <w:p>
            <w:pPr>
              <w:pStyle w:val="Normal"/>
            </w:pPr>
            <w:r>
              <w:t>FALSO</w:t>
            </w:r>
          </w:p>
        </w:tc>
      </w:tr>
      <w:tr>
        <w:trPr/>
        <w:tc>
          <w:tcPr>
            <w:vAlign w:val="center"/>
          </w:tcPr>
          <w:p>
            <w:pPr>
              <w:pStyle w:val="Normal"/>
            </w:pPr>
            <w:r>
              <w:t>El rendimiento en lectura en toda la escuela mejoró del percentil 51 en el otoño de 2025 al percentil 63 en la primavera de 2026, lo que refleja un progreso académico positivo.</w:t>
            </w:r>
          </w:p>
        </w:tc>
        <w:tc>
          <w:tcPr>
            <w:vAlign w:val="center"/>
          </w:tcPr>
          <w:p>
            <w:pPr>
              <w:pStyle w:val="Normal"/>
            </w:pPr>
            <w:r>
              <w:t>FALSO</w:t>
            </w:r>
          </w:p>
        </w:tc>
      </w:tr>
      <w:tr>
        <w:trPr/>
        <w:tc>
          <w:tcPr>
            <w:vAlign w:val="center"/>
          </w:tcPr>
          <w:p>
            <w:pPr>
              <w:pStyle w:val="Normal"/>
            </w:pPr>
            <w:r>
              <w:t>Los datos de mCLASS DIBELS 8 mostraron un aumento sustancial en los estudiantes con desempeño por encima del punto de referencia (21 % a 40 %) y una reducción en los estudiantes identificados como muy por debajo del punto de referencia (31 % a 23 %), lo que demuestra la efectividad de la instrucción e intervención de alfabetización temprana.</w:t>
            </w:r>
          </w:p>
        </w:tc>
        <w:tc>
          <w:tcPr>
            <w:vAlign w:val="center"/>
          </w:tcPr>
          <w:p>
            <w:pPr>
              <w:pStyle w:val="Normal"/>
            </w:pPr>
            <w:r>
              <w:t>FALSO</w:t>
            </w:r>
          </w:p>
        </w:tc>
      </w:tr>
      <w:tr>
        <w:trPr/>
        <w:tc>
          <w:tcPr>
            <w:vAlign w:val="center"/>
          </w:tcPr>
          <w:p>
            <w:pPr>
              <w:pStyle w:val="Normal"/>
            </w:pPr>
            <w:r>
              <w:t>NWEA MAP Reading, mCLASS DIBELS 8 y Future Ready PA Index indican un fuerte crecimiento estudiantil, lo que sugiere que la instrucción básica de alfabetización, el marco MTSS y la programación de intervención de Paradise Elementary están impactando positivamente el aprendizaje de los estudiantes.</w:t>
            </w:r>
          </w:p>
        </w:tc>
        <w:tc>
          <w:tcPr>
            <w:vAlign w:val="center"/>
          </w:tcPr>
          <w:p>
            <w:pPr>
              <w:pStyle w:val="Normal"/>
            </w:pPr>
            <w:r>
              <w:t>Verdadero</w:t>
            </w:r>
          </w:p>
        </w:tc>
      </w:tr>
      <w:tr>
        <w:trPr/>
        <w:tc>
          <w:tcPr>
            <w:vAlign w:val="center"/>
          </w:tcPr>
          <w:p>
            <w:pPr>
              <w:pStyle w:val="Normal"/>
            </w:pPr>
            <w:r>
              <w:t>Los resultados de crecimiento de NWEA MAP indican que los estudiantes lograron un crecimiento general del percentil 82, lo que demuestra un crecimiento académico mayor al esperado en comparación con las normas nacionales. Este fuerte crecimiento refleja la efectividad de la instrucción básica de matemáticas, los apoyos MTSS y las intervenciones específicas y se alinea con los resultados positivos de crecimiento en matemáticas PVAAS de la escuela.</w:t>
            </w:r>
          </w:p>
        </w:tc>
        <w:tc>
          <w:tcPr>
            <w:vAlign w:val="center"/>
          </w:tcPr>
          <w:p>
            <w:pPr>
              <w:pStyle w:val="Normal"/>
            </w:pPr>
            <w:r>
              <w:t>FALSO</w:t>
            </w:r>
          </w:p>
        </w:tc>
      </w:tr>
      <w:tr>
        <w:trPr/>
        <w:tc>
          <w:tcPr>
            <w:vAlign w:val="center"/>
          </w:tcPr>
          <w:p>
            <w:pPr>
              <w:pStyle w:val="Normal"/>
            </w:pPr>
            <w:r>
              <w:t>El rendimiento general en matemáticas aumentó del percentil 52 en el otoño de 2025 al percentil 73 en la primavera de 2026, lo que demuestra un progreso académico significativo en todos los niveles de grado e indica que los estudiantes están logrando avances hacia las expectativas de su nivel de grado.</w:t>
            </w:r>
          </w:p>
        </w:tc>
        <w:tc>
          <w:tcPr>
            <w:vAlign w:val="center"/>
          </w:tcPr>
          <w:p>
            <w:pPr>
              <w:pStyle w:val="Normal"/>
            </w:pPr>
            <w:r>
              <w:t>FALSO</w:t>
            </w:r>
          </w:p>
        </w:tc>
      </w:tr>
      <w:tr>
        <w:trPr/>
        <w:tc>
          <w:tcPr>
            <w:vAlign w:val="center"/>
          </w:tcPr>
          <w:p>
            <w:pPr>
              <w:pStyle w:val="Normal"/>
            </w:pPr>
            <w:r>
              <w:t>Los grados 5 y 6 lograron percentiles de crecimiento mediano de 93 y 95, respectivamente, mientras que el grado 1 también demostró un fuerte crecimiento en el percentil 81. Estos éxitos a nivel de grado brindan oportunidades para identificar prácticas de instrucción efectivas que se pueden compartir en toda la escuela.</w:t>
            </w:r>
          </w:p>
        </w:tc>
        <w:tc>
          <w:tcPr>
            <w:vAlign w:val="center"/>
          </w:tcPr>
          <w:p>
            <w:pPr>
              <w:pStyle w:val="Normal"/>
            </w:pPr>
            <w:r>
              <w:t>FALSO</w:t>
            </w:r>
          </w:p>
        </w:tc>
      </w:tr>
      <w:tr>
        <w:trPr/>
        <w:tc>
          <w:tcPr>
            <w:vAlign w:val="center"/>
          </w:tcPr>
          <w:p>
            <w:pPr>
              <w:pStyle w:val="Normal"/>
            </w:pPr>
            <w:r>
              <w:t>Los datos de Matemáticas de NWEA MAP se alinean estrechamente con el índice Future Ready PA y los resultados de PVAAS, lo que demuestra evidencia consistente de un fuerte crecimiento estudiantil. Esta alineación brinda confianza en que las prácticas de instrucción actuales y los sistemas MTSS están impactando positivamente el aprendizaje de los estudiantes y deben aprovecharse para aumentar aún más el dominio de las matemáticas.</w:t>
            </w:r>
          </w:p>
        </w:tc>
        <w:tc>
          <w:tcPr>
            <w:vAlign w:val="center"/>
          </w:tcPr>
          <w:p>
            <w:pPr>
              <w:pStyle w:val="Normal"/>
            </w:pPr>
            <w:r>
              <w:t>Verdadero</w:t>
            </w:r>
          </w:p>
        </w:tc>
      </w:tr>
      <w:tr>
        <w:trPr/>
        <w:tc>
          <w:tcPr>
            <w:vAlign w:val="center"/>
          </w:tcPr>
          <w:p>
            <w:pPr>
              <w:pStyle w:val="Normal"/>
            </w:pPr>
            <w:r>
              <w:t>El 100% de los estudiantes completaron sus Portafolios de preparación profesional de acuerdo con las expectativas estatales.</w:t>
            </w:r>
          </w:p>
        </w:tc>
        <w:tc>
          <w:tcPr>
            <w:vAlign w:val="center"/>
          </w:tcPr>
          <w:p>
            <w:pPr>
              <w:pStyle w:val="Normal"/>
            </w:pPr>
            <w:r>
              <w:t>FALSO</w:t>
            </w:r>
          </w:p>
        </w:tc>
      </w:tr>
      <w:tr>
        <w:trPr/>
        <w:tc>
          <w:tcPr>
            <w:vAlign w:val="center"/>
          </w:tcPr>
          <w:p>
            <w:pPr>
              <w:pStyle w:val="Normal"/>
            </w:pPr>
            <w:r>
              <w:t>Los estudiantes de varios grupos de estudiantes demostraron un fuerte crecimiento académico tanto en lectura como en matemáticas, como lo demuestran los resultados de NWEA MAP y PVAAS.</w:t>
            </w:r>
          </w:p>
        </w:tc>
        <w:tc>
          <w:tcPr>
            <w:vAlign w:val="center"/>
          </w:tcPr>
          <w:p>
            <w:pPr>
              <w:pStyle w:val="Normal"/>
            </w:pPr>
            <w:r>
              <w:t>FALSO</w:t>
            </w:r>
          </w:p>
        </w:tc>
      </w:tr>
      <w:tr>
        <w:trPr/>
        <w:tc>
          <w:tcPr>
            <w:vAlign w:val="center"/>
          </w:tcPr>
          <w:p>
            <w:pPr>
              <w:pStyle w:val="Normal"/>
            </w:pPr>
            <w:r>
              <w:t>Los resultados fundamentales de alfabetización mejoraron a lo largo del año escolar. Los datos de mCLASS DIBELS 8 mostraron un aumento en los estudiantes con un desempeño por encima del punto de referencia y una reducción en los estudiantes con un desempeño muy por debajo del punto de referencia, lo que demuestra la eficacia de la instrucción e intervención en alfabetización temprana.</w:t>
            </w:r>
          </w:p>
        </w:tc>
        <w:tc>
          <w:tcPr>
            <w:vAlign w:val="center"/>
          </w:tcPr>
          <w:p>
            <w:pPr>
              <w:pStyle w:val="Normal"/>
            </w:pPr>
            <w:r>
              <w:t>Verdadero</w:t>
            </w:r>
          </w:p>
        </w:tc>
      </w:tr>
      <w:tr>
        <w:trPr/>
        <w:tc>
          <w:tcPr>
            <w:vAlign w:val="center"/>
          </w:tcPr>
          <w:p>
            <w:pPr>
              <w:pStyle w:val="Normal"/>
            </w:pPr>
            <w:r>
              <w:t>El rendimiento en matemáticas aumentó en todos los niveles de grado y al mismo tiempo mantuvo un crecimiento excepcional. Los resultados de NWEA MAP Matemáticas mostraron ganancias sustanciales en el rendimiento y el crecimiento general, lo que proporciona evidencia de que las prácticas de instrucción actuales se pueden aprovechar para mejorar la competencia general de todos los grupos de estudiantes.</w:t>
            </w:r>
          </w:p>
        </w:tc>
        <w:tc>
          <w:tcPr>
            <w:vAlign w:val="center"/>
          </w:tcPr>
          <w:p>
            <w:pPr>
              <w:pStyle w:val="Normal"/>
            </w:pPr>
            <w:r>
              <w:t>FALSO</w:t>
            </w:r>
          </w:p>
        </w:tc>
      </w:tr>
      <w:tr>
        <w:trPr/>
        <w:tc>
          <w:tcPr>
            <w:vAlign w:val="center"/>
          </w:tcPr>
          <w:p>
            <w:pPr>
              <w:pStyle w:val="Normal"/>
            </w:pPr>
            <w:r>
              <w:t>Los apoyos del Título I y MTSS están contribuyendo a resultados positivos para los estudiantes. La implementación continua de intervencionistas, paraprofesionales de MTSS, la toma de decisiones basada en datos a través de Branching Minds y las prácticas de instrucción basadas en evidencia están produciendo un crecimiento estudiantil mensurable que se puede aprovechar para abordar las brechas de rendimiento restantes.</w:t>
            </w:r>
          </w:p>
        </w:tc>
        <w:tc>
          <w:tcPr>
            <w:vAlign w:val="center"/>
          </w:tcPr>
          <w:p>
            <w:pPr>
              <w:pStyle w:val="Normal"/>
            </w:pPr>
            <w:r>
              <w:t>Verdadero</w:t>
            </w:r>
          </w:p>
        </w:tc>
      </w:tr>
      <w:tr>
        <w:trPr/>
        <w:tc>
          <w:tcPr>
            <w:vAlign w:val="center"/>
          </w:tcPr>
          <w:p>
            <w:pPr>
              <w:pStyle w:val="Normal"/>
            </w:pPr>
            <w:r>
              <w:t>Utilice una variedad de evaluaciones (incluidas las diagnósticas, formativas y sumativas) para monitorear el aprendizaje de los estudiantes y ajustar los programas y las prácticas de instrucción.</w:t>
            </w:r>
          </w:p>
        </w:tc>
        <w:tc>
          <w:tcPr>
            <w:vAlign w:val="center"/>
          </w:tcPr>
          <w:p>
            <w:pPr>
              <w:pStyle w:val="Normal"/>
            </w:pPr>
            <w:r>
              <w:t>FALSO</w:t>
            </w:r>
          </w:p>
        </w:tc>
      </w:tr>
      <w:tr>
        <w:trPr/>
        <w:tc>
          <w:tcPr>
            <w:vAlign w:val="center"/>
          </w:tcPr>
          <w:p>
            <w:pPr>
              <w:pStyle w:val="Normal"/>
            </w:pPr>
            <w:r>
              <w:t>Promover y mantener un ambiente escolar positivo donde todos los miembros se sientan bienvenidos, apoyados y seguros en la escuela: social, emocional, intelectual y físicamente.</w:t>
            </w:r>
          </w:p>
        </w:tc>
        <w:tc>
          <w:tcPr>
            <w:vAlign w:val="center"/>
          </w:tcPr>
          <w:p>
            <w:pPr>
              <w:pStyle w:val="Normal"/>
            </w:pPr>
            <w:r>
              <w:t>FALSO</w:t>
            </w:r>
          </w:p>
        </w:tc>
      </w:tr>
      <w:tr>
        <w:trPr/>
        <w:tc>
          <w:tcPr>
            <w:vAlign w:val="center"/>
          </w:tcPr>
          <w:p>
            <w:pPr>
              <w:pStyle w:val="Normal"/>
            </w:pPr>
            <w:r>
              <w:t>Proporcionar retroalimentación y apoyo frecuentes, oportunos y sistemáticos sobre las prácticas de instrucción.</w:t>
            </w:r>
          </w:p>
        </w:tc>
        <w:tc>
          <w:tcPr>
            <w:vAlign w:val="center"/>
          </w:tcPr>
          <w:p>
            <w:pPr>
              <w:pStyle w:val="Normal"/>
            </w:pPr>
            <w:r>
              <w:t>FALSO</w:t>
            </w:r>
          </w:p>
        </w:tc>
      </w:tr>
      <w:tr>
        <w:trPr/>
        <w:tc>
          <w:tcPr>
            <w:vAlign w:val="center"/>
          </w:tcPr>
          <w:p>
            <w:pPr>
              <w:pStyle w:val="Normal"/>
            </w:pPr>
            <w:r>
              <w:t>Desarrollar capacidad de liderazgo y empoderar al personal en el desarrollo y la implementación exitosa de iniciativas que sirvan mejor a los estudiantes, el personal y la escuela.</w:t>
            </w:r>
          </w:p>
        </w:tc>
        <w:tc>
          <w:tcPr>
            <w:vAlign w:val="center"/>
          </w:tcPr>
          <w:p>
            <w:pPr>
              <w:pStyle w:val="Normal"/>
            </w:pPr>
            <w:r>
              <w:t>FALSO</w:t>
            </w:r>
          </w:p>
        </w:tc>
      </w:tr>
    </w:tbl>
    <w:p>
      <w:pPr>
        <w:pStyle w:val="Heading2"/>
      </w:pPr>
      <w:r>
        <w:t>Desafíos</w:t>
      </w:r>
    </w:p>
    <w:p>
      <w:pPr>
        <w:pStyle w:val="Normal"/>
      </w:pPr>
      <w:r>
        <w:t>Examinar el resumen de desafíos. Identifique los desafíos que son más apremiantes en este momento para su escuela y que, si se mejoraran, tendrían el impacto más pronunciado en el logro de su misión y visión. Marque la casilla a la derecha de estos desafíos identificados.</w:t>
      </w:r>
    </w:p>
    <w:tbl>
      <w:tblPr>
        <w:tblStyle w:val="TableGrid"/>
        <w:tblW w:w="5000" w:type="pct"/>
      </w:tblPr>
      <w:tblGrid>
        <w:gridCol/>
        <w:gridCol/>
      </w:tblGrid>
      <w:tr>
        <w:trPr/>
        <w:tc>
          <w:tcPr>
            <w:tcW w:w="4000" w:type="pct"/>
            <w:vAlign w:val="center"/>
          </w:tcPr>
          <w:p>
            <w:pPr>
              <w:pStyle w:val="Normal"/>
            </w:pPr>
            <w:r>
              <w:t>Fortaleza</w:t>
            </w:r>
          </w:p>
        </w:tc>
        <w:tc>
          <w:tcPr>
            <w:vAlign w:val="center"/>
          </w:tcPr>
          <w:p>
            <w:pPr>
              <w:pStyle w:val="Normal"/>
            </w:pPr>
            <w:r>
              <w:t>Verificar la consideración en el plan</w:t>
            </w:r>
          </w:p>
        </w:tc>
      </w:tr>
      <w:tr>
        <w:trPr/>
        <w:tc>
          <w:tcPr>
            <w:vAlign w:val="center"/>
          </w:tcPr>
          <w:p>
            <w:pPr>
              <w:pStyle w:val="Normal"/>
            </w:pPr>
            <w:r>
              <w:t>El grupo de todos los estudiantes de la Escuela Primaria Paradise logró un 50,2 % de competencia en artes del lenguaje y literatura en inglés, con un desempeño ligeramente superior al promedio estatal de 49,9 %. Si bien el desempeño general superó el promedio estatal, la escuela no alcanzó su objetivo de mejora provisional. Las brechas de rendimiento persisten entre los estudiantes económicamente desfavorecidos y los estudiantes con discapacidades, lo que indica una necesidad continua de apoyo educativo específico mientras se aprovecha el crecimiento académico positivo de la escuela.</w:t>
            </w:r>
          </w:p>
        </w:tc>
        <w:tc>
          <w:tcPr>
            <w:vAlign w:val="center"/>
          </w:tcPr>
          <w:p>
            <w:pPr>
              <w:pStyle w:val="Normal"/>
            </w:pPr>
            <w:r>
              <w:t>FALSO</w:t>
            </w:r>
          </w:p>
        </w:tc>
      </w:tr>
      <w:tr>
        <w:trPr/>
        <w:tc>
          <w:tcPr>
            <w:vAlign w:val="center"/>
          </w:tcPr>
          <w:p>
            <w:pPr>
              <w:pStyle w:val="Normal"/>
            </w:pPr>
            <w:r>
              <w:t>Los estudiantes con discapacidades lograron un 17,6 % de competencia en artes del lenguaje inglés/literatura, sustancialmente por debajo del desempeño de todos los grupos de estudiantes. Se necesita un énfasis continuo en la instrucción de Nivel I basada en evidencia, instrucción especialmente diseñada e intervenciones MTSS específicas para mejorar los resultados de rendimiento de este subgrupo.</w:t>
            </w:r>
          </w:p>
        </w:tc>
        <w:tc>
          <w:tcPr>
            <w:vAlign w:val="center"/>
          </w:tcPr>
          <w:p>
            <w:pPr>
              <w:pStyle w:val="Normal"/>
            </w:pPr>
            <w:r>
              <w:t>FALSO</w:t>
            </w:r>
          </w:p>
        </w:tc>
      </w:tr>
      <w:tr>
        <w:trPr/>
        <w:tc>
          <w:tcPr>
            <w:vAlign w:val="center"/>
          </w:tcPr>
          <w:p>
            <w:pPr>
              <w:pStyle w:val="Normal"/>
            </w:pPr>
            <w:r>
              <w:t>Los estudiantes económicamente desfavorecidos lograron un 42,6 % de competencia en artes del lenguaje inglés/literatura, por debajo del desempeño del grupo de todos los estudiantes. Dado que casi el 45% de los estudiantes de la Primaria Paradise están en desventaja económica, las intervenciones continuas respaldadas por el Título I, la programación MTSS y los esfuerzos de participación familiar siguen siendo estrategias importantes para aumentar el rendimiento estudiantil.</w:t>
            </w:r>
          </w:p>
        </w:tc>
        <w:tc>
          <w:tcPr>
            <w:vAlign w:val="center"/>
          </w:tcPr>
          <w:p>
            <w:pPr>
              <w:pStyle w:val="Normal"/>
            </w:pPr>
            <w:r>
              <w:t>FALSO</w:t>
            </w:r>
          </w:p>
        </w:tc>
      </w:tr>
      <w:tr>
        <w:trPr/>
        <w:tc>
          <w:tcPr>
            <w:vAlign w:val="center"/>
          </w:tcPr>
          <w:p>
            <w:pPr>
              <w:pStyle w:val="Normal"/>
            </w:pPr>
            <w:r>
              <w:t>El grupo de todos los estudiantes de la Escuela Primaria Paradise logró un 46,4% de competencia en Matemáticas, superando el promedio estatal de 41,7%. Aunque el desempeño general estuvo por encima del promedio estatal, la escuela no alcanzó su objetivo de mejora provisional. Siguen existiendo brechas de rendimiento para los estudiantes económicamente desfavorecidos y los estudiantes con discapacidades, lo que indica la necesidad de continuar fortaleciendo la instrucción básica y las intervenciones específicas.</w:t>
            </w:r>
          </w:p>
        </w:tc>
        <w:tc>
          <w:tcPr>
            <w:vAlign w:val="center"/>
          </w:tcPr>
          <w:p>
            <w:pPr>
              <w:pStyle w:val="Normal"/>
            </w:pPr>
            <w:r>
              <w:t>FALSO</w:t>
            </w:r>
          </w:p>
        </w:tc>
      </w:tr>
      <w:tr>
        <w:trPr/>
        <w:tc>
          <w:tcPr>
            <w:vAlign w:val="center"/>
          </w:tcPr>
          <w:p>
            <w:pPr>
              <w:pStyle w:val="Normal"/>
            </w:pPr>
            <w:r>
              <w:t>Los estudiantes con discapacidades lograron un 11,8% de competencia en Matemáticas, sustancialmente por debajo del grupo de todos los estudiantes. Se necesita un énfasis continuo en la instrucción de matemáticas basada en evidencia, instrucción especialmente diseñada e intervenciones MTSS específicas para mejorar el rendimiento de este subgrupo.</w:t>
            </w:r>
          </w:p>
        </w:tc>
        <w:tc>
          <w:tcPr>
            <w:vAlign w:val="center"/>
          </w:tcPr>
          <w:p>
            <w:pPr>
              <w:pStyle w:val="Normal"/>
            </w:pPr>
            <w:r>
              <w:t>FALSO</w:t>
            </w:r>
          </w:p>
        </w:tc>
      </w:tr>
      <w:tr>
        <w:trPr/>
        <w:tc>
          <w:tcPr>
            <w:vAlign w:val="center"/>
          </w:tcPr>
          <w:p>
            <w:pPr>
              <w:pStyle w:val="Normal"/>
            </w:pPr>
            <w:r>
              <w:t>Los estudiantes económicamente desfavorecidos lograron un 37,0 % de competencia en Matemáticas, por debajo del rendimiento del grupo de todos los estudiantes. La implementación continua de los servicios de intervención respaldados por el Título I, la programación MTSS y los apoyos educativos específicos serán importantes para aumentar el rendimiento en matemáticas de este subgrupo.</w:t>
            </w:r>
          </w:p>
        </w:tc>
        <w:tc>
          <w:tcPr>
            <w:vAlign w:val="center"/>
          </w:tcPr>
          <w:p>
            <w:pPr>
              <w:pStyle w:val="Normal"/>
            </w:pPr>
            <w:r>
              <w:t>FALSO</w:t>
            </w:r>
          </w:p>
        </w:tc>
      </w:tr>
      <w:tr>
        <w:trPr/>
        <w:tc>
          <w:tcPr>
            <w:vAlign w:val="center"/>
          </w:tcPr>
          <w:p>
            <w:pPr>
              <w:pStyle w:val="Normal"/>
            </w:pPr>
            <w:r>
              <w:t>Si bien los estudiantes demostraron un fuerte crecimiento, los datos de rendimiento indican oportunidades continuas para aumentar el porcentaje de estudiantes que se desempeñan en las bandas de rendimiento más altas y cumplen con las expectativas de nivel de grado.</w:t>
            </w:r>
          </w:p>
        </w:tc>
        <w:tc>
          <w:tcPr>
            <w:vAlign w:val="center"/>
          </w:tcPr>
          <w:p>
            <w:pPr>
              <w:pStyle w:val="Normal"/>
            </w:pPr>
            <w:r>
              <w:t>FALSO</w:t>
            </w:r>
          </w:p>
        </w:tc>
      </w:tr>
      <w:tr>
        <w:trPr/>
        <w:tc>
          <w:tcPr>
            <w:vAlign w:val="center"/>
          </w:tcPr>
          <w:p>
            <w:pPr>
              <w:pStyle w:val="Normal"/>
            </w:pPr>
            <w:r>
              <w:t>Los resultados de lectura de NWEA MAP indican que los grados 4 y 5 demostraron un rendimiento general más bajo que otros niveles de grado, lo que sugiere la necesidad de apoyo educativo continuo e intervenciones específicas.</w:t>
            </w:r>
          </w:p>
        </w:tc>
        <w:tc>
          <w:tcPr>
            <w:vAlign w:val="center"/>
          </w:tcPr>
          <w:p>
            <w:pPr>
              <w:pStyle w:val="Normal"/>
            </w:pPr>
            <w:r>
              <w:t>FALSO</w:t>
            </w:r>
          </w:p>
        </w:tc>
      </w:tr>
      <w:tr>
        <w:trPr/>
        <w:tc>
          <w:tcPr>
            <w:vAlign w:val="center"/>
          </w:tcPr>
          <w:p>
            <w:pPr>
              <w:pStyle w:val="Normal"/>
            </w:pPr>
            <w:r>
              <w:t>Aunque el desempeño en DIBELS mejoró, el 34% de los estudiantes permanecieron en las categorías Muy por debajo o por debajo del punto de referencia al final del año, lo que indica una necesidad continua de intervención sistemática y seguimiento del progreso.</w:t>
            </w:r>
          </w:p>
        </w:tc>
        <w:tc>
          <w:tcPr>
            <w:vAlign w:val="center"/>
          </w:tcPr>
          <w:p>
            <w:pPr>
              <w:pStyle w:val="Normal"/>
            </w:pPr>
            <w:r>
              <w:t>FALSO</w:t>
            </w:r>
          </w:p>
        </w:tc>
      </w:tr>
      <w:tr>
        <w:trPr/>
        <w:tc>
          <w:tcPr>
            <w:vAlign w:val="center"/>
          </w:tcPr>
          <w:p>
            <w:pPr>
              <w:pStyle w:val="Normal"/>
            </w:pPr>
            <w:r>
              <w:t>Los datos de las evaluaciones locales respaldan la necesidad de fortalecer la instrucción básica de alfabetización mientras se continúa con la intervención específica, el monitoreo del progreso y la toma de decisiones de instrucción basada en datos para aumentar la competencia y cerrar las brechas de rendimiento en todos los niveles de grado.</w:t>
            </w:r>
          </w:p>
        </w:tc>
        <w:tc>
          <w:tcPr>
            <w:vAlign w:val="center"/>
          </w:tcPr>
          <w:p>
            <w:pPr>
              <w:pStyle w:val="Normal"/>
            </w:pPr>
            <w:r>
              <w:t>FALSO</w:t>
            </w:r>
          </w:p>
        </w:tc>
      </w:tr>
      <w:tr>
        <w:trPr/>
        <w:tc>
          <w:tcPr>
            <w:vAlign w:val="center"/>
          </w:tcPr>
          <w:p>
            <w:pPr>
              <w:pStyle w:val="Normal"/>
            </w:pPr>
            <w:r>
              <w:t>Aunque los estudiantes demostraron un crecimiento académico excepcional, aumentar el porcentaje de estudiantes que se desempeñan en niveles competentes y avanzados sigue siendo una prioridad. El enfoque continuo en la enseñanza de matemáticas de Nivel I de alta calidad ayudará a traducir un fuerte crecimiento en niveles más altos de rendimiento en las evaluaciones estatales.</w:t>
            </w:r>
          </w:p>
        </w:tc>
        <w:tc>
          <w:tcPr>
            <w:vAlign w:val="center"/>
          </w:tcPr>
          <w:p>
            <w:pPr>
              <w:pStyle w:val="Normal"/>
            </w:pPr>
            <w:r>
              <w:t>FALSO</w:t>
            </w:r>
          </w:p>
        </w:tc>
      </w:tr>
      <w:tr>
        <w:trPr/>
        <w:tc>
          <w:tcPr>
            <w:vAlign w:val="center"/>
          </w:tcPr>
          <w:p>
            <w:pPr>
              <w:pStyle w:val="Normal"/>
            </w:pPr>
            <w:r>
              <w:t>Los datos de rendimiento a nivel de grado indican que algunos grados, particularmente el cuarto grado, obtuvieron resultados por debajo del nivel de rendimiento escolar general. El análisis continuo de las prácticas de instrucción y los apoyos específicos ayudarán a garantizar un rendimiento constante en matemáticas en todos los niveles de grado.</w:t>
            </w:r>
          </w:p>
        </w:tc>
        <w:tc>
          <w:tcPr>
            <w:vAlign w:val="center"/>
          </w:tcPr>
          <w:p>
            <w:pPr>
              <w:pStyle w:val="Normal"/>
            </w:pPr>
            <w:r>
              <w:t>FALSO</w:t>
            </w:r>
          </w:p>
        </w:tc>
      </w:tr>
      <w:tr>
        <w:trPr/>
        <w:tc>
          <w:tcPr>
            <w:vAlign w:val="center"/>
          </w:tcPr>
          <w:p>
            <w:pPr>
              <w:pStyle w:val="Normal"/>
            </w:pPr>
            <w:r>
              <w:t>Si bien el rendimiento escolar mejoró, el 19% de los estudiantes permaneció por debajo del percentil 40 a nivel nacional (8% en el percentil 1 al 20 y 11% en el percentil 21 al 40). Fortalecer la instrucción básica y ampliar las intervenciones específicas ayudará a que más estudiantes avancen hacia las bandas de rendimiento competentes.</w:t>
            </w:r>
          </w:p>
        </w:tc>
        <w:tc>
          <w:tcPr>
            <w:vAlign w:val="center"/>
          </w:tcPr>
          <w:p>
            <w:pPr>
              <w:pStyle w:val="Normal"/>
            </w:pPr>
            <w:r>
              <w:t>FALSO</w:t>
            </w:r>
          </w:p>
        </w:tc>
      </w:tr>
      <w:tr>
        <w:trPr/>
        <w:tc>
          <w:tcPr>
            <w:vAlign w:val="center"/>
          </w:tcPr>
          <w:p>
            <w:pPr>
              <w:pStyle w:val="Normal"/>
            </w:pPr>
            <w:r>
              <w:t>Los datos indican que si bien los estudiantes están logrando un fuerte crecimiento académico, el uso sostenido de los datos de las evaluaciones formativas, el seguimiento del progreso, la instrucción diferenciada y las intervenciones de Nivel II y III serán fundamentales para acelerar el rendimiento de los estudiantes que aún no han alcanzado las expectativas de su nivel de grado.</w:t>
            </w:r>
          </w:p>
        </w:tc>
        <w:tc>
          <w:tcPr>
            <w:vAlign w:val="center"/>
          </w:tcPr>
          <w:p>
            <w:pPr>
              <w:pStyle w:val="Normal"/>
            </w:pPr>
            <w:r>
              <w:t>FALSO</w:t>
            </w:r>
          </w:p>
        </w:tc>
      </w:tr>
      <w:tr>
        <w:trPr/>
        <w:tc>
          <w:tcPr>
            <w:vAlign w:val="center"/>
          </w:tcPr>
          <w:p>
            <w:pPr>
              <w:pStyle w:val="Normal"/>
            </w:pPr>
            <w:r>
              <w:t>Continuar involucrando al 100% de los estudiantes para que completen su portafolio de preparación profesional.</w:t>
            </w:r>
          </w:p>
        </w:tc>
        <w:tc>
          <w:tcPr>
            <w:vAlign w:val="center"/>
          </w:tcPr>
          <w:p>
            <w:pPr>
              <w:pStyle w:val="Normal"/>
            </w:pPr>
            <w:r>
              <w:t>FALSO</w:t>
            </w:r>
          </w:p>
        </w:tc>
      </w:tr>
      <w:tr>
        <w:trPr/>
        <w:tc>
          <w:tcPr>
            <w:vAlign w:val="center"/>
          </w:tcPr>
          <w:p>
            <w:pPr>
              <w:pStyle w:val="Normal"/>
            </w:pPr>
            <w:r>
              <w:t>Más allá de la preparación profesional, las áreas académicas relacionadas no son un enfoque de nuestro plan de escuela primaria.</w:t>
            </w:r>
          </w:p>
        </w:tc>
        <w:tc>
          <w:tcPr>
            <w:vAlign w:val="center"/>
          </w:tcPr>
          <w:p>
            <w:pPr>
              <w:pStyle w:val="Normal"/>
            </w:pPr>
            <w:r>
              <w:t>FALSO</w:t>
            </w:r>
          </w:p>
        </w:tc>
      </w:tr>
      <w:tr>
        <w:trPr/>
        <w:tc>
          <w:tcPr>
            <w:vAlign w:val="center"/>
          </w:tcPr>
          <w:p>
            <w:pPr>
              <w:pStyle w:val="Normal"/>
            </w:pPr>
            <w:r>
              <w:t>Los estudiantes con discapacidades continúan demostrando las mayores brechas de rendimiento tanto en artes del lenguaje inglés como en matemáticas.</w:t>
            </w:r>
          </w:p>
        </w:tc>
        <w:tc>
          <w:tcPr>
            <w:vAlign w:val="center"/>
          </w:tcPr>
          <w:p>
            <w:pPr>
              <w:pStyle w:val="Normal"/>
            </w:pPr>
            <w:r>
              <w:t>Verdadero</w:t>
            </w:r>
          </w:p>
        </w:tc>
      </w:tr>
      <w:tr>
        <w:trPr/>
        <w:tc>
          <w:tcPr>
            <w:vAlign w:val="center"/>
          </w:tcPr>
          <w:p>
            <w:pPr>
              <w:pStyle w:val="Normal"/>
            </w:pPr>
            <w:r>
              <w:t>Los estudiantes en desventaja económica continúan desempeñándose por debajo del grupo de todos los estudiantes en competencia en artes del lenguaje inglés y matemáticas.</w:t>
            </w:r>
          </w:p>
        </w:tc>
        <w:tc>
          <w:tcPr>
            <w:vAlign w:val="center"/>
          </w:tcPr>
          <w:p>
            <w:pPr>
              <w:pStyle w:val="Normal"/>
            </w:pPr>
            <w:r>
              <w:t>Verdadero</w:t>
            </w:r>
          </w:p>
        </w:tc>
      </w:tr>
      <w:tr>
        <w:trPr/>
        <w:tc>
          <w:tcPr>
            <w:vAlign w:val="center"/>
          </w:tcPr>
          <w:p>
            <w:pPr>
              <w:pStyle w:val="Normal"/>
            </w:pPr>
            <w:r>
              <w:t>Aunque el crecimiento estudiantil es fuerte, el dominio general aún no ha alcanzado los niveles deseados. Aumentar el porcentaje de estudiantes que se desempeñan en los niveles competente y avanzado en las evaluaciones estatales sigue siendo una prioridad de mejora de la escuela primaria.</w:t>
            </w:r>
          </w:p>
        </w:tc>
        <w:tc>
          <w:tcPr>
            <w:vAlign w:val="center"/>
          </w:tcPr>
          <w:p>
            <w:pPr>
              <w:pStyle w:val="Normal"/>
            </w:pPr>
            <w:r>
              <w:t>Verdadero</w:t>
            </w:r>
          </w:p>
        </w:tc>
      </w:tr>
      <w:tr>
        <w:trPr/>
        <w:tc>
          <w:tcPr>
            <w:vAlign w:val="center"/>
          </w:tcPr>
          <w:p>
            <w:pPr>
              <w:pStyle w:val="Normal"/>
            </w:pPr>
            <w:r>
              <w:t>Las diferencias de rendimiento entre grupos de estudiantes y niveles de grado indican una necesidad continua de implementación consistente de instrucción de Nivel I basada en evidencia y apoyos diferenciados.</w:t>
            </w:r>
          </w:p>
        </w:tc>
        <w:tc>
          <w:tcPr>
            <w:vAlign w:val="center"/>
          </w:tcPr>
          <w:p>
            <w:pPr>
              <w:pStyle w:val="Normal"/>
            </w:pPr>
            <w:r>
              <w:t>Verdadero</w:t>
            </w:r>
          </w:p>
        </w:tc>
      </w:tr>
      <w:tr>
        <w:trPr/>
        <w:tc>
          <w:tcPr>
            <w:vAlign w:val="center"/>
          </w:tcPr>
          <w:p>
            <w:pPr>
              <w:pStyle w:val="Normal"/>
            </w:pPr>
            <w:r>
              <w:t>Monitorear y evaluar el impacto del aprendizaje profesional en las prácticas del personal y el aprendizaje de los estudiantes.</w:t>
            </w:r>
          </w:p>
        </w:tc>
        <w:tc>
          <w:tcPr>
            <w:vAlign w:val="center"/>
          </w:tcPr>
          <w:p>
            <w:pPr>
              <w:pStyle w:val="Normal"/>
            </w:pPr>
            <w:r>
              <w:t>FALSO</w:t>
            </w:r>
          </w:p>
        </w:tc>
      </w:tr>
      <w:tr>
        <w:trPr/>
        <w:tc>
          <w:tcPr>
            <w:vAlign w:val="center"/>
          </w:tcPr>
          <w:p>
            <w:pPr>
              <w:pStyle w:val="Normal"/>
            </w:pPr>
            <w:r>
              <w:t>Implementar estrategias basadas en evidencia para involucrar a las familias en el apoyo al aprendizaje.</w:t>
            </w:r>
          </w:p>
        </w:tc>
        <w:tc>
          <w:tcPr>
            <w:vAlign w:val="center"/>
          </w:tcPr>
          <w:p>
            <w:pPr>
              <w:pStyle w:val="Normal"/>
            </w:pPr>
            <w:r>
              <w:t>Verdadero</w:t>
            </w:r>
          </w:p>
        </w:tc>
      </w:tr>
      <w:tr>
        <w:trPr/>
        <w:tc>
          <w:tcPr>
            <w:vAlign w:val="center"/>
          </w:tcPr>
          <w:p>
            <w:pPr>
              <w:pStyle w:val="Normal"/>
            </w:pPr>
            <w:r>
              <w:t>Identificar las necesidades de aprendizaje profesional a través del análisis de una variedad de datos.</w:t>
            </w:r>
          </w:p>
        </w:tc>
        <w:tc>
          <w:tcPr>
            <w:vAlign w:val="center"/>
          </w:tcPr>
          <w:p>
            <w:pPr>
              <w:pStyle w:val="Normal"/>
            </w:pPr>
            <w:r>
              <w:t>FALSO</w:t>
            </w:r>
          </w:p>
        </w:tc>
      </w:tr>
    </w:tbl>
    <w:p>
      <w:pPr>
        <w:pStyle w:val="Heading2"/>
      </w:pPr>
      <w:r>
        <w:t>Observaciones/Patrones más notables</w:t>
      </w:r>
    </w:p>
    <w:p>
      <w:pPr>
        <w:pStyle w:val="Normal"/>
      </w:pPr>
      <w:r>
        <w:t>En el espacio provisto, registre cualquiera de los comentarios y observaciones notables realizadas mientras su equipo trabajó en la evaluación de necesidades que se destacan como importantes para los desafíos que marcó para su consideración en su plan integral.</w:t>
      </w:r>
    </w:p>
    <w:p>
      <w:pPr>
        <w:pStyle w:val="Normal"/>
      </w:pPr>
      <w:r>
        <w:t>A lo largo de la evaluación de necesidades, múltiples fuentes de datos, incluido el índice Future Ready PA, PVAAS, NWEA MAP Growth y mCLASS DIBELS 8, indicaron consistentemente que los estudiantes de Paradise Elementary están demostrando un fuerte crecimiento académico mientras que el dominio general permanece por debajo de los objetivos provisionales de la escuela. Los desafíos más importantes se centran en aumentar el dominio de las artes del lenguaje inglés y las matemáticas, particularmente para los estudiantes con discapacidades y los estudiantes en desventaja económica. El equipo también identificó la necesidad continua de fortalecer la instrucción de Nivel I, implementar intervenciones MTSS específicas, utilizar el monitoreo continuo del progreso y la toma de decisiones basada en datos, y ampliar oportunidades significativas de participación familiar. Estos hallazgos refuerzan la importancia de aprovechar los recursos de Título I y Título IV, incluidos intervencionistas, paraprofesionales de MTSS, Branching Minds, programación de participación familiar e iniciativas de clima escolar positivo, para acelerar el rendimiento y reducir las brechas de desempeño mientras se aprovecha el crecimiento demostrado de la escuela.</w:t>
      </w:r>
    </w:p>
    <w:p>
      <w:pPr>
        <w:pStyle w:val="Normal"/>
      </w:pPr>
      <w:r>
        <w:br w:type="page"/>
      </w:r>
      <w:r>
        <w:lastRenderedPageBreak/>
      </w:r>
    </w:p>
    <w:p>
      <w:pPr>
        <w:pStyle w:val="Heading1"/>
      </w:pPr>
      <w:r>
        <w:t>Analizando (Fortalezas y Desafíos)</w:t>
      </w:r>
    </w:p>
    <w:p>
      <w:pPr>
        <w:pStyle w:val="Heading2"/>
      </w:pPr>
      <w:r>
        <w:t>Analizando desafíos</w:t>
      </w:r>
    </w:p>
    <w:tbl>
      <w:tblPr>
        <w:tblStyle w:val="TableGrid"/>
        <w:tblW w:w="5000" w:type="pct"/>
      </w:tblPr>
      <w:tblGrid>
        <w:gridCol/>
        <w:gridCol/>
        <w:gridCol/>
      </w:tblGrid>
      <w:tr>
        <w:trPr/>
        <w:tc>
          <w:tcPr>
            <w:vAlign w:val="center"/>
          </w:tcPr>
          <w:p>
            <w:pPr>
              <w:pStyle w:val="Normal"/>
            </w:pPr>
            <w:r>
              <w:rPr>
                <w:b/>
              </w:rPr>
              <w:t>Analizando desafíos</w:t>
            </w:r>
          </w:p>
        </w:tc>
        <w:tc>
          <w:tcPr>
            <w:vAlign w:val="center"/>
          </w:tcPr>
          <w:p>
            <w:pPr>
              <w:pStyle w:val="Normal"/>
            </w:pPr>
            <w:r>
              <w:rPr>
                <w:b/>
              </w:rPr>
              <w:t>Puntos de discusión</w:t>
            </w:r>
          </w:p>
        </w:tc>
        <w:tc>
          <w:tcPr>
            <w:vAlign w:val="center"/>
          </w:tcPr>
          <w:p>
            <w:pPr>
              <w:pStyle w:val="Normal"/>
            </w:pPr>
            <w:r>
              <w:rPr>
                <w:b/>
              </w:rPr>
              <w:t>Verificar prioridad</w:t>
            </w:r>
          </w:p>
        </w:tc>
      </w:tr>
      <w:tr>
        <w:trPr/>
        <w:tc>
          <w:tcPr>
            <w:vAlign w:val="center"/>
          </w:tcPr>
          <w:p>
            <w:pPr>
              <w:pStyle w:val="Normal"/>
            </w:pPr>
            <w:r>
              <w:t>Los estudiantes con discapacidades continúan demostrando las mayores brechas de rendimiento tanto en artes del lenguaje inglés como en matemáticas.</w:t>
            </w:r>
          </w:p>
        </w:tc>
        <w:tc>
          <w:tcPr>
            <w:vAlign w:val="center"/>
          </w:tcPr>
          <w:p>
            <w:pPr>
              <w:pStyle w:val="Normal"/>
            </w:pPr>
            <w:r>
              <w:t>Los estudiantes con discapacidades requieren apoyos educativos cada vez más intensivos para acceder a los estándares de su nivel de grado. El fortalecimiento continuo de la instrucción especialmente diseñada, la colaboración entre los maestros de educación general y especial, la implementación consistente del MTSS y el monitoreo frecuente del progreso ayudarán a mejorar los resultados académicos y reducir las brechas de rendimiento.</w:t>
            </w:r>
          </w:p>
        </w:tc>
        <w:tc>
          <w:tcPr>
            <w:vAlign w:val="center"/>
          </w:tcPr>
          <w:p>
            <w:pPr>
              <w:pStyle w:val="Normal"/>
            </w:pPr>
            <w:r>
              <w:t>Verdadero</w:t>
            </w:r>
          </w:p>
        </w:tc>
      </w:tr>
      <w:tr>
        <w:trPr/>
        <w:tc>
          <w:tcPr>
            <w:vAlign w:val="center"/>
          </w:tcPr>
          <w:p>
            <w:pPr>
              <w:pStyle w:val="Normal"/>
            </w:pPr>
            <w:r>
              <w:t>Los estudiantes en desventaja económica continúan desempeñándose por debajo del grupo de todos los estudiantes en competencia en artes del lenguaje inglés y matemáticas.</w:t>
            </w:r>
          </w:p>
        </w:tc>
        <w:tc>
          <w:tcPr>
            <w:vAlign w:val="center"/>
          </w:tcPr>
          <w:p/>
        </w:tc>
        <w:tc>
          <w:tcPr>
            <w:vAlign w:val="center"/>
          </w:tcPr>
          <w:p>
            <w:pPr>
              <w:pStyle w:val="Normal"/>
            </w:pPr>
            <w:r>
              <w:t>FALSO</w:t>
            </w:r>
          </w:p>
        </w:tc>
      </w:tr>
      <w:tr>
        <w:trPr/>
        <w:tc>
          <w:tcPr>
            <w:vAlign w:val="center"/>
          </w:tcPr>
          <w:p>
            <w:pPr>
              <w:pStyle w:val="Normal"/>
            </w:pPr>
            <w:r>
              <w:t>Aunque el crecimiento estudiantil es fuerte, el dominio general aún no ha alcanzado los niveles deseados. Aumentar el porcentaje de estudiantes que se desempeñan en los niveles competente y avanzado en las evaluaciones estatales sigue siendo una prioridad de mejora de la escuela primaria.</w:t>
            </w:r>
          </w:p>
        </w:tc>
        <w:tc>
          <w:tcPr>
            <w:vAlign w:val="center"/>
          </w:tcPr>
          <w:p>
            <w:pPr>
              <w:pStyle w:val="Normal"/>
            </w:pPr>
            <w:r>
              <w:t>Aunque los estudiantes demuestran consistentemente un fuerte crecimiento académico, la escuela aún no ha traducido ese crecimiento en competencia para todos los estudiantes. Se necesita un perfeccionamiento continuo de la instrucción de Nivel I, mayores oportunidades para un aprendizaje riguroso a nivel de grado y el uso sistemático de datos de evaluaciones formativas para acelerar el rendimiento y aumentar el porcentaje de estudiantes que cumplen con los estándares académicos de Pensilvania.</w:t>
            </w:r>
          </w:p>
        </w:tc>
        <w:tc>
          <w:tcPr>
            <w:vAlign w:val="center"/>
          </w:tcPr>
          <w:p>
            <w:pPr>
              <w:pStyle w:val="Normal"/>
            </w:pPr>
            <w:r>
              <w:t>Verdadero</w:t>
            </w:r>
          </w:p>
        </w:tc>
      </w:tr>
      <w:tr>
        <w:trPr/>
        <w:tc>
          <w:tcPr>
            <w:vAlign w:val="center"/>
          </w:tcPr>
          <w:p>
            <w:pPr>
              <w:pStyle w:val="Normal"/>
            </w:pPr>
            <w:r>
              <w:t>Las diferencias de rendimiento entre grupos de estudiantes y niveles de grado indican una necesidad continua de implementación consistente de instrucción de Nivel I basada en evidencia y apoyos diferenciados.</w:t>
            </w:r>
          </w:p>
        </w:tc>
        <w:tc>
          <w:tcPr>
            <w:vAlign w:val="center"/>
          </w:tcPr>
          <w:p>
            <w:pPr>
              <w:pStyle w:val="Normal"/>
            </w:pPr>
            <w:r>
              <w:t>Si bien las prácticas de instrucción han resultado en un fuerte crecimiento académico, la implementación consistente de instrucción de Nivel I de alta calidad en todas las aulas y niveles de grado sigue siendo un área de mejora continua. Fortalecer la coherencia de la instrucción, utilizar datos de evaluaciones formativas para informar la instrucción e implementar apoyos específicos de Nivel II y Nivel III mejorarán los resultados de todos los grupos de estudiantes.</w:t>
            </w:r>
          </w:p>
        </w:tc>
        <w:tc>
          <w:tcPr>
            <w:vAlign w:val="center"/>
          </w:tcPr>
          <w:p>
            <w:pPr>
              <w:pStyle w:val="Normal"/>
            </w:pPr>
            <w:r>
              <w:t>Verdadero</w:t>
            </w:r>
          </w:p>
        </w:tc>
      </w:tr>
      <w:tr>
        <w:trPr/>
        <w:tc>
          <w:tcPr>
            <w:vAlign w:val="center"/>
          </w:tcPr>
          <w:p>
            <w:pPr>
              <w:pStyle w:val="Normal"/>
            </w:pPr>
            <w:r>
              <w:t>Implementar estrategias basadas en evidencia para involucrar a las familias en el apoyo al aprendizaje.</w:t>
            </w:r>
          </w:p>
        </w:tc>
        <w:tc>
          <w:tcPr>
            <w:vAlign w:val="center"/>
          </w:tcPr>
          <w:p>
            <w:pPr>
              <w:pStyle w:val="Normal"/>
            </w:pPr>
            <w:r>
              <w:t>La participación familiar significativa es esencial para mejorar el rendimiento académico, la asistencia y el bienestar de los estudiantes. Ampliar las oportunidades para la comunicación bidireccional, la educación familiar y la participación en el proceso de aprendizaje fortalecerá las asociaciones entre el hogar y la escuela y al mismo tiempo aumentará la capacidad de las familias para apoyar el éxito de los estudiantes.</w:t>
            </w:r>
          </w:p>
        </w:tc>
        <w:tc>
          <w:tcPr>
            <w:vAlign w:val="center"/>
          </w:tcPr>
          <w:p>
            <w:pPr>
              <w:pStyle w:val="Normal"/>
            </w:pPr>
            <w:r>
              <w:t>Verdadero</w:t>
            </w:r>
          </w:p>
        </w:tc>
      </w:tr>
    </w:tbl>
    <w:p>
      <w:pPr>
        <w:pStyle w:val="Heading2"/>
      </w:pPr>
      <w:r>
        <w:t>Analizando fortalezas</w:t>
      </w:r>
    </w:p>
    <w:tbl>
      <w:tblPr>
        <w:tblStyle w:val="TableGrid"/>
        <w:tblW w:w="5000" w:type="pct"/>
      </w:tblPr>
      <w:tblGrid>
        <w:gridCol/>
        <w:gridCol/>
      </w:tblGrid>
      <w:tr>
        <w:trPr/>
        <w:tc>
          <w:tcPr>
            <w:vAlign w:val="center"/>
          </w:tcPr>
          <w:p>
            <w:pPr>
              <w:pStyle w:val="Normal"/>
            </w:pPr>
            <w:r>
              <w:t>Analizando fortalezas</w:t>
            </w:r>
          </w:p>
        </w:tc>
        <w:tc>
          <w:tcPr>
            <w:vAlign w:val="center"/>
          </w:tcPr>
          <w:p>
            <w:pPr>
              <w:pStyle w:val="Normal"/>
            </w:pPr>
            <w:r>
              <w:t>Puntos de discusión</w:t>
            </w:r>
          </w:p>
        </w:tc>
      </w:tr>
      <w:tr>
        <w:trPr/>
        <w:tc>
          <w:tcPr>
            <w:vAlign w:val="center"/>
          </w:tcPr>
          <w:p>
            <w:pPr>
              <w:pStyle w:val="Normal"/>
            </w:pPr>
            <w:r>
              <w:t>La Primaria Paradise demostró un crecimiento académico positivo en Artes del Lenguaje Inglés, obteniendo una puntuación de crecimiento PVAAS de 77,0, que superó el estándar de crecimiento estatal de 70,0. Si bien el dominio general sigue siendo un área de mejora continua, los resultados de crecimiento de la escuela indican que las prácticas de instrucción están acelerando efectivamente el aprendizaje de los estudiantes.</w:t>
            </w:r>
          </w:p>
        </w:tc>
        <w:tc>
          <w:tcPr>
            <w:vAlign w:val="center"/>
          </w:tcPr>
          <w:p>
            <w:pPr>
              <w:pStyle w:val="Normal"/>
            </w:pPr>
            <w:r>
              <w:t>La escuela aprovechará las prácticas de instrucción y el análisis colaborativo de datos que contribuyeron a un fuerte crecimiento académico en artes del lenguaje inglés para aumentar el dominio general, particularmente para estudiantes con discapacidades y estudiantes en desventaja económica. El perfeccionamiento continuo de la instrucción de Nivel I y las intervenciones específicas ayudarán a traducir un fuerte crecimiento en una mayor competencia.</w:t>
            </w:r>
          </w:p>
        </w:tc>
      </w:tr>
      <w:tr>
        <w:trPr/>
        <w:tc>
          <w:tcPr>
            <w:vAlign w:val="center"/>
          </w:tcPr>
          <w:p>
            <w:pPr>
              <w:pStyle w:val="Normal"/>
            </w:pPr>
            <w:r>
              <w:t>La Primaria Paradise superó el estándar de crecimiento académico estatal en Matemáticas, obteniendo una puntuación de crecimiento PVAAS de 80,0. Estos resultados indican que los estudiantes lograron un crecimiento académico de más de un año, lo que refleja la efectividad de la instrucción de matemáticas, los apoyos de intervención y las prácticas de instrucción basadas en datos.</w:t>
            </w:r>
          </w:p>
        </w:tc>
        <w:tc>
          <w:tcPr>
            <w:vAlign w:val="center"/>
          </w:tcPr>
          <w:p>
            <w:pPr>
              <w:pStyle w:val="Normal"/>
            </w:pPr>
            <w:r>
              <w:t>Las prácticas de intervención e instrucción de matemáticas basadas en evidencia que dieron como resultado un crecimiento estudiantil excepcional se ampliarán e implementarán consistentemente en todas las aulas para aumentar la competencia y reducir las brechas de rendimiento entre los grupos de estudiantes.</w:t>
            </w:r>
          </w:p>
        </w:tc>
      </w:tr>
      <w:tr>
        <w:trPr/>
        <w:tc>
          <w:tcPr>
            <w:vAlign w:val="center"/>
          </w:tcPr>
          <w:p>
            <w:pPr>
              <w:pStyle w:val="Normal"/>
            </w:pPr>
            <w:r>
              <w:t>La Primaria Paradise logró una tasa de asistencia regular del 90,0%, superando el promedio estatal de 79,6% y cumpliendo con el estándar de desempeño estatal. Una asistencia sólida refleja una participación estudiantil positiva, asociaciones familiares efectivas y un clima escolar que apoya la participación estudiantil constante.</w:t>
            </w:r>
          </w:p>
        </w:tc>
        <w:tc>
          <w:tcPr>
            <w:vAlign w:val="center"/>
          </w:tcPr>
          <w:p>
            <w:pPr>
              <w:pStyle w:val="Normal"/>
            </w:pPr>
            <w:r>
              <w:t>Una fuerte asistencia estudiantil proporciona un mayor acceso a servicios de intervención e instrucción de alta calidad. La escuela continuará aprovechando el clima escolar positivo, PBIS y las asociaciones familiares para mantener una alta asistencia y al mismo tiempo apoyar mejores resultados académicos para todos los estudiantes.</w:t>
            </w:r>
          </w:p>
        </w:tc>
      </w:tr>
      <w:tr>
        <w:trPr/>
        <w:tc>
          <w:tcPr>
            <w:vAlign w:val="center"/>
          </w:tcPr>
          <w:p>
            <w:pPr>
              <w:pStyle w:val="Normal"/>
            </w:pPr>
            <w:r>
              <w:t>NWEA MAP Reading, mCLASS DIBELS 8 y Future Ready PA Index indican un fuerte crecimiento estudiantil, lo que sugiere que la instrucción básica de alfabetización, el marco MTSS y la programación de intervención de Paradise Elementary están impactando positivamente el aprendizaje de los estudiantes.</w:t>
            </w:r>
          </w:p>
        </w:tc>
        <w:tc>
          <w:tcPr>
            <w:vAlign w:val="center"/>
          </w:tcPr>
          <w:p>
            <w:pPr>
              <w:pStyle w:val="Normal"/>
            </w:pPr>
            <w:r>
              <w:t>La escuela continuará utilizando múltiples medidas de evaluación para monitorear el progreso de los estudiantes, identificar necesidades de instrucción y ajustar las intervenciones a través del marco MTSS. El análisis de datos frecuente respaldará decisiones educativas oportunas y mejorará el rendimiento estudiantil.</w:t>
            </w:r>
          </w:p>
        </w:tc>
      </w:tr>
      <w:tr>
        <w:trPr/>
        <w:tc>
          <w:tcPr>
            <w:vAlign w:val="center"/>
          </w:tcPr>
          <w:p>
            <w:pPr>
              <w:pStyle w:val="Normal"/>
            </w:pPr>
            <w:r>
              <w:t>Los datos de Matemáticas de NWEA MAP se alinean estrechamente con el índice Future Ready PA y los resultados de PVAAS, lo que demuestra evidencia consistente de un fuerte crecimiento estudiantil. Esta alineación brinda confianza en que las prácticas de instrucción actuales y los sistemas MTSS están impactando positivamente el aprendizaje de los estudiantes y deben aprovecharse para aumentar aún más el dominio de las matemáticas.</w:t>
            </w:r>
          </w:p>
        </w:tc>
        <w:tc>
          <w:tcPr>
            <w:vAlign w:val="center"/>
          </w:tcPr>
          <w:p>
            <w:pPr>
              <w:pStyle w:val="Normal"/>
            </w:pPr>
            <w:r>
              <w:t>La evidencia consistente en las evaluaciones locales y estatales demuestra que las prácticas de instrucción actuales son efectivas. La escuela utilizará estos sistemas de evaluación para identificar a los estudiantes que requieren apoyo adicional mientras amplía las estrategias de instrucción que han demostrado resultados positivos.</w:t>
            </w:r>
          </w:p>
        </w:tc>
      </w:tr>
      <w:tr>
        <w:trPr/>
        <w:tc>
          <w:tcPr>
            <w:vAlign w:val="center"/>
          </w:tcPr>
          <w:p>
            <w:pPr>
              <w:pStyle w:val="Normal"/>
            </w:pPr>
            <w:r>
              <w:t>Los resultados fundamentales de alfabetización mejoraron a lo largo del año escolar. Los datos de mCLASS DIBELS 8 mostraron un aumento en los estudiantes con un desempeño por encima del punto de referencia y una reducción en los estudiantes con un desempeño muy por debajo del punto de referencia, lo que demuestra la eficacia de la instrucción e intervención en alfabetización temprana.</w:t>
            </w:r>
          </w:p>
        </w:tc>
        <w:tc>
          <w:tcPr>
            <w:vAlign w:val="center"/>
          </w:tcPr>
          <w:p>
            <w:pPr>
              <w:pStyle w:val="Normal"/>
            </w:pPr>
            <w:r>
              <w:t>Se seguirán implementando y ampliando prácticas exitosas de alfabetización temprana a través de instrucción básica basada en evidencia, servicios de intervención y monitoreo continuo del progreso para mejorar los resultados de alfabetización en todos los niveles de grado.</w:t>
            </w:r>
          </w:p>
        </w:tc>
      </w:tr>
      <w:tr>
        <w:trPr/>
        <w:tc>
          <w:tcPr>
            <w:vAlign w:val="center"/>
          </w:tcPr>
          <w:p>
            <w:pPr>
              <w:pStyle w:val="Normal"/>
            </w:pPr>
            <w:r>
              <w:t>Los apoyos del Título I y MTSS están contribuyendo a resultados positivos para los estudiantes. La implementación continua de intervencionistas, paraprofesionales de MTSS, la toma de decisiones basada en datos a través de Branching Minds y las prácticas de instrucción basadas en evidencia están produciendo un crecimiento estudiantil mensurable que se puede aprovechar para abordar las brechas de rendimiento restantes.</w:t>
            </w:r>
          </w:p>
        </w:tc>
        <w:tc>
          <w:tcPr>
            <w:vAlign w:val="center"/>
          </w:tcPr>
          <w:p>
            <w:pPr>
              <w:pStyle w:val="Normal"/>
            </w:pPr>
            <w:r>
              <w:t>La escuela continuará aprovechando los intervencionistas de Título I, los paraprofesionales de MTSS, Branching Minds, actividades de participación familiar y reuniones de datos colaborativos para fortalecer la instrucción de Nivel I, acelerar el aprendizaje de los estudiantes, reducir las brechas de rendimiento y mejorar el dominio académico general.</w:t>
            </w:r>
          </w:p>
        </w:tc>
      </w:tr>
    </w:tbl>
    <w:p>
      <w:pPr>
        <w:pStyle w:val="Heading2"/>
      </w:pPr>
      <w:r>
        <w:t>Desafíos prioritarios</w:t>
      </w:r>
    </w:p>
    <w:tbl>
      <w:tblPr>
        <w:tblStyle w:val="TableGrid"/>
        <w:tblW w:w="5000" w:type="pct"/>
      </w:tblPr>
      <w:tblGrid>
        <w:gridCol/>
        <w:gridCol/>
      </w:tblGrid>
      <w:tr>
        <w:trPr/>
        <w:tc>
          <w:tcPr>
            <w:vAlign w:val="center"/>
          </w:tcPr>
          <w:p>
            <w:pPr>
              <w:pStyle w:val="Normal"/>
            </w:pPr>
            <w:r>
              <w:t>Análisis de desafíos prioritarios</w:t>
            </w:r>
          </w:p>
        </w:tc>
        <w:tc>
          <w:tcPr>
            <w:vAlign w:val="center"/>
          </w:tcPr>
          <w:p>
            <w:pPr>
              <w:pStyle w:val="Normal"/>
            </w:pPr>
            <w:r>
              <w:t>Declaraciones de prioridad</w:t>
            </w:r>
          </w:p>
        </w:tc>
      </w:tr>
      <w:tr>
        <w:trPr/>
        <w:tc>
          <w:tcPr>
            <w:vAlign w:val="center"/>
          </w:tcPr>
          <w:p/>
        </w:tc>
        <w:tc>
          <w:tcPr>
            <w:vAlign w:val="center"/>
          </w:tcPr>
          <w:p>
            <w:pPr>
              <w:pStyle w:val="Normal"/>
            </w:pPr>
            <w:r>
              <w:t>Fortalecer la implementación de instrucción de Nivel I basada en evidencia, instrucción especialmente diseñada y sistemas de intervención MTSS para mejorar los resultados académicos y reducir las brechas de rendimiento para los estudiantes con discapacidades.</w:t>
            </w:r>
          </w:p>
        </w:tc>
      </w:tr>
      <w:tr>
        <w:trPr/>
        <w:tc>
          <w:tcPr>
            <w:vAlign w:val="center"/>
          </w:tcPr>
          <w:p/>
        </w:tc>
        <w:tc>
          <w:tcPr>
            <w:vAlign w:val="center"/>
          </w:tcPr>
          <w:p>
            <w:pPr>
              <w:pStyle w:val="Normal"/>
            </w:pPr>
            <w:r>
              <w:t>Aumentar la eficacia de la instrucción básica y la toma de decisiones de instrucción basada en datos para acelerar el rendimiento estudiantil y aumentar el porcentaje de estudiantes que se desempeñan en los niveles competente y avanzado en artes del lenguaje inglés y matemáticas.</w:t>
            </w:r>
          </w:p>
        </w:tc>
      </w:tr>
      <w:tr>
        <w:trPr/>
        <w:tc>
          <w:tcPr>
            <w:vAlign w:val="center"/>
          </w:tcPr>
          <w:p/>
        </w:tc>
        <w:tc>
          <w:tcPr>
            <w:vAlign w:val="center"/>
          </w:tcPr>
          <w:p>
            <w:pPr>
              <w:pStyle w:val="Normal"/>
            </w:pPr>
            <w:r>
              <w:t>Fortalecer la implementación consistente de instrucción de Nivel I de alta calidad, prácticas de instrucción diferenciadas y procesos MTSS basados ​​en datos para garantizar que todos los estudiantes tengan acceso equitativo al aprendizaje de nivel de grado y apoyos académicos específicos.</w:t>
            </w:r>
          </w:p>
        </w:tc>
      </w:tr>
      <w:tr>
        <w:trPr/>
        <w:tc>
          <w:tcPr>
            <w:vAlign w:val="center"/>
          </w:tcPr>
          <w:p/>
        </w:tc>
        <w:tc>
          <w:tcPr>
            <w:vAlign w:val="center"/>
          </w:tcPr>
          <w:p>
            <w:pPr>
              <w:pStyle w:val="Normal"/>
            </w:pPr>
            <w:r>
              <w:t>Ampliar oportunidades significativas de participación familiar y fortalecer las asociaciones entre el hogar y la escuela para aumentar la capacidad familiar para apoyar el aprendizaje, la asistencia y el éxito académico general de los estudiantes.</w:t>
            </w:r>
          </w:p>
        </w:tc>
      </w:tr>
    </w:tbl>
    <w:p>
      <w:pPr>
        <w:pStyle w:val="Normal"/>
      </w:pPr>
      <w:r>
        <w:br w:type="page"/>
      </w:r>
      <w:r>
        <w:lastRenderedPageBreak/>
      </w:r>
    </w:p>
    <w:p>
      <w:pPr>
        <w:pStyle w:val="Heading1"/>
      </w:pPr>
      <w:r>
        <w:t>Establecimiento de objetivos</w:t>
      </w:r>
    </w:p>
    <w:p>
      <w:pPr>
        <w:pStyle w:val="Heading2"/>
      </w:pPr>
      <w:r>
        <w:t>Prioridad: Fortalecer la implementación de instrucción de Nivel I basada en evidencia, instrucción especialmente diseñada y sistemas de intervención MTSS para mejorar los resultados académicos y reducir las brechas de rendimiento para los estudiantes con discapacidades.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Artes del lenguaje inglés</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el porcentaje de estudiantes con discapacidades que obtengan calificaciones competentes o avanzadas en lengua y literatura inglesa en el Sistema de Evaluación Escolar de Pensilvania (PSSA) aumentará del 17,6% al 22,0%, según lo medido por los resultados de la evaluación estatal anual y respaldado por la implementación de instrucción de Nivel I basada en evidencia, instrucción especialmente diseñada y sistemas de intervención MTSS.</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Estudiantes con discapacidades Rendimiento en ELA</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El 100% de los estudiantes con discapacidades identificados a través de las evaluaciones comparativas de principios de año tendrán planes de intervención MTSS documentados, apoyos educativos especialmente diseñados y cronogramas de seguimiento del progreso establecidos dentro de Branching Minds.</w:t>
            </w:r>
          </w:p>
        </w:tc>
        <w:tc>
          <w:tcPr>
            <w:vAlign w:val="center"/>
          </w:tcPr>
          <w:p>
            <w:pPr>
              <w:pStyle w:val="Normal"/>
            </w:pPr>
            <w:r>
              <w:t>Al menos el 80% de los estudiantes con discapacidades que reciben intervenciones demostrarán el progreso esperado hacia las metas de alfabetización individuales según lo medido por NWEA MAP Reading, mCLASS DIBELS 8 y los datos de seguimiento del progreso.</w:t>
            </w:r>
          </w:p>
        </w:tc>
        <w:tc>
          <w:tcPr>
            <w:vAlign w:val="center"/>
          </w:tcPr>
          <w:p>
            <w:pPr>
              <w:pStyle w:val="Normal"/>
            </w:pPr>
            <w:r>
              <w:t>Aumentar el porcentaje de estudiantes con discapacidades que cumplen los objetivos de crecimiento proyectados en NWEA MAP Reading y mCLASS DIBELS 8 en al menos 10 puntos porcentuales con respecto a los resultados de referencia de principios de año.</w:t>
            </w:r>
          </w:p>
        </w:tc>
        <w:tc>
          <w:tcPr>
            <w:vAlign w:val="center"/>
          </w:tcPr>
          <w:p>
            <w:pPr>
              <w:pStyle w:val="Normal"/>
            </w:pPr>
            <w:r>
              <w:t>Aumentar el porcentaje de estudiantes con discapacidades que obtienen calificaciones competentes o avanzadas en artes del lenguaje inglés en la PSSA del 17,6 % al 22,0 % manteniendo al mismo tiempo un crecimiento académico positivo medido por PVAAS y las evaluaciones de referencia locales.</w:t>
            </w:r>
          </w:p>
        </w:tc>
      </w:tr>
    </w:tbl>
    <w:p>
      <w:pPr>
        <w:pStyle w:val="Heading2"/>
      </w:pPr>
      <w:r>
        <w:t>Prioridad: Aumentar la efectividad de la instrucción básica y la toma de decisiones de instrucción basada en datos para acelerar el rendimiento estudiantil y aumentar el porcentaje de estudiantes que se desempeñan en los niveles competente y avanzado en artes del lenguaje inglés y matemáticas.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Matemáticas</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el porcentaje de estudiantes con calificaciones competentes o avanzados en matemáticas en el Sistema de Evaluación Escolar de Pensilvania (PSSA) aumentará del 46,4% al 50,0%, según lo medido por los resultados de la evaluación estatal anual y respaldado por instrucción de Nivel I de alta calidad, toma de decisiones de instrucción basada en datos e implementación de prácticas MTSS basadas en evidencia.</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Logro en Matemáticas</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El 100% de los maestros de aula administrarán y analizarán los datos comparativos de matemáticas de NWEA MAP de principios de año y utilizarán los resultados para desarrollar planes de instrucción de nivel de grado e identificar a los estudiantes que requieren apoyos de Nivel II y Nivel III a través de Branching Minds.</w:t>
            </w:r>
          </w:p>
        </w:tc>
        <w:tc>
          <w:tcPr>
            <w:vAlign w:val="center"/>
          </w:tcPr>
          <w:p>
            <w:pPr>
              <w:pStyle w:val="Normal"/>
            </w:pPr>
            <w:r>
              <w:t>Al menos el 80% de los estudiantes que reciben intervenciones en matemáticas demostrarán el progreso esperado hacia los objetivos de crecimiento individuales según lo medido por NWEA MAP Matemáticas, evaluaciones formativas en el aula y datos de seguimiento del progreso.</w:t>
            </w:r>
          </w:p>
        </w:tc>
        <w:tc>
          <w:tcPr>
            <w:vAlign w:val="center"/>
          </w:tcPr>
          <w:p>
            <w:pPr>
              <w:pStyle w:val="Normal"/>
            </w:pPr>
            <w:r>
              <w:t>Aumentar el porcentaje de estudiantes que cumplen con los objetivos de crecimiento proyectados en las evaluaciones de matemáticas NWEA MAP de invierno a primavera en al menos 10 puntos porcentuales en comparación con los resultados de referencia de principios de año, con equipos de nivel de grado que utilizan datos para ajustar la instrucción y las intervenciones del Nivel I.</w:t>
            </w:r>
          </w:p>
        </w:tc>
        <w:tc>
          <w:tcPr>
            <w:vAlign w:val="center"/>
          </w:tcPr>
          <w:p>
            <w:pPr>
              <w:pStyle w:val="Normal"/>
            </w:pPr>
            <w:r>
              <w:t>Aumentar el porcentaje de estudiantes con calificaciones competentes o avanzados en matemáticas en la PSSA del 46,4 % al 50,0 % mientras se mantiene el crecimiento en matemáticas por encima del estándar de crecimiento estatal PVAAS.</w:t>
            </w:r>
          </w:p>
        </w:tc>
      </w:tr>
    </w:tbl>
    <w:p>
      <w:pPr>
        <w:pStyle w:val="Heading2"/>
      </w:pPr>
      <w:r>
        <w:t>Prioridad: Fortalecer la implementación consistente de instrucción de Nivel I de alta calidad, prácticas de instrucción diferenciadas y procesos MTSS basados ​​en datos para garantizar que todos los estudiantes tengan acceso equitativo al aprendizaje de nivel de grado y apoyos académicos específicos.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Prácticas esenciales 1: centrarse en la mejora continua de la instrucción</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el 100% de los equipos de nivel de grado implementarán consistentemente un ciclo de instrucción basado en datos que incluye análisis colaborativo de datos de evaluación formativa y de referencia, instrucción diferenciada de Nivel I, toma de decisiones MTSS documentada a través de Branching Minds y monitoreo del progreso para mejorar el acceso de los estudiantes a la instrucción de nivel de grado y apoyos académicos específicos.</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Implementación de Nivel I y MTSS</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El 100% de los equipos de nivel de grado administrarán evaluaciones comparativas de comienzo de año, analizarán los datos de los estudiantes de manera colaborativa y desarrollarán planes de instrucción documentados de Nivel I y planes de intervención MTSS dentro de Branching Minds.</w:t>
            </w:r>
          </w:p>
        </w:tc>
        <w:tc>
          <w:tcPr>
            <w:vAlign w:val="center"/>
          </w:tcPr>
          <w:p>
            <w:pPr>
              <w:pStyle w:val="Normal"/>
            </w:pPr>
            <w:r>
              <w:t>Los equipos de nivel de grado demostrarán una implementación consistente de prácticas de instrucción diferenciadas de Nivel I y monitoreo del progreso, y el 100% de los estudiantes identificados recibirán intervenciones documentadas y revisiones de datos durante las reuniones MTSS programadas.</w:t>
            </w:r>
          </w:p>
        </w:tc>
        <w:tc>
          <w:tcPr>
            <w:vAlign w:val="center"/>
          </w:tcPr>
          <w:p>
            <w:pPr>
              <w:pStyle w:val="Normal"/>
            </w:pPr>
            <w:r>
              <w:t>Los recorridos por las aulas, las reuniones de planificación colaborativa y la documentación del MTSS demostrarán una implementación consistente de prácticas de instrucción de Nivel I basadas en evidencia y ajustes de instrucción basados ​​en datos en todos los niveles de grado.</w:t>
            </w:r>
          </w:p>
        </w:tc>
        <w:tc>
          <w:tcPr>
            <w:vAlign w:val="center"/>
          </w:tcPr>
          <w:p>
            <w:pPr>
              <w:pStyle w:val="Normal"/>
            </w:pPr>
            <w:r>
              <w:t>El 100% de los equipos de nivel de grado implementarán consistentemente el ciclo de mejora de la instrucción del distrito mediante la utilización de datos de referencia, monitoreo del progreso, instrucción diferenciada de Nivel I y toma de decisiones documentada de MTSS para mejorar el rendimiento estudiantil y el acceso equitativo al aprendizaje de nivel de grado.</w:t>
            </w:r>
          </w:p>
        </w:tc>
      </w:tr>
    </w:tbl>
    <w:p>
      <w:pPr>
        <w:pStyle w:val="Heading2"/>
      </w:pPr>
      <w:r>
        <w:t>Prioridad: Ampliar oportunidades significativas de participación familiar y fortalecer las asociaciones entre el hogar y la escuela para aumentar la capacidad familiar para apoyar el aprendizaje, la asistencia y el éxito académico general de los estudiantes.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Participación de los padres y la familia</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la Primaria Paradise aumentará la participación familiar significativa al aumentar la participación en actividades de participación familiar y eventos educativos patrocinados por la escuela en un 15 % con respecto a la línea de base de 2025-2026, al tiempo que brindará a las familias oportunidades continuas para apoyar el aprendizaje, la asistencia y el éxito académico de los estudiantes.</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Asociaciones familiares</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Desarrollar y comunicar un plan anual de participación familiar, que incluya actividades de alfabetización, matemáticas, asistencia y clima escolar. Proporcionar al menos un evento de participación familiar y establecer una comunicación bidireccional constante con las familias a través de múltiples plataformas de comunicación.</w:t>
            </w:r>
          </w:p>
        </w:tc>
        <w:tc>
          <w:tcPr>
            <w:vAlign w:val="center"/>
          </w:tcPr>
          <w:p>
            <w:pPr>
              <w:pStyle w:val="Normal"/>
            </w:pPr>
            <w:r>
              <w:t>Proporcionar al menos dos oportunidades adicionales de participación familiar centradas en apoyar el aprendizaje de los estudiantes y monitorear los datos de participación. Incrementar la participación en un 5% respecto a la participación del primer semestre del año anterior.</w:t>
            </w:r>
          </w:p>
        </w:tc>
        <w:tc>
          <w:tcPr>
            <w:vAlign w:val="center"/>
          </w:tcPr>
          <w:p>
            <w:pPr>
              <w:pStyle w:val="Normal"/>
            </w:pPr>
            <w:r>
              <w:t>Continuar la implementación de actividades de participación familiar, incluidos eventos de alfabetización, matemáticas y bienestar estudiantil. Aumentar la participación en un 10 % con respecto a la línea de base de 2025-2026 y recopilar comentarios de las familias para informar la programación futura.</w:t>
            </w:r>
          </w:p>
        </w:tc>
        <w:tc>
          <w:tcPr>
            <w:vAlign w:val="center"/>
          </w:tcPr>
          <w:p>
            <w:pPr>
              <w:pStyle w:val="Normal"/>
            </w:pPr>
            <w:r>
              <w:t>Aumentar la participación familiar en actividades de participación patrocinadas por la escuela en un 15 % con respecto a la línea de base 2025-2026, y los resultados de la encuesta indican que las familias informan una mayor confianza en apoyar el aprendizaje, la asistencia y el éxito académico de sus hijos.</w:t>
            </w:r>
          </w:p>
        </w:tc>
      </w:tr>
    </w:tbl>
    <w:p>
      <w:pPr>
        <w:pStyle w:val="Normal"/>
      </w:pPr>
      <w:r>
        <w:br w:type="page"/>
      </w:r>
      <w:r>
        <w:lastRenderedPageBreak/>
      </w:r>
    </w:p>
    <w:p>
      <w:pPr>
        <w:pStyle w:val="Heading1"/>
      </w:pPr>
      <w:r>
        <w:t>Plan de acción</w:t>
      </w:r>
    </w:p>
    <w:p>
      <w:pPr>
        <w:pStyle w:val="Heading2"/>
      </w:pPr>
      <w:r>
        <w:t>Metas mensurables</w:t>
      </w:r>
    </w:p>
    <w:tbl>
      <w:tblPr>
        <w:tblStyle w:val="TableGrid"/>
        <w:tblW w:w="5000" w:type="pct"/>
      </w:tblPr>
      <w:tblGrid>
        <w:gridCol/>
        <w:gridCol/>
      </w:tblGrid>
      <w:tr>
        <w:trPr/>
        <w:tc>
          <w:tcPr>
            <w:vAlign w:val="center"/>
          </w:tcPr>
          <w:p>
            <w:pPr>
              <w:pStyle w:val="Normal"/>
            </w:pPr>
            <w:r>
              <w:t>Estudiantes con discapacidades Rendimiento en ELA</w:t>
            </w:r>
          </w:p>
        </w:tc>
        <w:tc>
          <w:tcPr>
            <w:vAlign w:val="center"/>
          </w:tcPr>
          <w:p>
            <w:pPr>
              <w:pStyle w:val="Normal"/>
            </w:pPr>
            <w:r>
              <w:t>Logro en Matemáticas</w:t>
            </w:r>
          </w:p>
        </w:tc>
      </w:tr>
      <w:tr>
        <w:trPr/>
        <w:tc>
          <w:tcPr>
            <w:vAlign w:val="center"/>
          </w:tcPr>
          <w:p>
            <w:pPr>
              <w:pStyle w:val="Normal"/>
            </w:pPr>
            <w:r>
              <w:t>Implementación de Nivel I y MTSS</w:t>
            </w:r>
          </w:p>
        </w:tc>
        <w:tc>
          <w:tcPr>
            <w:vAlign w:val="center"/>
          </w:tcPr>
          <w:p>
            <w:pPr>
              <w:pStyle w:val="Normal"/>
            </w:pPr>
            <w:r>
              <w:t>Asociaciones familiares</w:t>
            </w:r>
          </w:p>
        </w:tc>
      </w:tr>
    </w:tbl>
    <w:p>
      <w:pPr>
        <w:pStyle w:val="Heading2"/>
      </w:pPr>
      <w:r>
        <w:t>Plan de acción para: Implementar un proceso colaborativo de mejora de la instrucción utilizando Comunidades de Aprendizaje Profesional (PLC), NWEA MAP, mCLASS DIBELS 8 y Branching Minds para fortalecer la instrucción de Nivel I y mejorar el rendimiento estudiantil.</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el porcentaje de estudiantes con discapacidades que obtengan calificaciones competentes o avanzadas en lengua y literatura inglesa en el Sistema de Evaluación Escolar de Pensilvania (PSSA) aumentará del 17,6% al 22,0%, según lo medido por los resultados de la evaluación estatal anual y respaldado por la implementación de instrucción de Nivel I basada en evidencia, instrucción especialmente diseñada y sistemas de intervención MTSS.</w:t>
            </w:r>
          </w:p>
          <w:p>
            <w:pPr>
              <w:pStyle w:val="ListParagraph"/>
              <w:numPr>
                <w:ilvl w:val="0"/>
                <w:numId w:val="2"/>
              </w:numPr>
            </w:pPr>
            <w:r>
              <w:t>Para junio de 2027, el porcentaje de estudiantes con calificaciones competentes o avanzados en matemáticas en el Sistema de Evaluación Escolar de Pensilvania (PSSA) aumentará del 46,4% al 50,0%, según lo medido por los resultados de la evaluación estatal anual y respaldado por instrucción de Nivel I de alta calidad, toma de decisiones de instrucción basada en datos e implementación de prácticas MTSS basadas en evidencia.</w:t>
            </w:r>
          </w:p>
          <w:p>
            <w:pPr>
              <w:pStyle w:val="ListParagraph"/>
              <w:numPr>
                <w:ilvl w:val="0"/>
                <w:numId w:val="2"/>
              </w:numPr>
            </w:pPr>
            <w:r>
              <w:t>Para junio de 2027, el 100% de los equipos de nivel de grado implementarán consistentemente un ciclo de instrucción basado en datos que incluye análisis colaborativo de datos de evaluación formativa y de referencia, instrucción diferenciada de Nivel I, toma de decisiones MTSS documentada a través de Branching Minds y monitoreo del progreso para mejorar el acceso de los estudiantes a la instrucción de nivel de grado y apoyos académicos específicos.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Implementar evaluaciones de referencia universales y analizar datos.</w:t>
            </w:r>
          </w:p>
        </w:tc>
        <w:tc>
          <w:tcPr>
            <w:vAlign w:val="center"/>
          </w:tcPr>
          <w:p>
            <w:pPr>
              <w:pStyle w:val="Normal"/>
            </w:pPr>
            <w:r>
              <w:t xml:space="preserve">2026-08-31</w:t>
            </w:r>
          </w:p>
        </w:tc>
        <w:tc>
          <w:tcPr>
            <w:vAlign w:val="center"/>
          </w:tcPr>
          <w:p>
            <w:pPr>
              <w:pStyle w:val="Normal"/>
            </w:pPr>
            <w:r>
              <w:t xml:space="preserve">2027-06-01</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Director Instructor Equipos de Nivel de Grado</w:t>
            </w:r>
          </w:p>
        </w:tc>
        <w:tc>
          <w:tcPr>
            <w:vAlign w:val="center"/>
          </w:tcPr>
          <w:p>
            <w:pPr>
              <w:pStyle w:val="Normal"/>
            </w:pPr>
            <w:r>
              <w:t>NWEA MAP mCLASS Mentes ramificadas</w:t>
            </w:r>
          </w:p>
        </w:tc>
        <w:tc>
          <w:tcPr>
            <w:vAlign w:val="center"/>
          </w:tcPr>
          <w:p>
            <w:pPr>
              <w:pStyle w:val="Normal"/>
            </w:pPr>
            <w:r>
              <w:t>Sí</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Desarrollar planes de instrucción diferenciados de Nivel I utilizando datos de referencia.</w:t>
            </w:r>
          </w:p>
        </w:tc>
        <w:tc>
          <w:tcPr>
            <w:vAlign w:val="center"/>
          </w:tcPr>
          <w:p>
            <w:pPr>
              <w:pStyle w:val="Normal"/>
            </w:pPr>
            <w:r>
              <w:t xml:space="preserve">2026-09-07</w:t>
            </w:r>
          </w:p>
        </w:tc>
        <w:tc>
          <w:tcPr>
            <w:vAlign w:val="center"/>
          </w:tcPr>
          <w:p>
            <w:pPr>
              <w:pStyle w:val="Normal"/>
            </w:pPr>
            <w:r>
              <w:t xml:space="preserve">2027-05-31</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Entrenador de instrucción de maestros</w:t>
            </w:r>
          </w:p>
        </w:tc>
        <w:tc>
          <w:tcPr>
            <w:vAlign w:val="center"/>
          </w:tcPr>
          <w:p>
            <w:pPr>
              <w:pStyle w:val="Normal"/>
            </w:pPr>
            <w:r>
              <w:t>Planes de lecciones Grupos flexibles Documentación MTSS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Revisar los datos de los estudiantes cada seis semanas y ajustar la instrucción.</w:t>
            </w:r>
          </w:p>
        </w:tc>
        <w:tc>
          <w:tcPr>
            <w:vAlign w:val="center"/>
          </w:tcPr>
          <w:p>
            <w:pPr>
              <w:pStyle w:val="Normal"/>
            </w:pPr>
            <w:r>
              <w:t xml:space="preserve">2026-10-12</w:t>
            </w:r>
          </w:p>
        </w:tc>
        <w:tc>
          <w:tcPr>
            <w:vAlign w:val="center"/>
          </w:tcPr>
          <w:p>
            <w:pPr>
              <w:pStyle w:val="Normal"/>
            </w:pPr>
            <w:r>
              <w:t xml:space="preserve">2027-01-22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Maestros MTSS Intervencionistas Entrenador de Instrucción</w:t>
            </w:r>
          </w:p>
        </w:tc>
        <w:tc>
          <w:tcPr>
            <w:vAlign w:val="center"/>
          </w:tcPr>
          <w:p>
            <w:pPr>
              <w:pStyle w:val="Normal"/>
            </w:pPr>
            <w:r>
              <w:t>Planes de intervención actualizados Seguimiento del progreso Planes de acción del PLC</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pPr>
              <w:pStyle w:val="Normal"/>
            </w:pPr>
            <w:r>
              <w:t>Las evaluaciones de referencia NWEA MAP y mCLASS DIBELS 8 se completan para todos los estudiantes dentro del período de evaluación. Se llevan a cabo reuniones de datos de la Comunidad de Aprendizaje Profesional (PLC) de nivel de grado para analizar los resultados de referencia e identificar prioridades de instrucción. Los planes de intervención de MTSS para estudiantes y los grupos de instrucción se desarrollan y documentan en Branching Minds en base a datos de referencia.</w:t>
            </w:r>
          </w:p>
        </w:tc>
        <w:tc>
          <w:tcPr>
            <w:vAlign w:val="center"/>
          </w:tcPr>
          <w:p>
            <w:pPr>
              <w:pStyle w:val="Normal"/>
            </w:pPr>
            <w:r>
              <w:t>Personas: Director, Entrenador de instrucción, Equipo MTSS, Equipos PLC de nivel de grado Frecuencia: Después de cada administración de puntos de referencia universales (otoño, invierno y primavera) y durante las reuniones mensuales de PLC y MTSS. Método: Se revisarán los informes de finalización de las evaluaciones, los informes de datos de NWEA MAP y mCLASS DIBELS 8, las agendas y actas de las reuniones de PLC, la documentación de intervención de Branching Minds y los recorridos por las aulas para garantizar que se analicen los datos de referencia, se ajusten los planes de instrucción y se implementen las intervenciones apropiadas con fidelidad.</w:t>
            </w:r>
          </w:p>
        </w:tc>
      </w:tr>
    </w:tbl>
    <w:p>
      <w:pPr>
        <w:pStyle w:val="Heading2"/>
      </w:pPr>
      <w:r>
        <w:t>Plan de acción para: Proporcionar intervenciones específicas de Nivel II y Nivel III a través de intervencionistas del Título I y paraprofesionales del MTSS.</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el porcentaje de estudiantes con calificaciones competentes o avanzados en matemáticas en el Sistema de Evaluación Escolar de Pensilvania (PSSA) aumentará del 46,4% al 50,0%, según lo medido por los resultados de la evaluación estatal anual y respaldado por instrucción de Nivel I de alta calidad, toma de decisiones de instrucción basada en datos e implementación de prácticas MTSS basadas en evidencia.</w:t>
            </w:r>
          </w:p>
          <w:p>
            <w:pPr>
              <w:pStyle w:val="ListParagraph"/>
              <w:numPr>
                <w:ilvl w:val="0"/>
                <w:numId w:val="2"/>
              </w:numPr>
            </w:pPr>
            <w:r>
              <w:t>Para junio de 2027, el 100% de los equipos de nivel de grado implementarán consistentemente un ciclo de instrucción basado en datos que incluye análisis colaborativo de datos de evaluación formativa y de referencia, instrucción diferenciada de Nivel I, toma de decisiones MTSS documentada a través de Branching Minds y monitoreo del progreso para mejorar el acceso de los estudiantes a la instrucción de nivel de grado y apoyos académicos específicos.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Identificar a los estudiantes de intervención. Programar bloques de intervención. Ofrecer intervenciones basadas en evidencia. Monitoree cada 2 a 4 semanas. Ajustar las intervenciones.</w:t>
            </w:r>
          </w:p>
        </w:tc>
        <w:tc>
          <w:tcPr>
            <w:vAlign w:val="center"/>
          </w:tcPr>
          <w:p>
            <w:pPr>
              <w:pStyle w:val="Normal"/>
            </w:pPr>
            <w:r>
              <w:t xml:space="preserve">2026-08-31</w:t>
            </w:r>
          </w:p>
        </w:tc>
        <w:tc>
          <w:tcPr>
            <w:vAlign w:val="center"/>
          </w:tcPr>
          <w:p>
            <w:pPr>
              <w:pStyle w:val="Normal"/>
            </w:pPr>
            <w:r>
              <w:t xml:space="preserve">2027-06-01</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Intervencionistas del MTSS</w:t>
            </w:r>
          </w:p>
        </w:tc>
        <w:tc>
          <w:tcPr>
            <w:vAlign w:val="center"/>
          </w:tcPr>
          <w:p>
            <w:pPr>
              <w:pStyle w:val="Normal"/>
            </w:pPr>
            <w:r>
              <w:t>Paraprofesionales de instrucción Recursos de intervención de Branching Minds</w:t>
            </w:r>
          </w:p>
        </w:tc>
        <w:tc>
          <w:tcPr>
            <w:vAlign w:val="center"/>
          </w:tcPr>
          <w:p>
            <w:pPr>
              <w:pStyle w:val="Normal"/>
            </w:pPr>
            <w:r>
              <w:t>Sí</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pPr>
              <w:pStyle w:val="Normal"/>
            </w:pPr>
            <w:r>
              <w:t>Los estudiantes identificados para intervenciones de Nivel II y Nivel III reciben intervenciones basadas en evidencia impartidas por intervencionistas de Título I y paraprofesionales de MTSS, con planes de intervención documentados en Branching Minds. Los datos de seguimiento del progreso de los estudiantes demuestran una revisión regular de la efectividad de la intervención, lo que resulta en ajustes de instrucción basados ​​en las necesidades individuales de los estudiantes. Un mayor porcentaje de estudiantes cumple o supera los objetivos de crecimiento esperados en NWEA MAP, mCLASS DIBELS 8 y evaluaciones formativas en el aula, con las correspondientes reducciones en la cantidad de estudiantes que requieren intervención intensiva.</w:t>
            </w:r>
          </w:p>
        </w:tc>
        <w:tc>
          <w:tcPr>
            <w:vAlign w:val="center"/>
          </w:tcPr>
          <w:p>
            <w:pPr>
              <w:pStyle w:val="Normal"/>
            </w:pPr>
            <w:r>
              <w:t>Personas: Director, Equipo MTSS, Intervencionistas de Título I, Maestros de Educación Especial, Equipos PLC de nivel de grado y Paraprofesionales de MTSS Frecuencia: Monitoreo quincenal del progreso de los estudiantes que reciben intervenciones de Nivel II y Nivel III; reuniones mensuales del equipo MTSS; revisiones de datos de referencia después de los períodos de evaluación NWEA MAP y mCLASS de otoño, invierno y primavera. Método: La implementación de la intervención y el progreso de los estudiantes se monitorearán a través de la documentación de Branching Minds, datos de referencia de lectura y matemáticas de NWEA MAP, monitoreo del progreso de mCLASS DIBELS 8, evaluaciones formativas en el aula, datos de PSSA (cuando estén disponibles), notas de reuniones de MTSS y verificaciones de fidelidad de la intervención. El equipo MTSS y el director revisarán el progreso de los estudiantes, evaluarán la efectividad de la intervención y harán ajustes basados ​​en datos a los apoyos educativos según sea necesario para garantizar que los estudiantes estén progresando adecuadamente hacia las expectativas de su nivel de grado.</w:t>
            </w:r>
          </w:p>
        </w:tc>
      </w:tr>
    </w:tbl>
    <w:p>
      <w:pPr>
        <w:pStyle w:val="Heading2"/>
      </w:pPr>
      <w:r>
        <w:t>Plan de acción para: Fortalecer las asociaciones familiares a través de prácticas de participación basadas en evidencia que desarrollen la capacidad familiar para apoyar el aprendizaje.</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la Primaria Paradise aumentará la participación familiar significativa al aumentar la participación en actividades de participación familiar y eventos educativos patrocinados por la escuela en un 15 % con respecto a la línea de base de 2025-2026, al tiempo que brindará a las familias oportunidades continuas para apoyar el aprendizaje, la asistencia y el éxito académico de los estudiantes.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Desarrollar un calendario anual de participación familiar.</w:t>
            </w:r>
          </w:p>
        </w:tc>
        <w:tc>
          <w:tcPr>
            <w:vAlign w:val="center"/>
          </w:tcPr>
          <w:p>
            <w:pPr>
              <w:pStyle w:val="Normal"/>
            </w:pPr>
            <w:r>
              <w:t xml:space="preserve">2026-08-17</w:t>
            </w:r>
          </w:p>
        </w:tc>
        <w:tc>
          <w:tcPr>
            <w:vAlign w:val="center"/>
          </w:tcPr>
          <w:p>
            <w:pPr>
              <w:pStyle w:val="Normal"/>
            </w:pPr>
            <w:r>
              <w:t xml:space="preserve">2026-09-30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Presidente Principal del PTO Coordinador de Título 1</w:t>
            </w:r>
          </w:p>
        </w:tc>
        <w:tc>
          <w:tcPr>
            <w:vAlign w:val="center"/>
          </w:tcPr>
          <w:p>
            <w:pPr>
              <w:pStyle w:val="Normal"/>
            </w:pPr>
            <w:r>
              <w:t>Noches familiares Registros de asistencia Encuestas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Realizar Noche de Alfabetización</w:t>
            </w:r>
          </w:p>
        </w:tc>
        <w:tc>
          <w:tcPr>
            <w:vAlign w:val="center"/>
          </w:tcPr>
          <w:p>
            <w:pPr>
              <w:pStyle w:val="Normal"/>
            </w:pPr>
            <w:r>
              <w:t xml:space="preserve">2026-10-01</w:t>
            </w:r>
          </w:p>
        </w:tc>
        <w:tc>
          <w:tcPr>
            <w:vAlign w:val="center"/>
          </w:tcPr>
          <w:p>
            <w:pPr>
              <w:pStyle w:val="Normal"/>
            </w:pPr>
            <w:r>
              <w:t xml:space="preserve">2026-10-30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Directora de Aprendizaje Temprano</w:t>
            </w:r>
          </w:p>
        </w:tc>
        <w:tc>
          <w:tcPr>
            <w:vAlign w:val="center"/>
          </w:tcPr>
          <w:p>
            <w:pPr>
              <w:pStyle w:val="Normal"/>
            </w:pPr>
            <w:r>
              <w:t>Folletos, premios, libros, coordinación de socios comunitarios y equipos deportivos de escuelas secundarias.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tc>
        <w:tc>
          <w:tcPr>
            <w:vAlign w:val="center"/>
          </w:tcPr>
          <w:p/>
        </w:tc>
      </w:tr>
    </w:tbl>
    <w:p>
      <w:pPr>
        <w:pStyle w:val="Normal"/>
      </w:pPr>
      <w:r>
        <w:br w:type="page"/>
      </w:r>
      <w:r>
        <w:lastRenderedPageBreak/>
      </w:r>
    </w:p>
    <w:p>
      <w:pPr>
        <w:pStyle w:val="Heading1"/>
      </w:pPr>
      <w:r>
        <w:t>Tablas de gastos</w:t>
      </w:r>
    </w:p>
    <w:p>
      <w:pPr>
        <w:pStyle w:val="Heading2"/>
      </w:pPr>
      <w:r>
        <w:t>Subvención reservada para mejora escolar</w:t>
      </w:r>
    </w:p>
    <w:p>
      <w:pPr>
        <w:pStyle w:val="Normal"/>
      </w:pPr>
      <w:r>
        <w:rPr>
          <w:b/>
        </w:rPr>
        <w:t>True School no recibe la Subvención Reservada para Mejoramiento Escolar.</w:t>
      </w:r>
      <w:r/>
    </w:p>
    <w:p>
      <w:pPr>
        <w:pStyle w:val="Heading2"/>
      </w:pPr>
      <w:r>
        <w:t>Asignación de fondos del Título 1 en toda la escuela</w:t>
      </w:r>
    </w:p>
    <w:p>
      <w:pPr>
        <w:pStyle w:val="Normal"/>
      </w:pPr>
      <w:r>
        <w:rPr>
          <w:b/>
        </w:rPr>
        <w:t>Falso La escuela no recibe fondos del Título 1 para toda la escuela.</w:t>
      </w:r>
      <w:r/>
    </w:p>
    <w:tbl>
      <w:tblPr>
        <w:tblStyle w:val="TableGrid"/>
        <w:tblW w:w="5000" w:type="pct"/>
      </w:tblPr>
      <w:tblGrid>
        <w:gridCol/>
        <w:gridCol/>
        <w:gridCol/>
        <w:gridCol/>
        <w:gridCol/>
      </w:tblGrid>
      <w:tr>
        <w:trPr/>
        <w:tc>
          <w:tcPr>
            <w:tcW w:w="1500" w:type="pct"/>
            <w:vAlign w:val="center"/>
          </w:tcPr>
          <w:p>
            <w:pPr>
              <w:pStyle w:val="Normal"/>
            </w:pPr>
            <w:r>
              <w:rPr>
                <w:b/>
              </w:rPr>
              <w:t>Categoría de presupuesto de eGgrant (financiamiento para toda la escuela)</w:t>
            </w:r>
          </w:p>
        </w:tc>
        <w:tc>
          <w:tcPr>
            <w:tcW w:w="1000" w:type="pct"/>
            <w:vAlign w:val="center"/>
          </w:tcPr>
          <w:p>
            <w:pPr>
              <w:pStyle w:val="Normal"/>
            </w:pPr>
            <w:r>
              <w:rPr>
                <w:b/>
              </w:rPr>
              <w:t>Plan(es) de acción</w:t>
            </w:r>
          </w:p>
        </w:tc>
        <w:tc>
          <w:tcPr>
            <w:tcW w:w="1000" w:type="pct"/>
            <w:vAlign w:val="center"/>
          </w:tcPr>
          <w:p>
            <w:pPr>
              <w:pStyle w:val="Normal"/>
            </w:pPr>
            <w:r>
              <w:rPr>
                <w:b/>
              </w:rPr>
              <w:t>Descripción del gasto</w:t>
            </w:r>
          </w:p>
        </w:tc>
        <w:tc>
          <w:tcPr>
            <w:tcW w:w="500" w:type="pct"/>
            <w:vAlign w:val="center"/>
          </w:tcPr>
          <w:p>
            <w:pPr>
              <w:pStyle w:val="Normal"/>
            </w:pPr>
            <w:r>
              <w:rPr>
                <w:b/>
              </w:rPr>
              <w:t>Cantidad</w:t>
            </w:r>
          </w:p>
        </w:tc>
        <w:tc>
          <w:tcPr>
            <w:tcW w:w="0"/>
          </w:tcPr>
          <w:p/>
        </w:tc>
      </w:tr>
      <w:tr>
        <w:trPr/>
        <w:tc>
          <w:tcPr>
            <w:vAlign w:val="center"/>
          </w:tcPr>
          <w:p>
            <w:pPr>
              <w:pStyle w:val="Normal"/>
            </w:pPr>
            <w:r>
              <w:t>Instrucción</w:t>
            </w:r>
          </w:p>
        </w:tc>
        <w:tc>
          <w:tcPr>
            <w:vAlign w:val="center"/>
          </w:tcPr>
          <w:p>
            <w:pPr>
              <w:pStyle w:val="ListParagraph"/>
              <w:numPr>
                <w:ilvl w:val="0"/>
                <w:numId w:val="2"/>
              </w:numPr>
            </w:pPr>
            <w:r>
              <w:t>Implementar un proceso colaborativo de mejora de la instrucción utilizando Comunidades de Aprendizaje Profesional (PLC), NWEA MAP, mCLASS DIBELS 8 y Branching Minds para fortalecer la instrucción de Nivel I y mejorar el rendimiento estudiantil.</w:t>
            </w:r>
          </w:p>
          <w:p>
            <w:pPr>
              <w:pStyle w:val="ListParagraph"/>
              <w:numPr>
                <w:ilvl w:val="0"/>
                <w:numId w:val="2"/>
              </w:numPr>
            </w:pPr>
            <w:r>
              <w:t>Proporcionar intervenciones específicas de Nivel II y Nivel III a través de intervencionistas de Título I y paraprofesionales de MTSS.</w:t>
            </w:r>
          </w:p>
        </w:tc>
        <w:tc>
          <w:tcPr>
            <w:vAlign w:val="center"/>
          </w:tcPr>
          <w:p>
            <w:pPr>
              <w:pStyle w:val="Normal"/>
            </w:pPr>
            <w:r>
              <w:t>Salario y beneficios del personal profesional</w:t>
            </w:r>
          </w:p>
        </w:tc>
        <w:tc>
          <w:tcPr>
            <w:vAlign w:val="center"/>
          </w:tcPr>
          <w:p>
            <w:pPr>
              <w:pStyle w:val="Normal"/>
            </w:pPr>
            <w:r>
              <w:t xml:space="preserve">$398,872</w:t>
            </w:r>
          </w:p>
        </w:tc>
        <w:tc>
          <w:tcPr>
            <w:tcW w:w="0"/>
          </w:tcPr>
          <w:p/>
        </w:tc>
      </w:tr>
      <w:tr>
        <w:trPr/>
        <w:tc>
          <w:tcPr>
            <w:vAlign w:val="center"/>
          </w:tcPr>
          <w:p>
            <w:pPr>
              <w:pStyle w:val="Normal"/>
            </w:pPr>
            <w:r>
              <w:t>Instrucción</w:t>
            </w:r>
          </w:p>
        </w:tc>
        <w:tc>
          <w:tcPr>
            <w:vAlign w:val="center"/>
          </w:tcPr>
          <w:p>
            <w:pPr>
              <w:pStyle w:val="ListParagraph"/>
              <w:numPr>
                <w:ilvl w:val="0"/>
                <w:numId w:val="2"/>
              </w:numPr>
            </w:pPr>
            <w:r>
              <w:t>Implementar un proceso colaborativo de mejora de la instrucción utilizando Comunidades de Aprendizaje Profesional (PLC), NWEA MAP, mCLASS DIBELS 8 y Branching Minds para fortalecer la instrucción de Nivel I y mejorar el rendimiento estudiantil.</w:t>
            </w:r>
          </w:p>
          <w:p>
            <w:pPr>
              <w:pStyle w:val="ListParagraph"/>
              <w:numPr>
                <w:ilvl w:val="0"/>
                <w:numId w:val="2"/>
              </w:numPr>
            </w:pPr>
            <w:r>
              <w:t>Proporcionar intervenciones específicas de Nivel II y Nivel III a través de intervencionistas de Título I y paraprofesionales de MTSS.</w:t>
            </w:r>
          </w:p>
        </w:tc>
        <w:tc>
          <w:tcPr>
            <w:vAlign w:val="center"/>
          </w:tcPr>
          <w:p>
            <w:pPr>
              <w:pStyle w:val="Normal"/>
            </w:pPr>
            <w:r>
              <w:t>Paraprofesionales STS</w:t>
            </w:r>
          </w:p>
        </w:tc>
        <w:tc>
          <w:tcPr>
            <w:vAlign w:val="center"/>
          </w:tcPr>
          <w:p>
            <w:pPr>
              <w:pStyle w:val="Normal"/>
            </w:pPr>
            <w:r>
              <w:t xml:space="preserve">$95,566</w:t>
            </w:r>
          </w:p>
        </w:tc>
        <w:tc>
          <w:tcPr>
            <w:tcW w:w="0"/>
          </w:tcPr>
          <w:p/>
        </w:tc>
      </w:tr>
      <w:tr>
        <w:trPr/>
        <w:tc>
          <w:tcPr>
            <w:vAlign w:val="center"/>
          </w:tcPr>
          <w:p>
            <w:pPr>
              <w:pStyle w:val="Normal"/>
            </w:pPr>
            <w:r>
              <w:t>Otros gastos</w:t>
            </w:r>
          </w:p>
        </w:tc>
        <w:tc>
          <w:tcPr>
            <w:vAlign w:val="center"/>
          </w:tcPr>
          <w:p>
            <w:pPr>
              <w:pStyle w:val="ListParagraph"/>
              <w:numPr>
                <w:ilvl w:val="0"/>
                <w:numId w:val="2"/>
              </w:numPr>
            </w:pPr>
            <w:r>
              <w:t>Fortalecer las asociaciones familiares a través de prácticas de participación basadas en evidencia que desarrollen la capacidad familiar para apoyar el aprendizaje.</w:t>
            </w:r>
          </w:p>
        </w:tc>
        <w:tc>
          <w:tcPr>
            <w:vAlign w:val="center"/>
          </w:tcPr>
          <w:p>
            <w:pPr>
              <w:pStyle w:val="Normal"/>
            </w:pPr>
            <w:r>
              <w:t>Participación de los padres</w:t>
            </w:r>
          </w:p>
        </w:tc>
        <w:tc>
          <w:tcPr>
            <w:vAlign w:val="center"/>
          </w:tcPr>
          <w:p>
            <w:pPr>
              <w:pStyle w:val="Normal"/>
            </w:pPr>
            <w:r>
              <w:t xml:space="preserve">$5,370.05</w:t>
            </w:r>
          </w:p>
        </w:tc>
        <w:tc>
          <w:tcPr>
            <w:tcW w:w="0"/>
          </w:tcPr>
          <w:p/>
        </w:tc>
      </w:tr>
      <w:tr>
        <w:trPr/>
        <w:tc>
          <w:tcPr>
            <w:vAlign w:val="center"/>
          </w:tcPr>
          <w:p>
            <w:pPr>
              <w:pStyle w:val="Normal"/>
            </w:pPr>
            <w:r>
              <w:t>Instrucción</w:t>
            </w:r>
          </w:p>
        </w:tc>
        <w:tc>
          <w:tcPr>
            <w:vAlign w:val="center"/>
          </w:tcPr>
          <w:p>
            <w:pPr>
              <w:pStyle w:val="ListParagraph"/>
              <w:numPr>
                <w:ilvl w:val="0"/>
                <w:numId w:val="2"/>
              </w:numPr>
            </w:pPr>
            <w:r>
              <w:t>Proporcionar intervenciones específicas de Nivel II y Nivel III a través de intervencionistas de Título I y paraprofesionales de MTSS.</w:t>
            </w:r>
          </w:p>
        </w:tc>
        <w:tc>
          <w:tcPr>
            <w:vAlign w:val="center"/>
          </w:tcPr>
          <w:p>
            <w:pPr>
              <w:pStyle w:val="Normal"/>
            </w:pPr>
            <w:r>
              <w:t>Suministros UFLI y Puentes</w:t>
            </w:r>
          </w:p>
        </w:tc>
        <w:tc>
          <w:tcPr>
            <w:vAlign w:val="center"/>
          </w:tcPr>
          <w:p>
            <w:pPr>
              <w:pStyle w:val="Normal"/>
            </w:pPr>
            <w:r>
              <w:t xml:space="preserve">$2500</w:t>
            </w:r>
          </w:p>
        </w:tc>
        <w:tc>
          <w:tcPr>
            <w:tcW w:w="0"/>
          </w:tcPr>
          <w:p/>
        </w:tc>
      </w:tr>
      <w:tr>
        <w:trPr/>
        <w:tc>
          <w:tcPr>
            <w:gridSpan w:val="4"/>
            <w:vAlign w:val="center"/>
          </w:tcPr>
          <w:p>
            <w:pPr>
              <w:pStyle w:val="Normal"/>
            </w:pPr>
            <w:r>
              <w:t>Gastos totales</w:t>
            </w:r>
          </w:p>
        </w:tc>
        <w:tc>
          <w:tcPr>
            <w:vAlign w:val="center"/>
          </w:tcPr>
          <w:p>
            <w:pPr>
              <w:pStyle w:val="Normal"/>
            </w:pPr>
            <w:r>
              <w:t xml:space="preserve">0</w:t>
            </w:r>
          </w:p>
        </w:tc>
      </w:tr>
    </w:tbl>
    <w:sectPr>
      <w:footerReference xmlns:r="http://schemas.openxmlformats.org/officeDocument/2006/relationships" w:type="default" r:id="R066e33054f3140ba"/>
      <w:headerReference xmlns:ns0="http://schemas.openxmlformats.org/officeDocument/2006/relationships" w:type="default" ns0:id="rId1"/>
      <w:pgSz w:w="12240" w:h="15840" w:orient="landscape"/>
      <w:pgMar w:top="720" w:right="720" w:bottom="720" w:left="720"/>
    </w:sectPr>
  </w:body>
</w:document>
</file>

<file path=word/footer1.xml><?xml version="1.0" encoding="utf-8"?>
<w:ftr xmlns:w="http://schemas.openxmlformats.org/wordprocessingml/2006/main">
  <w:p>
    <w:pPr>
      <w:jc w:val="right"/>
    </w:pPr>
    <w:r>
      <w:fldChar w:fldCharType="begin"/>
    </w:r>
    <w:r>
      <w:instrText xml:space="preserve"> PAGE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style xmlns:w="http://schemas.openxmlformats.org/wordprocessingml/2006/main" w:type="paragraph" w:styleId="Normal" w:default="1">
    <w:name w:val="Normal"/>
    <w:qFormat/>
  </w:style>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ListParagraph">
    <w:name w:val="List Paragraph"/>
    <w:next w:val="List Paragraph"/>
    <w:pPr>
      <w:keepNext w:val="0"/>
      <w:keepLines w:val="0"/>
      <w:spacing w:before="0" w:after="0" w:line="240" w:lineRule="auto"/>
      <w:ind w:firstLine="0"/>
      <w:contextualSpacing/>
    </w:pPr>
  </w:style>
</w:styles>
</file>

<file path=word/_rels/document.xml.rels><?xml version='1.0' encoding='UTF-8' standalone='yes'?>
<Relationships xmlns="http://schemas.openxmlformats.org/package/2006/relationships"><Relationship Id="R86a81d51952244b3" Type="http://schemas.openxmlformats.org/officeDocument/2006/relationships/styles" Target="styles.xml"/><Relationship Id="R203503465de842c7" Type="http://schemas.openxmlformats.org/officeDocument/2006/relationships/settings" Target="settings.xml"/><Relationship Id="R42cb300ce9c34bc1" Type="http://schemas.openxmlformats.org/officeDocument/2006/relationships/numbering" Target="numbering.xml"/><Relationship Id="R066e33054f3140ba" Type="http://schemas.openxmlformats.org/officeDocument/2006/relationships/footer" Target="footer1.xml"/><Relationship Id="rId1" Type="http://schemas.openxmlformats.org/officeDocument/2006/relationships/header" Target="header1.xml"/></Relationships>
</file>