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bc8cbaf31f64bdb" /><Relationship Type="http://schemas.openxmlformats.org/package/2006/relationships/metadata/core-properties" Target="/package/services/metadata/core-properties/3e4740424001489cad6d72180d87c96c.psmdcp" Id="Rb4f31e5c9757414e" /></Relationships>
</file>

<file path=word/document.xml><?xml version="1.0" encoding="utf-8"?>
<w:document xmlns:w="http://schemas.openxmlformats.org/wordprocessingml/2006/main">
  <w:body>
    <w:p>
      <w:pPr>
        <w:pStyle w:val="Normal"/>
      </w:pPr>
      <w:r>
        <w:rPr>
          <w:b/>
        </w:rPr>
        <w:t xml:space="preserve">Paradise El Sch</w:t>
      </w:r>
    </w:p>
    <w:p>
      <w:pPr>
        <w:pStyle w:val="Normal"/>
      </w:pPr>
      <w:r>
        <w:t xml:space="preserve">Schoolwide Title 1 School Plan | 2026 - 2027</w:t>
      </w:r>
    </w:p>
    <w:p>
      <w:pPr>
        <w:pStyle w:val="Normal"/>
      </w:pPr>
      <w:r>
        <w:br w:type="page"/>
      </w:r>
      <w:r>
        <w:lastRenderedPageBreak/>
      </w:r>
    </w:p>
    <w:p>
      <w:pPr>
        <w:pStyle w:val="Heading1"/>
      </w:pPr>
      <w:r>
        <w:t xml:space="preserve">Profile and Plan Essentials</w:t>
      </w:r>
    </w:p>
    <w:tbl>
      <w:tblPr>
        <w:tblStyle w:val="TableGrid"/>
        <w:tblW w:w="5000" w:type="pct"/>
      </w:tblPr>
      <w:tblGrid>
        <w:gridCol/>
        <w:gridCol/>
        <w:gridCol/>
      </w:tblGrid>
      <w:tr>
        <w:trPr/>
        <w:tc>
          <w:tcPr>
            <w:gridSpan w:val="2"/>
            <w:vAlign w:val="center"/>
          </w:tcPr>
          <w:p>
            <w:pPr>
              <w:pStyle w:val="Normal"/>
            </w:pPr>
            <w:r>
              <w:rPr>
                <w:b/>
              </w:rPr>
              <w:t xml:space="preserve">School</w:t>
            </w:r>
          </w:p>
        </w:tc>
        <w:tc>
          <w:tcPr>
            <w:vAlign w:val="center"/>
          </w:tcPr>
          <w:p>
            <w:pPr>
              <w:pStyle w:val="Normal"/>
            </w:pPr>
            <w:r>
              <w:t xml:space="preserve">AUN/Branch</w:t>
            </w:r>
          </w:p>
        </w:tc>
      </w:tr>
      <w:tr>
        <w:trPr/>
        <w:tc>
          <w:tcPr>
            <w:gridSpan w:val="2"/>
            <w:vAlign w:val="center"/>
          </w:tcPr>
          <w:p>
            <w:pPr>
              <w:pStyle w:val="Normal"/>
            </w:pPr>
            <w:r>
              <w:t xml:space="preserve">Paradise El Sch</w:t>
            </w:r>
          </w:p>
        </w:tc>
        <w:tc>
          <w:tcPr>
            <w:vAlign w:val="center"/>
          </w:tcPr>
          <w:p>
            <w:pPr>
              <w:pStyle w:val="Normal"/>
            </w:pPr>
            <w:r>
              <w:t xml:space="preserve">113365303</w:t>
            </w:r>
          </w:p>
        </w:tc>
      </w:tr>
      <w:tr>
        <w:trPr/>
        <w:tc>
          <w:tcPr>
            <w:gridSpan w:val="3"/>
            <w:vAlign w:val="center"/>
          </w:tcPr>
          <w:p>
            <w:pPr>
              <w:pStyle w:val="Normal"/>
            </w:pPr>
            <w:r>
              <w:rPr>
                <w:b/>
              </w:rPr>
              <w:t xml:space="preserve">Address 1</w:t>
            </w:r>
          </w:p>
        </w:tc>
      </w:tr>
      <w:tr>
        <w:trPr/>
        <w:tc>
          <w:tcPr>
            <w:gridSpan w:val="3"/>
            <w:vAlign w:val="center"/>
          </w:tcPr>
          <w:p>
            <w:pPr>
              <w:pStyle w:val="Normal"/>
            </w:pPr>
            <w:r>
              <w:t xml:space="preserve">20 N Belmont Rd</w:t>
            </w:r>
          </w:p>
        </w:tc>
      </w:tr>
      <w:tr>
        <w:trPr/>
        <w:tc>
          <w:tcPr>
            <w:gridSpan w:val="3"/>
            <w:vAlign w:val="center"/>
          </w:tcPr>
          <w:p>
            <w:pPr>
              <w:pStyle w:val="Normal"/>
            </w:pPr>
            <w:r>
              <w:rPr>
                <w:b/>
              </w:rPr>
              <w:t xml:space="preserve">Address 2</w:t>
            </w:r>
          </w:p>
        </w:tc>
      </w:tr>
      <w:tr>
        <w:trPr/>
        <w:tc>
          <w:tcPr>
            <w:gridSpan w:val="3"/>
            <w:vAlign w:val="center"/>
          </w:tcPr>
          <w:p/>
        </w:tc>
      </w:tr>
      <w:tr>
        <w:trPr/>
        <w:tc>
          <w:tcPr>
            <w:vAlign w:val="center"/>
          </w:tcPr>
          <w:p>
            <w:pPr>
              <w:pStyle w:val="Normal"/>
            </w:pPr>
            <w:r>
              <w:rPr>
                <w:b/>
              </w:rPr>
              <w:t xml:space="preserve">City</w:t>
            </w:r>
          </w:p>
        </w:tc>
        <w:tc>
          <w:tcPr>
            <w:vAlign w:val="center"/>
          </w:tcPr>
          <w:p>
            <w:pPr>
              <w:pStyle w:val="Normal"/>
            </w:pPr>
            <w:r>
              <w:rPr>
                <w:b/>
              </w:rPr>
              <w:t xml:space="preserve">State</w:t>
            </w:r>
          </w:p>
        </w:tc>
        <w:tc>
          <w:tcPr>
            <w:vAlign w:val="center"/>
          </w:tcPr>
          <w:p>
            <w:pPr>
              <w:pStyle w:val="Normal"/>
            </w:pPr>
            <w:r>
              <w:rPr>
                <w:b/>
              </w:rPr>
              <w:t xml:space="preserve">Zip Code</w:t>
            </w:r>
          </w:p>
        </w:tc>
      </w:tr>
      <w:tr>
        <w:trPr/>
        <w:tc>
          <w:tcPr>
            <w:vAlign w:val="center"/>
          </w:tcPr>
          <w:p>
            <w:pPr>
              <w:pStyle w:val="Normal"/>
            </w:pPr>
            <w:r>
              <w:t xml:space="preserve">Paradise</w:t>
            </w:r>
          </w:p>
        </w:tc>
        <w:tc>
          <w:tcPr>
            <w:vAlign w:val="center"/>
          </w:tcPr>
          <w:p>
            <w:pPr>
              <w:pStyle w:val="Normal"/>
            </w:pPr>
            <w:r>
              <w:t xml:space="preserve">PA</w:t>
            </w:r>
          </w:p>
        </w:tc>
        <w:tc>
          <w:tcPr>
            <w:vAlign w:val="center"/>
          </w:tcPr>
          <w:p>
            <w:pPr>
              <w:pStyle w:val="Normal"/>
            </w:pPr>
            <w:r>
              <w:t xml:space="preserve">17562</w:t>
            </w:r>
          </w:p>
        </w:tc>
      </w:tr>
      <w:tr>
        <w:trPr/>
        <w:tc>
          <w:tcPr>
            <w:gridSpan w:val="2"/>
            <w:vAlign w:val="center"/>
          </w:tcPr>
          <w:p>
            <w:pPr>
              <w:pStyle w:val="Normal"/>
            </w:pPr>
            <w:r>
              <w:rPr>
                <w:b/>
              </w:rPr>
              <w:t xml:space="preserve">Chief School Administrator</w:t>
            </w:r>
          </w:p>
        </w:tc>
        <w:tc>
          <w:tcPr>
            <w:vAlign w:val="center"/>
          </w:tcPr>
          <w:p>
            <w:pPr>
              <w:pStyle w:val="Normal"/>
            </w:pPr>
            <w:r>
              <w:rPr>
                <w:b/>
              </w:rPr>
              <w:t xml:space="preserve">Chief School Administrator Email</w:t>
            </w:r>
          </w:p>
        </w:tc>
      </w:tr>
      <w:tr>
        <w:trPr/>
        <w:tc>
          <w:tcPr>
            <w:gridSpan w:val="2"/>
            <w:vAlign w:val="center"/>
          </w:tcPr>
          <w:p>
            <w:pPr>
              <w:pStyle w:val="Normal"/>
            </w:pPr>
            <w:r>
              <w:t xml:space="preserve">Dr Erik B Orndorff</w:t>
            </w:r>
          </w:p>
        </w:tc>
        <w:tc>
          <w:tcPr>
            <w:vAlign w:val="center"/>
          </w:tcPr>
          <w:p>
            <w:pPr>
              <w:pStyle w:val="Normal"/>
            </w:pPr>
            <w:r>
              <w:t xml:space="preserve">erik_orndorff@pequeavalley.org</w:t>
            </w:r>
          </w:p>
        </w:tc>
      </w:tr>
      <w:tr>
        <w:trPr/>
        <w:tc>
          <w:tcPr>
            <w:gridSpan w:val="3"/>
            <w:vAlign w:val="center"/>
          </w:tcPr>
          <w:p>
            <w:pPr>
              <w:pStyle w:val="Normal"/>
            </w:pPr>
            <w:r>
              <w:rPr>
                <w:b/>
              </w:rPr>
              <w:t xml:space="preserve">Principal Name</w:t>
            </w:r>
          </w:p>
        </w:tc>
      </w:tr>
      <w:tr>
        <w:trPr/>
        <w:tc>
          <w:tcPr>
            <w:gridSpan w:val="3"/>
            <w:vAlign w:val="center"/>
          </w:tcPr>
          <w:p>
            <w:pPr>
              <w:pStyle w:val="Normal"/>
            </w:pPr>
            <w:r>
              <w:t xml:space="preserve">Dr. Rick Esche</w:t>
            </w:r>
          </w:p>
        </w:tc>
      </w:tr>
      <w:tr>
        <w:trPr/>
        <w:tc>
          <w:tcPr>
            <w:gridSpan w:val="3"/>
            <w:vAlign w:val="center"/>
          </w:tcPr>
          <w:p>
            <w:pPr>
              <w:pStyle w:val="Normal"/>
            </w:pPr>
            <w:r>
              <w:rPr>
                <w:b/>
              </w:rPr>
              <w:t xml:space="preserve">Principal Email</w:t>
            </w:r>
          </w:p>
        </w:tc>
      </w:tr>
      <w:tr>
        <w:trPr/>
        <w:tc>
          <w:tcPr>
            <w:gridSpan w:val="3"/>
            <w:vAlign w:val="center"/>
          </w:tcPr>
          <w:p>
            <w:pPr>
              <w:pStyle w:val="Normal"/>
            </w:pPr>
            <w:r>
              <w:t xml:space="preserve">rick_esche@pequeavalley.org</w:t>
            </w:r>
          </w:p>
        </w:tc>
      </w:tr>
      <w:tr>
        <w:trPr/>
        <w:tc>
          <w:tcPr>
            <w:gridSpan w:val="2"/>
            <w:vAlign w:val="center"/>
          </w:tcPr>
          <w:p>
            <w:pPr>
              <w:pStyle w:val="Normal"/>
            </w:pPr>
            <w:r>
              <w:rPr>
                <w:b/>
              </w:rPr>
              <w:t xml:space="preserve">Principal Phone Number</w:t>
            </w:r>
          </w:p>
        </w:tc>
        <w:tc>
          <w:tcPr>
            <w:vAlign w:val="center"/>
          </w:tcPr>
          <w:p>
            <w:pPr>
              <w:pStyle w:val="Normal"/>
            </w:pPr>
            <w:r>
              <w:rPr>
                <w:b/>
              </w:rPr>
              <w:t xml:space="preserve">Principal Extension</w:t>
            </w:r>
          </w:p>
        </w:tc>
      </w:tr>
      <w:tr>
        <w:trPr/>
        <w:tc>
          <w:tcPr>
            <w:gridSpan w:val="2"/>
            <w:vAlign w:val="center"/>
          </w:tcPr>
          <w:p>
            <w:pPr>
              <w:pStyle w:val="Normal"/>
            </w:pPr>
            <w:r>
              <w:t xml:space="preserve">717-768-5560</w:t>
            </w:r>
          </w:p>
        </w:tc>
        <w:tc>
          <w:tcPr>
            <w:vAlign w:val="center"/>
          </w:tcPr>
          <w:p/>
        </w:tc>
      </w:tr>
      <w:tr>
        <w:trPr/>
        <w:tc>
          <w:tcPr>
            <w:gridSpan w:val="2"/>
            <w:vAlign w:val="center"/>
          </w:tcPr>
          <w:p>
            <w:pPr>
              <w:pStyle w:val="Normal"/>
            </w:pPr>
            <w:r>
              <w:rPr>
                <w:b/>
              </w:rPr>
              <w:t xml:space="preserve">School Improvement Facilitator Name</w:t>
            </w:r>
          </w:p>
        </w:tc>
        <w:tc>
          <w:tcPr>
            <w:vAlign w:val="center"/>
          </w:tcPr>
          <w:p>
            <w:pPr>
              <w:pStyle w:val="Normal"/>
            </w:pPr>
            <w:r>
              <w:rPr>
                <w:b/>
              </w:rPr>
              <w:t xml:space="preserve">School Improvement Facilitator Email</w:t>
            </w:r>
          </w:p>
        </w:tc>
      </w:tr>
      <w:tr>
        <w:trPr/>
        <w:tc>
          <w:tcPr>
            <w:gridSpan w:val="2"/>
            <w:vAlign w:val="center"/>
          </w:tcPr>
          <w:p/>
        </w:tc>
        <w:tc>
          <w:tcPr>
            <w:vAlign w:val="center"/>
          </w:tcPr>
          <w:p/>
        </w:tc>
      </w:tr>
    </w:tbl>
    <w:p>
      <w:pPr>
        <w:pStyle w:val="Normal"/>
      </w:pPr>
      <w:r>
        <w:br w:type="page"/>
      </w:r>
      <w:r>
        <w:lastRenderedPageBreak/>
      </w:r>
    </w:p>
    <w:p>
      <w:pPr>
        <w:pStyle w:val="Heading1"/>
      </w:pPr>
      <w:r>
        <w:t xml:space="preserve">Vision for Learning</w:t>
      </w:r>
    </w:p>
    <w:p>
      <w:pPr>
        <w:pStyle w:val="Normal"/>
      </w:pPr>
      <w:r>
        <w:rPr>
          <w:b/>
        </w:rPr>
        <w:t xml:space="preserve">Vision for Learning</w:t>
      </w:r>
    </w:p>
    <w:p>
      <w:pPr>
        <w:pStyle w:val="Normal"/>
      </w:pPr>
      <w:r>
        <w:t xml:space="preserve">Mission Statement The Pequea Valley School District will strive to create an "Ideal Learning Environment" that inspires each learner to excel. "Ideal Learning Experience" - Meeting each learner at his/her (interest/learning) level, challenging them, so that everyone is motivated to return tomorrow. Vision Statement Pequea Valley School District, "Where Each Learner Counts."</w:t>
      </w:r>
    </w:p>
    <w:p>
      <w:pPr>
        <w:pStyle w:val="Normal"/>
      </w:pPr>
      <w:r>
        <w:br w:type="page"/>
      </w:r>
      <w:r>
        <w:lastRenderedPageBreak/>
      </w:r>
    </w:p>
    <w:p>
      <w:pPr>
        <w:pStyle w:val="Heading1"/>
      </w:pPr>
      <w:r>
        <w:t xml:space="preserve">Future Ready PA Index</w:t>
      </w:r>
    </w:p>
    <w:p>
      <w:pPr>
        <w:pStyle w:val="Heading2"/>
      </w:pPr>
      <w:r>
        <w:t xml:space="preserve">Proficient or Advanced in English Language Arts/Literature</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Elementary's All Student Group achieved 50.2% proficiency in English Language Arts/Literature, performing slightly above the statewide average of 49.9%. While overall performance exceeded the statewide average, the school did not meet its interim improvement target. Achievement gaps remain among economically disadvantaged students and students with disabilities, indicating a continued need for targeted instructional support while building on the school's positive academic growth.</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True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Hispanic</w:t>
            </w:r>
          </w:p>
        </w:tc>
        <w:tc>
          <w:tcPr>
            <w:vAlign w:val="center"/>
          </w:tcPr>
          <w:p>
            <w:pPr>
              <w:pStyle w:val="Normal"/>
            </w:pPr>
            <w:r>
              <w:t xml:space="preserve">Hispanic students demonstrated a strength in English Language Arts proficiency, achieving 56.0% proficient or advanced, which exceeded both the school's All Student Group performance and the statewide average for all students. This reflects successful instructional supports for this subgroup.</w:t>
            </w:r>
          </w:p>
        </w:tc>
      </w:tr>
      <w:tr>
        <w:trPr/>
        <w:tc>
          <w:tcPr>
            <w:vAlign w:val="center"/>
          </w:tcPr>
          <w:p>
            <w:pPr>
              <w:pStyle w:val="Normal"/>
            </w:pPr>
            <w:r>
              <w:t xml:space="preserve">White</w:t>
            </w:r>
          </w:p>
        </w:tc>
        <w:tc>
          <w:tcPr>
            <w:vAlign w:val="center"/>
          </w:tcPr>
          <w:p>
            <w:pPr>
              <w:pStyle w:val="Normal"/>
            </w:pPr>
            <w:r>
              <w:t xml:space="preserve">White students achieved 50.9% proficiency in English Language Arts/Literature, performing above the school's All Student Group (50.2%) and slightly above the statewide average for all students. This subgroup demonstrated consistent performance in meeting grade-level expectations.</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Students with disabilities achieved 17.6% proficiency in English Language Arts/Literature, substantially below the All Student Group performance. Continued emphasis on evidence-based Tier I instruction, specially designed instruction, and targeted MTSS interventions is needed to improve achievement outcomes for this subgroup.</w:t>
            </w:r>
          </w:p>
        </w:tc>
      </w:tr>
      <w:tr>
        <w:trPr/>
        <w:tc>
          <w:tcPr>
            <w:vAlign w:val="center"/>
          </w:tcPr>
          <w:p>
            <w:pPr>
              <w:pStyle w:val="Normal"/>
            </w:pPr>
            <w:r>
              <w:t xml:space="preserve">Economically Disadvantaged</w:t>
            </w:r>
          </w:p>
        </w:tc>
        <w:tc>
          <w:tcPr>
            <w:vAlign w:val="center"/>
          </w:tcPr>
          <w:p>
            <w:pPr>
              <w:pStyle w:val="Normal"/>
            </w:pPr>
            <w:r>
              <w:t xml:space="preserve">Economically disadvantaged students achieved 42.6% proficiency in English Language Arts/Literature, below the All Student Group performance. Given that nearly 45% of Paradise Elementary students are economically disadvantaged, continued Title I-supported interventions, MTSS programming, and family engagement efforts remain important strategies for increasing student achievement.</w:t>
            </w:r>
          </w:p>
        </w:tc>
      </w:tr>
    </w:tbl>
    <w:p>
      <w:pPr>
        <w:pStyle w:val="Heading2"/>
      </w:pPr>
      <w:r>
        <w:t xml:space="preserve">Proficient or Advanced in Mathematics/Algebra</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Elementary's All Student Group achieved 46.4% proficiency in Mathematics, exceeding the statewide average of 41.7%. Although overall performance was above the statewide average, the school did not meet its interim improvement target. Achievement gaps remain for economically disadvantaged students and students with disabilities, indicating the need to continue strengthening core instruction and targeted interventions.</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True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White students achieved 49.7% proficiency in Mathematics, exceeding both the school's All Student Group performance and the statewide average. This subgroup demonstrated consistent academic performance in mathematics.</w:t>
            </w:r>
          </w:p>
        </w:tc>
      </w:tr>
      <w:tr>
        <w:trPr/>
        <w:tc>
          <w:tcPr>
            <w:vAlign w:val="center"/>
          </w:tcPr>
          <w:p>
            <w:pPr>
              <w:pStyle w:val="Normal"/>
            </w:pPr>
            <w:r>
              <w:t xml:space="preserve">Hispanic</w:t>
            </w:r>
          </w:p>
        </w:tc>
        <w:tc>
          <w:tcPr>
            <w:vAlign w:val="center"/>
          </w:tcPr>
          <w:p>
            <w:pPr>
              <w:pStyle w:val="Normal"/>
            </w:pPr>
            <w:r>
              <w:t xml:space="preserve">Hispanic students achieved 40.0% proficiency in Mathematics, performing close to the statewide average despite representing a smaller student subgroup. This reflects positive achievement relative to statewide expectations and provides a foundation for continued growth.</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Economically Disadvantaged</w:t>
            </w:r>
          </w:p>
        </w:tc>
        <w:tc>
          <w:tcPr>
            <w:vAlign w:val="center"/>
          </w:tcPr>
          <w:p>
            <w:pPr>
              <w:pStyle w:val="Normal"/>
            </w:pPr>
            <w:r>
              <w:t xml:space="preserve">Economically disadvantaged students achieved 37.0% proficiency in Mathematics, below the All Student Group performance. Continued implementation of Title I-supported intervention services, MTSS programming, and targeted instructional supports will be important to increase mathematics achievement for this subgroup.</w:t>
            </w:r>
          </w:p>
        </w:tc>
      </w:tr>
      <w:tr>
        <w:trPr/>
        <w:tc>
          <w:tcPr>
            <w:vAlign w:val="center"/>
          </w:tcPr>
          <w:p>
            <w:pPr>
              <w:pStyle w:val="Normal"/>
            </w:pPr>
            <w:r>
              <w:t xml:space="preserve">Students with Disabilities</w:t>
            </w:r>
          </w:p>
        </w:tc>
        <w:tc>
          <w:tcPr>
            <w:vAlign w:val="center"/>
          </w:tcPr>
          <w:p>
            <w:pPr>
              <w:pStyle w:val="Normal"/>
            </w:pPr>
            <w:r>
              <w:t xml:space="preserve">Students with disabilities achieved 11.8% proficiency in Mathematics, substantially below the All Student Group. Continued emphasis on evidence-based mathematics instruction, specially designed instruction, and targeted MTSS interventions is needed to improve achievement for this subgroup.</w:t>
            </w:r>
          </w:p>
        </w:tc>
      </w:tr>
    </w:tbl>
    <w:p>
      <w:pPr>
        <w:pStyle w:val="Heading2"/>
      </w:pPr>
      <w:r>
        <w:t xml:space="preserve">Meeting Annual Academic Growth Expectations (PVAAS) in English Language Arts/Literature</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 demonstrated positive academic growth in English Language Arts, earning a PVAAS Growth Score of 77.0, which exceeded the statewide growth standard of 70.0. While overall proficiency remains an area for continued improvement, the school's growth results indicate that instructional practices are effectively accelerating student learning.</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Combined Ethnicity</w:t>
            </w:r>
          </w:p>
        </w:tc>
        <w:tc>
          <w:tcPr>
            <w:vAlign w:val="center"/>
          </w:tcPr>
          <w:p>
            <w:pPr>
              <w:pStyle w:val="Normal"/>
            </w:pPr>
            <w:r>
              <w:t xml:space="preserve">The Combined Ethnicity subgroup earned a PVAAS Growth Score of 80.0, exceeding the statewide growth standard and demonstrating strong academic growth in English Language Arts. Students in this subgroup made more than one year's academic growth during the school year.</w:t>
            </w:r>
          </w:p>
        </w:tc>
      </w:tr>
      <w:tr>
        <w:trPr/>
        <w:tc>
          <w:tcPr>
            <w:vAlign w:val="center"/>
          </w:tcPr>
          <w:p>
            <w:pPr>
              <w:pStyle w:val="Normal"/>
            </w:pPr>
            <w:r>
              <w:t xml:space="preserve">White</w:t>
            </w:r>
          </w:p>
        </w:tc>
        <w:tc>
          <w:tcPr>
            <w:vAlign w:val="center"/>
          </w:tcPr>
          <w:p>
            <w:pPr>
              <w:pStyle w:val="Normal"/>
            </w:pPr>
            <w:r>
              <w:t xml:space="preserve">White students earned a PVAAS Growth Score of 75.0, meeting the statewide growth standard and demonstrating expected annual academic growth in English Language Arts.</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Students with disabilities earned a PVAAS Growth Score of 68.0, slightly below the statewide growth standard of 70. Continued monitoring of instructional effectiveness and targeted interventions will support increased academic growth for this subgroup.</w:t>
            </w:r>
          </w:p>
        </w:tc>
      </w:tr>
    </w:tbl>
    <w:p>
      <w:pPr>
        <w:pStyle w:val="Heading2"/>
      </w:pPr>
      <w:r>
        <w:t xml:space="preserve">Meeting Annual Academic Growth Expectations (PVAAS) in Mathematics/Algebra</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 exceeded the statewide academic growth standard in Mathematics, earning a PVAAS Growth Score of 80.0. These results indicate that students made more than one year's academic growth, reflecting the effectiveness of mathematics instruction, intervention supports, and data-informed instructional practices.</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White students earned a PVAAS Growth Score of 86.0, exceeding the statewide growth standard and demonstrating more than one year's academic growth in Mathematics.</w:t>
            </w:r>
          </w:p>
        </w:tc>
      </w:tr>
      <w:tr>
        <w:trPr/>
        <w:tc>
          <w:tcPr>
            <w:vAlign w:val="center"/>
          </w:tcPr>
          <w:p>
            <w:pPr>
              <w:pStyle w:val="Normal"/>
            </w:pPr>
            <w:r>
              <w:t xml:space="preserve">Economically Disadvantaged</w:t>
            </w:r>
          </w:p>
        </w:tc>
        <w:tc>
          <w:tcPr>
            <w:vAlign w:val="center"/>
          </w:tcPr>
          <w:p>
            <w:pPr>
              <w:pStyle w:val="Normal"/>
            </w:pPr>
            <w:r>
              <w:t xml:space="preserve">Economically disadvantaged students earned a PVAAS Growth Score of 74.0, exceeding the statewide growth standard. This demonstrates that students in this subgroup made expected or greater than expected academic growth in Mathematics during the school year.</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Combined Ethnicity</w:t>
            </w:r>
          </w:p>
        </w:tc>
        <w:tc>
          <w:tcPr>
            <w:vAlign w:val="center"/>
          </w:tcPr>
          <w:p>
            <w:pPr>
              <w:pStyle w:val="Normal"/>
            </w:pPr>
            <w:r>
              <w:t xml:space="preserve">The Combined Ethnicity subgroup earned a PVAAS Growth Score of 66.0, below the statewide growth standard of 70. Continued monitoring of instructional practices and targeted supports will help accelerate mathematics growth for this subgroup.</w:t>
            </w:r>
          </w:p>
        </w:tc>
      </w:tr>
    </w:tbl>
    <w:p>
      <w:pPr>
        <w:pStyle w:val="Heading2"/>
      </w:pPr>
      <w:r>
        <w:t xml:space="preserve">English Language Growth and Attainment </w:t>
      </w:r>
    </w:p>
    <w:p>
      <w:pPr>
        <w:pStyle w:val="Normal"/>
      </w:pPr>
      <w:r>
        <w:rPr>
          <w:b/>
        </w:rPr>
        <w:t xml:space="preserve">True </w:t>
      </w:r>
      <w:r>
        <w:t xml:space="preserve">We do not have Future Ready Pa Index Data for this indicator</w:t>
      </w:r>
    </w:p>
    <w:p>
      <w:pPr>
        <w:pStyle w:val="Heading3"/>
      </w:pPr>
      <w:r>
        <w:t xml:space="preserve">Comments/Notable Observations</w:t>
      </w:r>
    </w:p>
    <w:p>
      <w:pPr>
        <w:pStyle w:val="Normal"/>
      </w:pPr>
      <w:r>
        <w:t xml:space="preserve">Paradise Elementary did not receive a performance designation for the English Language Growth and Attainment indicator due to an insufficient sample size. Because there were not enough English Learners included in the accountability measure, no conclusions can be drawn regarding student performance or growth for this indicator.</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2"/>
      </w:pPr>
      <w:r>
        <w:t xml:space="preserve">Regular Attendance </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 achieved a 90.0% regular attendance rate, exceeding the statewide average of 79.6% and meeting the state performance standard. Strong attendance reflects positive student engagement, effective family partnerships, and a school climate that supports consistent student participation.</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Multi-Racial (not Hispanic)</w:t>
            </w:r>
          </w:p>
        </w:tc>
        <w:tc>
          <w:tcPr>
            <w:vAlign w:val="center"/>
          </w:tcPr>
          <w:p>
            <w:pPr>
              <w:pStyle w:val="Normal"/>
            </w:pPr>
            <w:r>
              <w:t xml:space="preserve">Students identified as Two or More Races achieved a 90.5% regular attendance rate, exceeding the school's overall attendance rate and meeting the state performance standard for regular attendance.</w:t>
            </w:r>
          </w:p>
        </w:tc>
      </w:tr>
      <w:tr>
        <w:trPr/>
        <w:tc>
          <w:tcPr>
            <w:vAlign w:val="center"/>
          </w:tcPr>
          <w:p>
            <w:pPr>
              <w:pStyle w:val="Normal"/>
            </w:pPr>
            <w:r>
              <w:t xml:space="preserve">White</w:t>
            </w:r>
          </w:p>
        </w:tc>
        <w:tc>
          <w:tcPr>
            <w:vAlign w:val="center"/>
          </w:tcPr>
          <w:p>
            <w:pPr>
              <w:pStyle w:val="Normal"/>
            </w:pPr>
            <w:r>
              <w:t xml:space="preserve">White students achieved a 92.3% regular attendance rate, exceeding both the school's overall attendance rate and demonstrating strong, consistent student engagement.</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English Learners</w:t>
            </w:r>
          </w:p>
        </w:tc>
        <w:tc>
          <w:tcPr>
            <w:vAlign w:val="center"/>
          </w:tcPr>
          <w:p>
            <w:pPr>
              <w:pStyle w:val="Normal"/>
            </w:pPr>
            <w:r>
              <w:t xml:space="preserve">English Learners achieved a 79.2% regular attendance rate, well below the school's overall attendance rate. Continued family outreach, communication, and attendance supports will help improve consistent school attendance for this subgroup.</w:t>
            </w:r>
          </w:p>
        </w:tc>
      </w:tr>
    </w:tbl>
    <w:p>
      <w:pPr>
        <w:pStyle w:val="Heading2"/>
      </w:pPr>
      <w:r>
        <w:t xml:space="preserve">Career Standards Benchmark </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Paradise Elementary achieved 100% on the Career Standards Benchmark, exceeding both the statewide average and the statewide performance goal. These results demonstrate consistent implementation of Pennsylvania Career Education and Work Standards through classroom instruction and career awareness experiences that prepare students for future academic and career success.</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White students achieved a 100% Career Standards Benchmark, demonstrating consistent participation in career awareness and career readiness experiences aligned to Pennsylvania Career Education and Work Standards.</w:t>
            </w:r>
          </w:p>
        </w:tc>
      </w:tr>
      <w:tr>
        <w:trPr/>
        <w:tc>
          <w:tcPr>
            <w:vAlign w:val="center"/>
          </w:tcPr>
          <w:p>
            <w:pPr>
              <w:pStyle w:val="Normal"/>
            </w:pPr>
            <w:r>
              <w:t xml:space="preserve">Economically Disadvantaged</w:t>
            </w:r>
          </w:p>
        </w:tc>
        <w:tc>
          <w:tcPr>
            <w:vAlign w:val="center"/>
          </w:tcPr>
          <w:p>
            <w:pPr>
              <w:pStyle w:val="Normal"/>
            </w:pPr>
            <w:r>
              <w:t xml:space="preserve">Economically disadvantaged students also achieved a 100% Career Standards Benchmark, demonstrating equitable access to career awareness experiences and successful implementation of career education programming for this subgroup.</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There are no subgroups to note as a challenge since all groups met the goal with 100% completion.</w:t>
            </w:r>
          </w:p>
        </w:tc>
      </w:tr>
    </w:tbl>
    <w:p>
      <w:pPr>
        <w:pStyle w:val="Heading2"/>
      </w:pPr>
      <w:r>
        <w:t xml:space="preserve">High School Graduation Rate Four-Year Cohort</w:t>
      </w:r>
    </w:p>
    <w:p>
      <w:pPr>
        <w:pStyle w:val="Normal"/>
      </w:pPr>
      <w:r>
        <w:rPr>
          <w:b/>
        </w:rPr>
        <w:t xml:space="preserve">True </w:t>
      </w:r>
      <w:r>
        <w:t xml:space="preserve">We do not have Future Ready Pa Index Data for this indicator</w:t>
      </w:r>
    </w:p>
    <w:p>
      <w:pPr>
        <w:pStyle w:val="Heading3"/>
      </w:pPr>
      <w:r>
        <w:t xml:space="preserve">Comments/Notable Observations</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2"/>
      </w:pPr>
      <w:r>
        <w:t xml:space="preserve">Summary</w:t>
      </w:r>
    </w:p>
    <w:p>
      <w:pPr>
        <w:pStyle w:val="Heading3"/>
      </w:pPr>
      <w:r>
        <w:t xml:space="preserve">Strengths</w:t>
      </w:r>
    </w:p>
    <w:p>
      <w:pPr>
        <w:pStyle w:val="Normal"/>
      </w:pPr>
      <w:r>
        <w:t xml:space="preserve">Review the strengths listed. Select the strengths that have had the most significant impact in addressing your most pressing challenges.</w:t>
      </w:r>
    </w:p>
    <w:tbl>
      <w:tblPr>
        <w:tblStyle w:val="TableGrid"/>
        <w:tblW w:w="5000" w:type="pct"/>
      </w:tblPr>
      <w:tblGrid>
        <w:gridCol/>
      </w:tblGrid>
      <w:tr>
        <w:trPr/>
        <w:tc>
          <w:tcPr>
            <w:vAlign w:val="center"/>
          </w:tcPr>
          <w:p>
            <w:pPr>
              <w:pStyle w:val="Normal"/>
            </w:pPr>
            <w:r>
              <w:t xml:space="preserve">Paradise Elementary demonstrated positive academic growth in English Language Arts, earning a PVAAS Growth Score of 77.0, which exceeded the statewide growth standard of 70.0. While overall proficiency remains an area for continued improvement, the school's growth results indicate that instructional practices are effectively accelerating student learning.</w:t>
            </w:r>
          </w:p>
        </w:tc>
      </w:tr>
      <w:tr>
        <w:trPr/>
        <w:tc>
          <w:tcPr>
            <w:vAlign w:val="center"/>
          </w:tcPr>
          <w:p>
            <w:pPr>
              <w:pStyle w:val="Normal"/>
            </w:pPr>
            <w:r>
              <w:t xml:space="preserve">Paradise Elementary exceeded the statewide academic growth standard in Mathematics, earning a PVAAS Growth Score of 80.0. These results indicate that students made more than one year's academic growth, reflecting the effectiveness of mathematics instruction, intervention supports, and data-informed instructional practices.</w:t>
            </w:r>
          </w:p>
        </w:tc>
      </w:tr>
      <w:tr>
        <w:trPr/>
        <w:tc>
          <w:tcPr>
            <w:vAlign w:val="center"/>
          </w:tcPr>
          <w:p>
            <w:pPr>
              <w:pStyle w:val="Normal"/>
            </w:pPr>
            <w:r>
              <w:t xml:space="preserve">Paradise Elementary achieved a 90.0% regular attendance rate, exceeding the statewide average of 79.6% and meeting the state performance standard. Strong attendance reflects positive student engagement, effective family partnerships, and a school climate that supports consistent student participation.</w:t>
            </w:r>
          </w:p>
        </w:tc>
      </w:tr>
      <w:tr>
        <w:trPr/>
        <w:tc>
          <w:tcPr>
            <w:vAlign w:val="center"/>
          </w:tcPr>
          <w:p>
            <w:pPr>
              <w:pStyle w:val="Normal"/>
            </w:pPr>
            <w:r>
              <w:t xml:space="preserve">Paradise Elementary achieved 100% on the Career Standards Benchmark, exceeding both the statewide average and the statewide performance goal. These results demonstrate consistent implementation of Pennsylvania Career Education and Work Standards through classroom instruction and career awareness experiences that prepare students for future academic and career success.</w:t>
            </w:r>
          </w:p>
        </w:tc>
      </w:tr>
    </w:tbl>
    <w:p>
      <w:pPr>
        <w:pStyle w:val="Heading3"/>
      </w:pPr>
      <w:r>
        <w:t xml:space="preserve">Challenges</w:t>
      </w:r>
    </w:p>
    <w:p>
      <w:pPr>
        <w:pStyle w:val="Normal"/>
      </w:pPr>
      <w:r>
        <w:t xml:space="preserve">Review the challenges listed. Select the challenges that, if improved, would have the most impact in achieving your Future Ready PA index targets.</w:t>
      </w:r>
    </w:p>
    <w:tbl>
      <w:tblPr>
        <w:tblStyle w:val="TableGrid"/>
        <w:tblW w:w="5000" w:type="pct"/>
      </w:tblPr>
      <w:tblGrid>
        <w:gridCol/>
      </w:tblGrid>
      <w:tr>
        <w:trPr/>
        <w:tc>
          <w:tcPr>
            <w:vAlign w:val="center"/>
          </w:tcPr>
          <w:p>
            <w:pPr>
              <w:pStyle w:val="Normal"/>
            </w:pPr>
            <w:r>
              <w:t xml:space="preserve">Paradise Elementary's All Student Group achieved 50.2% proficiency in English Language Arts/Literature, performing slightly above the statewide average of 49.9%. While overall performance exceeded the statewide average, the school did not meet its interim improvement target. Achievement gaps remain among economically disadvantaged students and students with disabilities, indicating a continued need for targeted instructional support while building on the school's positive academic growth.</w:t>
            </w:r>
          </w:p>
        </w:tc>
      </w:tr>
      <w:tr>
        <w:trPr/>
        <w:tc>
          <w:tcPr>
            <w:vAlign w:val="center"/>
          </w:tcPr>
          <w:p>
            <w:pPr>
              <w:pStyle w:val="Normal"/>
            </w:pPr>
            <w:r>
              <w:t xml:space="preserve">Students with disabilities achieved 17.6% proficiency in English Language Arts/Literature, substantially below the All Student Group performance. Continued emphasis on evidence-based Tier I instruction, specially designed instruction, and targeted MTSS interventions is needed to improve achievement outcomes for this subgroup.</w:t>
            </w:r>
          </w:p>
        </w:tc>
      </w:tr>
      <w:tr>
        <w:trPr/>
        <w:tc>
          <w:tcPr>
            <w:vAlign w:val="center"/>
          </w:tcPr>
          <w:p>
            <w:pPr>
              <w:pStyle w:val="Normal"/>
            </w:pPr>
            <w:r>
              <w:t xml:space="preserve">Economically disadvantaged students achieved 42.6% proficiency in English Language Arts/Literature, below the All Student Group performance. Given that nearly 45% of Paradise Elementary students are economically disadvantaged, continued Title I-supported interventions, MTSS programming, and family engagement efforts remain important strategies for increasing student achievement.</w:t>
            </w:r>
          </w:p>
        </w:tc>
      </w:tr>
      <w:tr>
        <w:trPr/>
        <w:tc>
          <w:tcPr>
            <w:vAlign w:val="center"/>
          </w:tcPr>
          <w:p>
            <w:pPr>
              <w:pStyle w:val="Normal"/>
            </w:pPr>
            <w:r>
              <w:t xml:space="preserve">Paradise Elementary's All Student Group achieved 46.4% proficiency in Mathematics, exceeding the statewide average of 41.7%. Although overall performance was above the statewide average, the school did not meet its interim improvement target. Achievement gaps remain for economically disadvantaged students and students with disabilities, indicating the need to continue strengthening core instruction and targeted interventions.</w:t>
            </w:r>
          </w:p>
        </w:tc>
      </w:tr>
    </w:tbl>
    <w:p>
      <w:pPr>
        <w:pStyle w:val="Normal"/>
      </w:pPr>
      <w:r>
        <w:br w:type="page"/>
      </w:r>
      <w:r>
        <w:lastRenderedPageBreak/>
      </w:r>
    </w:p>
    <w:p>
      <w:pPr>
        <w:pStyle w:val="Heading1"/>
      </w:pPr>
      <w:r>
        <w:t xml:space="preserve">Local Assessment</w:t>
      </w:r>
    </w:p>
    <w:p>
      <w:pPr>
        <w:pStyle w:val="Heading2"/>
      </w:pPr>
      <w:r>
        <w:t xml:space="preserve">English Language Arts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NWEA MAP Reading results indicate students achieved a 70th percentile median growth, exceeding expected national growth.</w:t>
            </w:r>
          </w:p>
        </w:tc>
        <w:tc>
          <w:tcPr>
            <w:vAlign w:val="center"/>
          </w:tcPr>
          <w:p>
            <w:pPr>
              <w:pStyle w:val="Normal"/>
            </w:pPr>
            <w:r>
              <w:t xml:space="preserve">Students demonstrated strong academic growth in reading while overall achievement.</w:t>
            </w:r>
          </w:p>
        </w:tc>
      </w:tr>
      <w:tr>
        <w:trPr/>
        <w:tc>
          <w:tcPr>
            <w:vAlign w:val="center"/>
          </w:tcPr>
          <w:p>
            <w:pPr>
              <w:pStyle w:val="Normal"/>
            </w:pPr>
            <w:r>
              <w:t xml:space="preserve">NWEA MAP - Schoolwide reading achievement also increased from the 51st percentile in Fall 2025 to the 63rd percentile in Spring 2026, demonstrating meaningful academic progress across the school year.</w:t>
            </w:r>
          </w:p>
        </w:tc>
        <w:tc>
          <w:tcPr>
            <w:vAlign w:val="center"/>
          </w:tcPr>
          <w:p>
            <w:pPr>
              <w:pStyle w:val="Normal"/>
            </w:pPr>
            <w:r>
              <w:t xml:space="preserve">Students demonstrated strong academic growth in reading while overall achievement.</w:t>
            </w:r>
          </w:p>
        </w:tc>
      </w:tr>
      <w:tr>
        <w:trPr/>
        <w:tc>
          <w:tcPr>
            <w:vAlign w:val="center"/>
          </w:tcPr>
          <w:p>
            <w:pPr>
              <w:pStyle w:val="Normal"/>
            </w:pPr>
            <w:r>
              <w:t xml:space="preserve">mCLASS DIBELS 8 Composite Benchmark results showed the percentage of students performing Above Benchmark increased from 21% at the Beginning of Year to 40% at the End of Year, while students identified as Well Below Benchmark decreased from 31% to 23%.</w:t>
            </w:r>
          </w:p>
        </w:tc>
        <w:tc>
          <w:tcPr>
            <w:vAlign w:val="center"/>
          </w:tcPr>
          <w:p>
            <w:pPr>
              <w:pStyle w:val="Normal"/>
            </w:pPr>
            <w:r>
              <w:t xml:space="preserve">Foundational literacy outcomes improved throughout the school year. These data indicate that literacy interventions and core instruction positively impacted foundational reading skills.</w:t>
            </w:r>
          </w:p>
        </w:tc>
      </w:tr>
    </w:tbl>
    <w:p>
      <w:pPr>
        <w:pStyle w:val="Heading2"/>
      </w:pPr>
      <w:r>
        <w:t xml:space="preserve">English Language Arts Summary</w:t>
      </w:r>
    </w:p>
    <w:p>
      <w:pPr>
        <w:pStyle w:val="Heading3"/>
      </w:pPr>
      <w:r>
        <w:t xml:space="preserve">Strengths</w:t>
      </w:r>
    </w:p>
    <w:tbl>
      <w:tblPr>
        <w:tblStyle w:val="TableGrid"/>
        <w:tblW w:w="5000" w:type="pct"/>
      </w:tblPr>
      <w:tblGrid>
        <w:gridCol/>
      </w:tblGrid>
      <w:tr>
        <w:trPr/>
        <w:tc>
          <w:tcPr>
            <w:vAlign w:val="center"/>
          </w:tcPr>
          <w:p>
            <w:pPr>
              <w:pStyle w:val="Normal"/>
            </w:pPr>
            <w:r>
              <w:t xml:space="preserve">NWEA MAP Reading data indicate strong academic growth across the school, with an overall 70th percentile growth, demonstrating that students exceeded expected annual growth.</w:t>
            </w:r>
          </w:p>
        </w:tc>
      </w:tr>
      <w:tr>
        <w:trPr/>
        <w:tc>
          <w:tcPr>
            <w:vAlign w:val="center"/>
          </w:tcPr>
          <w:p>
            <w:pPr>
              <w:pStyle w:val="Normal"/>
            </w:pPr>
            <w:r>
              <w:t xml:space="preserve">Schoolwide reading achievement improved from the 51st percentile in Fall 2025 to the 63rd percentile in Spring 2026, reflecting positive academic progress.</w:t>
            </w:r>
          </w:p>
        </w:tc>
      </w:tr>
      <w:tr>
        <w:trPr/>
        <w:tc>
          <w:tcPr>
            <w:vAlign w:val="center"/>
          </w:tcPr>
          <w:p>
            <w:pPr>
              <w:pStyle w:val="Normal"/>
            </w:pPr>
            <w:r>
              <w:t xml:space="preserve">mCLASS DIBELS 8 data showed a substantial increase in students performing Above Benchmark (21% to 40%) and a reduction in students identified as Well Below Benchmark (31% to 23%), demonstrating the effectiveness of early literacy instruction and intervention.</w:t>
            </w:r>
          </w:p>
        </w:tc>
      </w:tr>
      <w:tr>
        <w:trPr/>
        <w:tc>
          <w:tcPr>
            <w:vAlign w:val="center"/>
          </w:tcPr>
          <w:p>
            <w:pPr>
              <w:pStyle w:val="Normal"/>
            </w:pPr>
            <w:r>
              <w:t xml:space="preserve">NWEA MAP Reading, mCLASS DIBELS 8, and the Future Ready PA Index all indicate strong student growth, suggesting that Paradise Elementary's core literacy instruction, MTSS framework, and intervention programming are positively impacting student learning.</w:t>
            </w:r>
          </w:p>
        </w:tc>
      </w:tr>
    </w:tbl>
    <w:p>
      <w:pPr>
        <w:pStyle w:val="Heading3"/>
      </w:pPr>
      <w:r>
        <w:t xml:space="preserve">Challenges</w:t>
      </w:r>
    </w:p>
    <w:tbl>
      <w:tblPr>
        <w:tblStyle w:val="TableGrid"/>
        <w:tblW w:w="5000" w:type="pct"/>
      </w:tblPr>
      <w:tblGrid>
        <w:gridCol/>
      </w:tblGrid>
      <w:tr>
        <w:trPr/>
        <w:tc>
          <w:tcPr>
            <w:vAlign w:val="center"/>
          </w:tcPr>
          <w:p>
            <w:pPr>
              <w:pStyle w:val="Normal"/>
            </w:pPr>
            <w:r>
              <w:t xml:space="preserve">While students demonstrated strong growth, achievement data indicate continued opportunities to increase the percentage of students performing in the highest achievement bands and meeting grade-level expectations.</w:t>
            </w:r>
          </w:p>
        </w:tc>
      </w:tr>
      <w:tr>
        <w:trPr/>
        <w:tc>
          <w:tcPr>
            <w:vAlign w:val="center"/>
          </w:tcPr>
          <w:p>
            <w:pPr>
              <w:pStyle w:val="Normal"/>
            </w:pPr>
            <w:r>
              <w:t xml:space="preserve">NWEA MAP Reading results indicate Grades 4 and 5 demonstrated lower overall achievement than other grade levels, suggesting a need for continued instructional support and targeted interventions.</w:t>
            </w:r>
          </w:p>
        </w:tc>
      </w:tr>
      <w:tr>
        <w:trPr/>
        <w:tc>
          <w:tcPr>
            <w:vAlign w:val="center"/>
          </w:tcPr>
          <w:p>
            <w:pPr>
              <w:pStyle w:val="Normal"/>
            </w:pPr>
            <w:r>
              <w:t xml:space="preserve">Although DIBELS performance improved, 34% of students remained in the Well Below or Below Benchmark categories at the end of the year, indicating continued need for systematic intervention and progress monitoring.</w:t>
            </w:r>
          </w:p>
        </w:tc>
      </w:tr>
      <w:tr>
        <w:trPr/>
        <w:tc>
          <w:tcPr>
            <w:vAlign w:val="center"/>
          </w:tcPr>
          <w:p>
            <w:pPr>
              <w:pStyle w:val="Normal"/>
            </w:pPr>
            <w:r>
              <w:t xml:space="preserve">Local assessment data support the need to strengthen core literacy instruction while continuing targeted intervention, progress monitoring, and data-based instructional decision-making to increase proficiency and close achievement gaps across grade levels.</w:t>
            </w:r>
          </w:p>
        </w:tc>
      </w:tr>
    </w:tbl>
    <w:p>
      <w:pPr>
        <w:pStyle w:val="Heading2"/>
      </w:pPr>
      <w:r>
        <w:t xml:space="preserve">Mathematics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NWEA MAP Math growth percentile of 82 indicates that Paradise Elementary students exceeded expected annual growth compared to national norms.</w:t>
            </w:r>
          </w:p>
        </w:tc>
        <w:tc>
          <w:tcPr>
            <w:vAlign w:val="center"/>
          </w:tcPr>
          <w:p>
            <w:pPr>
              <w:pStyle w:val="Normal"/>
            </w:pPr>
            <w:r>
              <w:t xml:space="preserve">These results reflect the effectiveness of core mathematics instruction, MTSS interventions, and data-informed instructional practices implemented throughout the school year.</w:t>
            </w:r>
          </w:p>
        </w:tc>
      </w:tr>
      <w:tr>
        <w:trPr/>
        <w:tc>
          <w:tcPr>
            <w:vAlign w:val="center"/>
          </w:tcPr>
          <w:p>
            <w:pPr>
              <w:pStyle w:val="Normal"/>
            </w:pPr>
            <w:r>
              <w:t xml:space="preserve">NWEA MAP Mathematics Achievement increased from the 52nd percentile (Fall 2025) to the 73rd percentile (Spring 2026).</w:t>
            </w:r>
          </w:p>
        </w:tc>
        <w:tc>
          <w:tcPr>
            <w:vAlign w:val="center"/>
          </w:tcPr>
          <w:p>
            <w:pPr>
              <w:pStyle w:val="Normal"/>
            </w:pPr>
            <w:r>
              <w:t xml:space="preserve">Schoolwide mathematics achievement improved by 21 percentile points from fall to spring, indicating that students not only demonstrated strong growth but also increased overall achievement relative to national norms. This upward trend supports the school's continued focus on evidence-based mathematics instruction and intervention.</w:t>
            </w:r>
          </w:p>
        </w:tc>
      </w:tr>
      <w:tr>
        <w:trPr/>
        <w:tc>
          <w:tcPr>
            <w:vAlign w:val="center"/>
          </w:tcPr>
          <w:p>
            <w:pPr>
              <w:pStyle w:val="Normal"/>
            </w:pPr>
            <w:r>
              <w:t xml:space="preserve">73% median mathematics achievement percentile (Spring 2026)</w:t>
            </w:r>
          </w:p>
        </w:tc>
        <w:tc>
          <w:tcPr>
            <w:vAlign w:val="center"/>
          </w:tcPr>
          <w:p>
            <w:pPr>
              <w:pStyle w:val="Normal"/>
            </w:pPr>
            <w:r>
              <w:t xml:space="preserve">Students ended the school year with an overall mathematics achievement percentile of 73, representing strong achievement relative to national norms. Continued efforts should focus on increasing the percentage of students performing within the highest achievement bands.</w:t>
            </w:r>
          </w:p>
        </w:tc>
      </w:tr>
    </w:tbl>
    <w:p>
      <w:pPr>
        <w:pStyle w:val="Heading2"/>
      </w:pPr>
      <w:r>
        <w:t xml:space="preserve">Mathematics Summary</w:t>
      </w:r>
    </w:p>
    <w:p>
      <w:pPr>
        <w:pStyle w:val="Heading3"/>
      </w:pPr>
      <w:r>
        <w:t xml:space="preserve">Strengths</w:t>
      </w:r>
    </w:p>
    <w:tbl>
      <w:tblPr>
        <w:tblStyle w:val="TableGrid"/>
        <w:tblW w:w="5000" w:type="pct"/>
      </w:tblPr>
      <w:tblGrid>
        <w:gridCol/>
      </w:tblGrid>
      <w:tr>
        <w:trPr/>
        <w:tc>
          <w:tcPr>
            <w:vAlign w:val="center"/>
          </w:tcPr>
          <w:p>
            <w:pPr>
              <w:pStyle w:val="Normal"/>
            </w:pPr>
            <w:r>
              <w:t xml:space="preserve">NWEA MAP Growth results indicate students achieved an overall 82nd percentile growth, demonstrating greater than expected academic growth compared to national norms. This strong growth reflects the effectiveness of core mathematics instruction, MTSS supports, and targeted interventions and aligns with the school's positive PVAAS mathematics growth results.</w:t>
            </w:r>
          </w:p>
        </w:tc>
      </w:tr>
      <w:tr>
        <w:trPr/>
        <w:tc>
          <w:tcPr>
            <w:vAlign w:val="center"/>
          </w:tcPr>
          <w:p>
            <w:pPr>
              <w:pStyle w:val="Normal"/>
            </w:pPr>
            <w:r>
              <w:t xml:space="preserve">Overall mathematics achievement increased from the 52nd percentile in Fall 2025 to the 73rd percentile in Spring 2026, demonstrating meaningful academic progress across grade levels and indicating that students are making gains toward grade-level expectations.</w:t>
            </w:r>
          </w:p>
        </w:tc>
      </w:tr>
      <w:tr>
        <w:trPr/>
        <w:tc>
          <w:tcPr>
            <w:vAlign w:val="center"/>
          </w:tcPr>
          <w:p>
            <w:pPr>
              <w:pStyle w:val="Normal"/>
            </w:pPr>
            <w:r>
              <w:t xml:space="preserve">Grades 5 and 6 achieved median growth percentiles of 93rd and 95th, respectively, while Grade 1 also demonstrated strong growth at the 81st percentile. These grade-level successes provide opportunities to identify effective instructional practices that can be shared across the school.</w:t>
            </w:r>
          </w:p>
        </w:tc>
      </w:tr>
      <w:tr>
        <w:trPr/>
        <w:tc>
          <w:tcPr>
            <w:vAlign w:val="center"/>
          </w:tcPr>
          <w:p>
            <w:pPr>
              <w:pStyle w:val="Normal"/>
            </w:pPr>
            <w:r>
              <w:t xml:space="preserve">The NWEA MAP Mathematics data closely align with the Future Ready PA Index and PVAAS results, demonstrating consistent evidence of strong student growth. This alignment provides confidence that current instructional practices and MTSS systems are positively impacting student learning and should be leveraged to further increase mathematics proficiency.</w:t>
            </w:r>
          </w:p>
        </w:tc>
      </w:tr>
    </w:tbl>
    <w:p>
      <w:pPr>
        <w:pStyle w:val="Heading3"/>
      </w:pPr>
      <w:r>
        <w:t xml:space="preserve">Challenges</w:t>
      </w:r>
    </w:p>
    <w:tbl>
      <w:tblPr>
        <w:tblStyle w:val="TableGrid"/>
        <w:tblW w:w="5000" w:type="pct"/>
      </w:tblPr>
      <w:tblGrid>
        <w:gridCol/>
      </w:tblGrid>
      <w:tr>
        <w:trPr/>
        <w:tc>
          <w:tcPr>
            <w:vAlign w:val="center"/>
          </w:tcPr>
          <w:p>
            <w:pPr>
              <w:pStyle w:val="Normal"/>
            </w:pPr>
            <w:r>
              <w:t xml:space="preserve">Although students demonstrated exceptional academic growth, increasing the percentage of students performing at proficient and advanced levels remains a priority. Continued focus on high-quality Tier I mathematics instruction will help translate strong growth into higher levels of achievement on state assessments.</w:t>
            </w:r>
          </w:p>
        </w:tc>
      </w:tr>
      <w:tr>
        <w:trPr/>
        <w:tc>
          <w:tcPr>
            <w:vAlign w:val="center"/>
          </w:tcPr>
          <w:p>
            <w:pPr>
              <w:pStyle w:val="Normal"/>
            </w:pPr>
            <w:r>
              <w:t xml:space="preserve">Grade-level achievement data indicate that some grades, particularly Grade 4, performed below the overall school achievement level. Continued analysis of instructional practices and targeted supports will help ensure consistent mathematics achievement across all grade levels.</w:t>
            </w:r>
          </w:p>
        </w:tc>
      </w:tr>
      <w:tr>
        <w:trPr/>
        <w:tc>
          <w:tcPr>
            <w:vAlign w:val="center"/>
          </w:tcPr>
          <w:p>
            <w:pPr>
              <w:pStyle w:val="Normal"/>
            </w:pPr>
            <w:r>
              <w:t xml:space="preserve">While schoolwide achievement improved, 19% of students remained below the 40th percentile nationally (8% in the 1st–20th percentile and 11% in the 21st–40th percentile). Strengthening core instruction and expanding targeted interventions will help move more students into the proficient achievement bands.</w:t>
            </w:r>
          </w:p>
        </w:tc>
      </w:tr>
      <w:tr>
        <w:trPr/>
        <w:tc>
          <w:tcPr>
            <w:vAlign w:val="center"/>
          </w:tcPr>
          <w:p>
            <w:pPr>
              <w:pStyle w:val="Normal"/>
            </w:pPr>
            <w:r>
              <w:t xml:space="preserve">The data indicate that while students are making strong academic growth, sustained use of formative assessment data, progress monitoring, differentiated instruction, and Tier II and Tier III interventions will be critical to accelerating achievement for students who have not yet reached grade-level expectations.</w:t>
            </w:r>
          </w:p>
        </w:tc>
      </w:tr>
    </w:tbl>
    <w:p>
      <w:pPr>
        <w:pStyle w:val="Heading2"/>
      </w:pPr>
      <w:r>
        <w:t xml:space="preserve">Science, Technology, and Engineering Education</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bl>
    <w:p>
      <w:pPr>
        <w:pStyle w:val="Heading2"/>
      </w:pPr>
      <w:r>
        <w:t xml:space="preserve">Science, Technology, and Engineering Education Summary</w:t>
      </w:r>
    </w:p>
    <w:p>
      <w:pPr>
        <w:pStyle w:val="Heading3"/>
      </w:pPr>
      <w:r>
        <w:t xml:space="preserve">Strengths</w:t>
      </w:r>
    </w:p>
    <w:p>
      <w:pPr>
        <w:pStyle w:val="Heading3"/>
      </w:pPr>
      <w:r>
        <w:t xml:space="preserve">Challenges</w:t>
      </w:r>
    </w:p>
    <w:p>
      <w:pPr>
        <w:pStyle w:val="Normal"/>
      </w:pPr>
      <w:r>
        <w:br w:type="page"/>
      </w:r>
      <w:r>
        <w:lastRenderedPageBreak/>
      </w:r>
    </w:p>
    <w:p>
      <w:pPr>
        <w:pStyle w:val="Heading1"/>
      </w:pPr>
      <w:r>
        <w:t xml:space="preserve">Related Academics</w:t>
      </w:r>
    </w:p>
    <w:p>
      <w:pPr>
        <w:pStyle w:val="Heading2"/>
      </w:pPr>
      <w:r>
        <w:t xml:space="preserve">Career Readiness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100% of learners completed their Career Readiness Portfolios in accordance with state expectations.</w:t>
            </w:r>
          </w:p>
        </w:tc>
        <w:tc>
          <w:tcPr>
            <w:vAlign w:val="center"/>
          </w:tcPr>
          <w:p>
            <w:pPr>
              <w:pStyle w:val="Normal"/>
            </w:pPr>
            <w:r>
              <w:t xml:space="preserve">Paradise Elementary achieved 100% on the Career Standards Benchmark, exceeding both the statewide average and the statewide performance goal. These results demonstrate consistent implementation of Pennsylvania Career Education and Work Standards through classroom instruction and career awareness experiences that prepare students for future academic and career success.</w:t>
            </w:r>
          </w:p>
        </w:tc>
      </w:tr>
    </w:tbl>
    <w:p>
      <w:pPr>
        <w:pStyle w:val="Heading2"/>
      </w:pPr>
      <w:r>
        <w:t xml:space="preserve">Career and Technical Education (CTE) Programs</w:t>
      </w:r>
    </w:p>
    <w:p>
      <w:pPr>
        <w:pStyle w:val="Normal"/>
      </w:pPr>
      <w:r>
        <w:rPr>
          <w:b/>
        </w:rPr>
        <w:t xml:space="preserve">True</w:t>
      </w:r>
      <w:r>
        <w:t xml:space="preserve"> Career and Technical Education (CTE) Programs Omit</w:t>
      </w:r>
    </w:p>
    <w:p>
      <w:pPr>
        <w:pStyle w:val="Heading2"/>
      </w:pPr>
      <w:r>
        <w:t xml:space="preserve">Arts and Humanities</w:t>
      </w:r>
    </w:p>
    <w:p>
      <w:pPr>
        <w:pStyle w:val="Normal"/>
      </w:pPr>
      <w:r>
        <w:rPr>
          <w:b/>
        </w:rPr>
        <w:t xml:space="preserve">True</w:t>
      </w:r>
      <w:r>
        <w:t xml:space="preserve"> Arts and Humanities Omit</w:t>
      </w:r>
    </w:p>
    <w:p>
      <w:pPr>
        <w:pStyle w:val="Heading2"/>
      </w:pPr>
      <w:r>
        <w:t xml:space="preserve">Environment and Ecology</w:t>
      </w:r>
    </w:p>
    <w:p>
      <w:pPr>
        <w:pStyle w:val="Normal"/>
      </w:pPr>
      <w:r>
        <w:rPr>
          <w:b/>
        </w:rPr>
        <w:t xml:space="preserve">True</w:t>
      </w:r>
      <w:r>
        <w:t xml:space="preserve"> Environment and Ecology Omit</w:t>
      </w:r>
    </w:p>
    <w:p>
      <w:pPr>
        <w:pStyle w:val="Heading2"/>
      </w:pPr>
      <w:r>
        <w:t xml:space="preserve">Family and Consumer Sciences</w:t>
      </w:r>
    </w:p>
    <w:p>
      <w:pPr>
        <w:pStyle w:val="Normal"/>
      </w:pPr>
      <w:r>
        <w:rPr>
          <w:b/>
        </w:rPr>
        <w:t xml:space="preserve">True</w:t>
      </w:r>
      <w:r>
        <w:t xml:space="preserve"> Family and Consumer Sciences Omit</w:t>
      </w:r>
    </w:p>
    <w:p>
      <w:pPr>
        <w:pStyle w:val="Heading2"/>
      </w:pPr>
      <w:r>
        <w:t xml:space="preserve">Health, Safety, and Physical Education</w:t>
      </w:r>
    </w:p>
    <w:p>
      <w:pPr>
        <w:pStyle w:val="Normal"/>
      </w:pPr>
      <w:r>
        <w:rPr>
          <w:b/>
        </w:rPr>
        <w:t xml:space="preserve">True</w:t>
      </w:r>
      <w:r>
        <w:t xml:space="preserve"> Health, Safety, and Physical Education Omit</w:t>
      </w:r>
    </w:p>
    <w:p>
      <w:pPr>
        <w:pStyle w:val="Heading2"/>
      </w:pPr>
      <w:r>
        <w:t xml:space="preserve">Social Studies (Civics and Government, Economics, Geography, History)</w:t>
      </w:r>
    </w:p>
    <w:p>
      <w:pPr>
        <w:pStyle w:val="Normal"/>
      </w:pPr>
      <w:r>
        <w:rPr>
          <w:b/>
        </w:rPr>
        <w:t xml:space="preserve">True</w:t>
      </w:r>
      <w:r>
        <w:t xml:space="preserve"> Social Studies (Civics and Government, Economics, Geography, History) Omit</w:t>
      </w:r>
    </w:p>
    <w:p>
      <w:pPr>
        <w:pStyle w:val="Heading2"/>
      </w:pPr>
      <w:r>
        <w:t xml:space="preserve">Summary</w:t>
      </w:r>
    </w:p>
    <w:p>
      <w:pPr>
        <w:pStyle w:val="Heading3"/>
      </w:pPr>
      <w:r>
        <w:t xml:space="preserve">Strengths</w:t>
      </w:r>
    </w:p>
    <w:p>
      <w:pPr>
        <w:pStyle w:val="Normal"/>
      </w:pPr>
      <w:r>
        <w:t xml:space="preserve">Review the comments and notable observations listed previously and record 2-5 strengths which have had the most impact in improving your most pressing challenges.</w:t>
      </w:r>
    </w:p>
    <w:tbl>
      <w:tblPr>
        <w:tblStyle w:val="TableGrid"/>
        <w:tblW w:w="5000" w:type="pct"/>
      </w:tblPr>
      <w:tblGrid>
        <w:gridCol/>
      </w:tblGrid>
      <w:tr>
        <w:trPr/>
        <w:tc>
          <w:tcPr>
            <w:vAlign w:val="center"/>
          </w:tcPr>
          <w:p>
            <w:pPr>
              <w:pStyle w:val="Normal"/>
            </w:pPr>
            <w:r>
              <w:t xml:space="preserve">100% of learners completed their Career Readiness Portfolios in accordance with state expectations.</w:t>
            </w:r>
          </w:p>
        </w:tc>
      </w:tr>
      <w:tr>
        <w:trPr/>
        <w:tc>
          <w:tcPr>
            <w:vAlign w:val="center"/>
          </w:tcPr>
          <w:p>
            <w:pPr>
              <w:pStyle w:val="Normal"/>
            </w:pPr>
            <w:r>
              <w:t xml:space="preserve">Beyond career readiness - related academic areas are not a focus of our elementary school plan.</w:t>
            </w:r>
          </w:p>
        </w:tc>
      </w:tr>
    </w:tbl>
    <w:p>
      <w:pPr>
        <w:pStyle w:val="Heading3"/>
      </w:pPr>
      <w:r>
        <w:t xml:space="preserve">Challenges</w:t>
      </w:r>
    </w:p>
    <w:p>
      <w:pPr>
        <w:pStyle w:val="Normal"/>
      </w:pPr>
      <w:r>
        <w:t xml:space="preserve">Review the comments and notable observations listed previously and record 2-5 Challenges which if improved would have the most impact in achieving your Mission and Vision.</w:t>
      </w:r>
    </w:p>
    <w:tbl>
      <w:tblPr>
        <w:tblStyle w:val="TableGrid"/>
        <w:tblW w:w="5000" w:type="pct"/>
      </w:tblPr>
      <w:tblGrid>
        <w:gridCol/>
      </w:tblGrid>
      <w:tr>
        <w:trPr/>
        <w:tc>
          <w:tcPr>
            <w:vAlign w:val="center"/>
          </w:tcPr>
          <w:p>
            <w:pPr>
              <w:pStyle w:val="Normal"/>
            </w:pPr>
            <w:r>
              <w:t xml:space="preserve">Continue to engage 100% of learners in completing their career readiness portfolio.</w:t>
            </w:r>
          </w:p>
        </w:tc>
      </w:tr>
      <w:tr>
        <w:trPr/>
        <w:tc>
          <w:tcPr>
            <w:vAlign w:val="center"/>
          </w:tcPr>
          <w:p>
            <w:pPr>
              <w:pStyle w:val="Normal"/>
            </w:pPr>
            <w:r>
              <w:t xml:space="preserve">Beyond career readiness - related academic areas are not a focus of our elementary school plan.</w:t>
            </w:r>
          </w:p>
        </w:tc>
      </w:tr>
    </w:tbl>
    <w:p>
      <w:pPr>
        <w:pStyle w:val="Normal"/>
      </w:pPr>
      <w:r>
        <w:br w:type="page"/>
      </w:r>
      <w:r>
        <w:lastRenderedPageBreak/>
      </w:r>
    </w:p>
    <w:p>
      <w:pPr>
        <w:pStyle w:val="Heading1"/>
      </w:pPr>
      <w:r>
        <w:t xml:space="preserve">Equity Considerations</w:t>
      </w:r>
    </w:p>
    <w:p>
      <w:pPr>
        <w:pStyle w:val="Heading2"/>
      </w:pPr>
      <w:r>
        <w:t xml:space="preserve">English Learners</w:t>
      </w:r>
    </w:p>
    <w:p>
      <w:pPr>
        <w:pStyle w:val="Normal"/>
      </w:pPr>
      <w:r>
        <w:rPr>
          <w:b/>
        </w:rPr>
        <w:t xml:space="preserve">False</w:t>
      </w:r>
      <w:r>
        <w:t xml:space="preserve"> This student group is not a focus in this plan.</w:t>
      </w:r>
    </w:p>
    <w:tbl>
      <w:tblPr>
        <w:tblStyle w:val="TableGrid"/>
        <w:tblW w:w="5000" w:type="pct"/>
      </w:tblPr>
      <w:tblGrid>
        <w:gridCol/>
        <w:gridCol/>
      </w:tblGrid>
      <w:tr>
        <w:trPr/>
        <w:tc>
          <w:tcPr>
            <w:vAlign w:val="center"/>
          </w:tcPr>
          <w:p>
            <w:pPr>
              <w:pStyle w:val="Normal"/>
            </w:pPr>
            <w:r>
              <w:t xml:space="preserve">Data</w:t>
            </w:r>
          </w:p>
        </w:tc>
        <w:tc>
          <w:tcPr>
            <w:vAlign w:val="center"/>
          </w:tcPr>
          <w:p>
            <w:pPr>
              <w:pStyle w:val="Normal"/>
            </w:pPr>
            <w:r>
              <w:t xml:space="preserve">Comments/Notable Observations</w:t>
            </w:r>
          </w:p>
        </w:tc>
      </w:tr>
      <w:tr>
        <w:trPr/>
        <w:tc>
          <w:tcPr>
            <w:vAlign w:val="center"/>
          </w:tcPr>
          <w:p>
            <w:pPr>
              <w:pStyle w:val="Normal"/>
            </w:pPr>
            <w:r>
              <w:t xml:space="preserve">Future Ready PA Index: English Language Growth and Attainment was reported as Insufficient Sample (IS) for Paradise Elementary.</w:t>
            </w:r>
          </w:p>
        </w:tc>
        <w:tc>
          <w:tcPr>
            <w:vAlign w:val="center"/>
          </w:tcPr>
          <w:p>
            <w:pPr>
              <w:pStyle w:val="Normal"/>
            </w:pPr>
            <w:r>
              <w:t xml:space="preserve">Because the English Learner subgroup did not meet the minimum sample size for state accountability reporting, local benchmark assessments and classroom progress monitoring remain the primary data sources used to evaluate student progress and guide instructional decisions.</w:t>
            </w:r>
          </w:p>
        </w:tc>
      </w:tr>
      <w:tr>
        <w:trPr/>
        <w:tc>
          <w:tcPr>
            <w:vAlign w:val="center"/>
          </w:tcPr>
          <w:p>
            <w:pPr>
              <w:pStyle w:val="Normal"/>
            </w:pPr>
            <w:r>
              <w:t xml:space="preserve">Regular Attendance: English Learners demonstrated 79.2% regular attendance, compared to 90.0% for the All Student Group.</w:t>
            </w:r>
          </w:p>
        </w:tc>
        <w:tc>
          <w:tcPr>
            <w:vAlign w:val="center"/>
          </w:tcPr>
          <w:p>
            <w:pPr>
              <w:pStyle w:val="Normal"/>
            </w:pPr>
            <w:r>
              <w:t xml:space="preserve">Attendance represents an area for continued focus for English Learners. Strengthening communication with families and maintaining consistent attendance supports will help maximize access to instruction.</w:t>
            </w:r>
          </w:p>
        </w:tc>
      </w:tr>
      <w:tr>
        <w:trPr/>
        <w:tc>
          <w:tcPr>
            <w:vAlign w:val="center"/>
          </w:tcPr>
          <w:p/>
        </w:tc>
        <w:tc>
          <w:tcPr>
            <w:vAlign w:val="center"/>
          </w:tcPr>
          <w:p/>
        </w:tc>
      </w:tr>
    </w:tbl>
    <w:p>
      <w:pPr>
        <w:pStyle w:val="Heading2"/>
      </w:pPr>
      <w:r>
        <w:t xml:space="preserve">Students with Disabilities</w:t>
      </w:r>
    </w:p>
    <w:p>
      <w:pPr>
        <w:pStyle w:val="Normal"/>
      </w:pPr>
      <w:r>
        <w:rPr>
          <w:b/>
        </w:rPr>
        <w:t xml:space="preserve">False</w:t>
      </w:r>
      <w:r>
        <w:t xml:space="preserve"> This student group is not a focus in this plan.</w:t>
      </w:r>
    </w:p>
    <w:tbl>
      <w:tblPr>
        <w:tblStyle w:val="TableGrid"/>
        <w:tblW w:w="5000" w:type="pct"/>
      </w:tblPr>
      <w:tblGrid>
        <w:gridCol/>
        <w:gridCol/>
      </w:tblGrid>
      <w:tr>
        <w:trPr/>
        <w:tc>
          <w:tcPr>
            <w:vAlign w:val="center"/>
          </w:tcPr>
          <w:p>
            <w:pPr>
              <w:pStyle w:val="Normal"/>
            </w:pPr>
            <w:r>
              <w:t xml:space="preserve">Data</w:t>
            </w:r>
          </w:p>
        </w:tc>
        <w:tc>
          <w:tcPr>
            <w:vAlign w:val="center"/>
          </w:tcPr>
          <w:p>
            <w:pPr>
              <w:pStyle w:val="Normal"/>
            </w:pPr>
            <w:r>
              <w:t xml:space="preserve">Comments/Notable Observations</w:t>
            </w:r>
          </w:p>
        </w:tc>
      </w:tr>
      <w:tr>
        <w:trPr/>
        <w:tc>
          <w:tcPr>
            <w:vAlign w:val="center"/>
          </w:tcPr>
          <w:p>
            <w:pPr>
              <w:pStyle w:val="Normal"/>
            </w:pPr>
            <w:r>
              <w:t xml:space="preserve">PSSA English Language Arts: Students with Disabilities achieved 17.6% Proficient or Advanced compared to 50.2% for the All Student Group.</w:t>
            </w:r>
          </w:p>
        </w:tc>
        <w:tc>
          <w:tcPr>
            <w:vAlign w:val="center"/>
          </w:tcPr>
          <w:p>
            <w:pPr>
              <w:pStyle w:val="Normal"/>
            </w:pPr>
            <w:r>
              <w:t xml:space="preserve">Students with disabilities continue to demonstrate the largest achievement gap in English Language Arts. Continued collaboration between general and special education staff, specially designed instruction, and targeted interventions remain essential.</w:t>
            </w:r>
          </w:p>
        </w:tc>
      </w:tr>
      <w:tr>
        <w:trPr/>
        <w:tc>
          <w:tcPr>
            <w:vAlign w:val="center"/>
          </w:tcPr>
          <w:p>
            <w:pPr>
              <w:pStyle w:val="Normal"/>
            </w:pPr>
            <w:r>
              <w:t xml:space="preserve">PSSA Mathematics: Students with Disabilities achieved 11.8% Proficient or Advanced, compared to 46.4% for the All Student Group.</w:t>
            </w:r>
          </w:p>
        </w:tc>
        <w:tc>
          <w:tcPr>
            <w:vAlign w:val="center"/>
          </w:tcPr>
          <w:p>
            <w:pPr>
              <w:pStyle w:val="Normal"/>
            </w:pPr>
            <w:r>
              <w:t xml:space="preserve">Mathematics proficiency remains significantly below the school average, indicating a continued need for intensive instructional support, progress monitoring, and differentiated mathematics instruction.</w:t>
            </w:r>
          </w:p>
        </w:tc>
      </w:tr>
      <w:tr>
        <w:trPr/>
        <w:tc>
          <w:tcPr>
            <w:vAlign w:val="center"/>
          </w:tcPr>
          <w:p>
            <w:pPr>
              <w:pStyle w:val="Normal"/>
            </w:pPr>
            <w:r>
              <w:t xml:space="preserve">PVAAS English Language Arts Growth: Students with Disabilities earned a Growth Score of 68, slightly below the statewide growth standard of 70.</w:t>
            </w:r>
          </w:p>
        </w:tc>
        <w:tc>
          <w:tcPr>
            <w:vAlign w:val="center"/>
          </w:tcPr>
          <w:p>
            <w:pPr>
              <w:pStyle w:val="Normal"/>
            </w:pPr>
            <w:r>
              <w:t xml:space="preserve">Although students demonstrated academic growth, growth fell just below the statewide expectation, indicating an opportunity to strengthen instructional practices and intervention effectiveness for this subgroup.</w:t>
            </w:r>
          </w:p>
        </w:tc>
      </w:tr>
    </w:tbl>
    <w:p>
      <w:pPr>
        <w:pStyle w:val="Heading2"/>
      </w:pPr>
      <w:r>
        <w:t xml:space="preserve">Students Considered Economically Disadvantaged</w:t>
      </w:r>
    </w:p>
    <w:p>
      <w:pPr>
        <w:pStyle w:val="Normal"/>
      </w:pPr>
      <w:r>
        <w:rPr>
          <w:b/>
        </w:rPr>
        <w:t xml:space="preserve">False</w:t>
      </w:r>
      <w:r>
        <w:t xml:space="preserve"> This student group is not a focus in this plan.</w:t>
      </w:r>
    </w:p>
    <w:tbl>
      <w:tblPr>
        <w:tblStyle w:val="TableGrid"/>
        <w:tblW w:w="5000" w:type="pct"/>
      </w:tblPr>
      <w:tblGrid>
        <w:gridCol/>
        <w:gridCol/>
      </w:tblGrid>
      <w:tr>
        <w:trPr/>
        <w:tc>
          <w:tcPr>
            <w:vAlign w:val="center"/>
          </w:tcPr>
          <w:p>
            <w:pPr>
              <w:pStyle w:val="Normal"/>
            </w:pPr>
            <w:r>
              <w:t xml:space="preserve">Data</w:t>
            </w:r>
          </w:p>
        </w:tc>
        <w:tc>
          <w:tcPr>
            <w:vAlign w:val="center"/>
          </w:tcPr>
          <w:p>
            <w:pPr>
              <w:pStyle w:val="Normal"/>
            </w:pPr>
            <w:r>
              <w:t xml:space="preserve">Comments/Notable Observations</w:t>
            </w:r>
          </w:p>
        </w:tc>
      </w:tr>
      <w:tr>
        <w:trPr/>
        <w:tc>
          <w:tcPr>
            <w:vAlign w:val="center"/>
          </w:tcPr>
          <w:p>
            <w:pPr>
              <w:pStyle w:val="Normal"/>
            </w:pPr>
            <w:r>
              <w:t xml:space="preserve">PSSA English Language Arts: Economically Disadvantaged students achieved 42.6% Proficient or Advanced, compared to 50.2% for the All Student Group.</w:t>
            </w:r>
          </w:p>
        </w:tc>
        <w:tc>
          <w:tcPr>
            <w:vAlign w:val="center"/>
          </w:tcPr>
          <w:p>
            <w:pPr>
              <w:pStyle w:val="Normal"/>
            </w:pPr>
            <w:r>
              <w:t xml:space="preserve">Economically disadvantaged students continue to perform below the overall school average in English Language Arts, indicating a need for continued implementation of evidence-based Tier I instruction, targeted Title I interventions, and family engagement supports to improve literacy achievement.</w:t>
            </w:r>
          </w:p>
        </w:tc>
      </w:tr>
      <w:tr>
        <w:trPr/>
        <w:tc>
          <w:tcPr>
            <w:vAlign w:val="center"/>
          </w:tcPr>
          <w:p>
            <w:pPr>
              <w:pStyle w:val="Normal"/>
            </w:pPr>
            <w:r>
              <w:t xml:space="preserve">PSSA Mathematics: Economically Disadvantaged students achieved 37.0% Proficient or Advanced, compared to 46.4% for the All Student Group.</w:t>
            </w:r>
          </w:p>
        </w:tc>
        <w:tc>
          <w:tcPr>
            <w:vAlign w:val="center"/>
          </w:tcPr>
          <w:p>
            <w:pPr>
              <w:pStyle w:val="Normal"/>
            </w:pPr>
            <w:r>
              <w:t xml:space="preserve">Although mathematics growth is strong, proficiency for economically disadvantaged students remains below the overall school average. Continued use of MTSS supports, interventionists, and data-driven instructional planning will be important to increase achievement.</w:t>
            </w:r>
          </w:p>
        </w:tc>
      </w:tr>
      <w:tr>
        <w:trPr/>
        <w:tc>
          <w:tcPr>
            <w:vAlign w:val="center"/>
          </w:tcPr>
          <w:p/>
        </w:tc>
        <w:tc>
          <w:tcPr>
            <w:vAlign w:val="center"/>
          </w:tcPr>
          <w:p/>
        </w:tc>
      </w:tr>
    </w:tbl>
    <w:p>
      <w:pPr>
        <w:pStyle w:val="Heading2"/>
      </w:pPr>
      <w:r>
        <w:t xml:space="preserve">Student Groups by Race/Ethnicity</w:t>
      </w:r>
    </w:p>
    <w:p>
      <w:pPr>
        <w:pStyle w:val="Normal"/>
      </w:pPr>
      <w:r>
        <w:rPr>
          <w:b/>
        </w:rPr>
        <w:t xml:space="preserve">True</w:t>
      </w:r>
      <w:r>
        <w:t xml:space="preserve"> This student group is not a focus in this plan.</w:t>
      </w:r>
    </w:p>
    <w:p>
      <w:pPr>
        <w:pStyle w:val="Heading2"/>
      </w:pPr>
      <w:r>
        <w:t xml:space="preserve">Summary</w:t>
      </w:r>
    </w:p>
    <w:p>
      <w:pPr>
        <w:pStyle w:val="Heading3"/>
      </w:pPr>
      <w:r>
        <w:t xml:space="preserve">Strengths</w:t>
      </w:r>
    </w:p>
    <w:p>
      <w:pPr>
        <w:pStyle w:val="Normal"/>
      </w:pPr>
      <w:r>
        <w:t xml:space="preserve">Review the comments and notable observations listed previously and record the 2-5 strengths which have had the most impact in improving your most pressing challenges.</w:t>
      </w:r>
    </w:p>
    <w:tbl>
      <w:tblPr>
        <w:tblStyle w:val="TableGrid"/>
        <w:tblW w:w="5000" w:type="pct"/>
      </w:tblPr>
      <w:tblGrid>
        <w:gridCol/>
      </w:tblGrid>
      <w:tr>
        <w:trPr/>
        <w:tc>
          <w:tcPr>
            <w:tcW w:w="5000" w:type="pct"/>
            <w:vAlign w:val="center"/>
          </w:tcPr>
          <w:p>
            <w:pPr>
              <w:pStyle w:val="Normal"/>
            </w:pPr>
            <w:r>
              <w:t xml:space="preserve">Students across multiple student groups demonstrated strong academic growth in both reading and mathematics as evidenced by NWEA MAP and PVAAS results.</w:t>
            </w:r>
          </w:p>
        </w:tc>
      </w:tr>
      <w:tr>
        <w:trPr/>
        <w:tc>
          <w:tcPr>
            <w:tcW w:w="5000" w:type="pct"/>
            <w:vAlign w:val="center"/>
          </w:tcPr>
          <w:p>
            <w:pPr>
              <w:pStyle w:val="Normal"/>
            </w:pPr>
            <w:r>
              <w:t xml:space="preserve">Foundational literacy outcomes improved across the school year. mCLASS DIBELS 8 data showed an increase in students performing Above Benchmark and a reduction in students performing Well Below Benchmark, demonstrating the effectiveness of early literacy instruction and intervention.</w:t>
            </w:r>
          </w:p>
        </w:tc>
      </w:tr>
      <w:tr>
        <w:trPr/>
        <w:tc>
          <w:tcPr>
            <w:tcW w:w="5000" w:type="pct"/>
            <w:vAlign w:val="center"/>
          </w:tcPr>
          <w:p>
            <w:pPr>
              <w:pStyle w:val="Normal"/>
            </w:pPr>
            <w:r>
              <w:t xml:space="preserve">Mathematics achievement increased across grade levels while maintaining exceptional growth. NWEA MAP Mathematics results showed substantial gains in overall achievement and growth, providing evidence that current instructional practices can be leveraged to improve overall proficiency for all student groups.</w:t>
            </w:r>
          </w:p>
        </w:tc>
      </w:tr>
      <w:tr>
        <w:trPr/>
        <w:tc>
          <w:tcPr>
            <w:tcW w:w="5000" w:type="pct"/>
            <w:vAlign w:val="center"/>
          </w:tcPr>
          <w:p>
            <w:pPr>
              <w:pStyle w:val="Normal"/>
            </w:pPr>
            <w:r>
              <w:t xml:space="preserve">Title I and MTSS supports are contributing to positive student outcomes. Continued implementation of interventionists, MTSS paraprofessionals, data-based decision making through Branching Minds, and evidence-based instructional practices are producing measurable student growth that can be leveraged to address remaining achievement gaps.</w:t>
            </w:r>
          </w:p>
        </w:tc>
      </w:tr>
      <w:tr>
        <w:trPr/>
        <w:tc>
          <w:tcPr>
            <w:tcW w:w="5000" w:type="pct"/>
            <w:vAlign w:val="center"/>
          </w:tcPr>
          <w:p/>
        </w:tc>
      </w:tr>
    </w:tbl>
    <w:p>
      <w:pPr>
        <w:pStyle w:val="Heading3"/>
      </w:pPr>
      <w:r>
        <w:t xml:space="preserve">Challenges</w:t>
      </w:r>
    </w:p>
    <w:p>
      <w:pPr>
        <w:pStyle w:val="Normal"/>
      </w:pPr>
      <w:r>
        <w:t xml:space="preserve">Review the comments and notable observations listed previously and record the 2-5 Challenges which if improved would have the most impact in achieving your Mission and Vision.</w:t>
      </w:r>
    </w:p>
    <w:tbl>
      <w:tblPr>
        <w:tblStyle w:val="TableGrid"/>
        <w:tblW w:w="5000" w:type="pct"/>
      </w:tblPr>
      <w:tblGrid>
        <w:gridCol/>
      </w:tblGrid>
      <w:tr>
        <w:trPr/>
        <w:tc>
          <w:tcPr>
            <w:tcW w:w="5000" w:type="pct"/>
            <w:vAlign w:val="center"/>
          </w:tcPr>
          <w:p>
            <w:pPr>
              <w:pStyle w:val="Normal"/>
            </w:pPr>
            <w:r>
              <w:t xml:space="preserve">Students with Disabilities continue to demonstrate the largest achievement gaps in both English Language Arts and Mathematics.</w:t>
            </w:r>
          </w:p>
        </w:tc>
      </w:tr>
      <w:tr>
        <w:trPr/>
        <w:tc>
          <w:tcPr>
            <w:tcW w:w="5000" w:type="pct"/>
            <w:vAlign w:val="center"/>
          </w:tcPr>
          <w:p>
            <w:pPr>
              <w:pStyle w:val="Normal"/>
            </w:pPr>
            <w:r>
              <w:t xml:space="preserve">Economically Disadvantaged students continue to perform below the All Student Group in English Language Arts and Mathematics proficiency.</w:t>
            </w:r>
          </w:p>
        </w:tc>
      </w:tr>
      <w:tr>
        <w:trPr/>
        <w:tc>
          <w:tcPr>
            <w:tcW w:w="5000" w:type="pct"/>
            <w:vAlign w:val="center"/>
          </w:tcPr>
          <w:p>
            <w:pPr>
              <w:pStyle w:val="Normal"/>
            </w:pPr>
            <w:r>
              <w:t xml:space="preserve">Although student growth is strong, overall proficiency has not yet reached desired levels. Increasing the percentage of students performing at the Proficient and Advanced levels on state assessments remains a primary school improvement priority.</w:t>
            </w:r>
          </w:p>
        </w:tc>
      </w:tr>
      <w:tr>
        <w:trPr/>
        <w:tc>
          <w:tcPr>
            <w:tcW w:w="5000" w:type="pct"/>
            <w:vAlign w:val="center"/>
          </w:tcPr>
          <w:p>
            <w:pPr>
              <w:pStyle w:val="Normal"/>
            </w:pPr>
            <w:r>
              <w:t xml:space="preserve">Achievement differences among student groups and grade levels indicate a continued need for consistent implementation of evidence-based Tier I instruction and differentiated supports.</w:t>
            </w:r>
          </w:p>
        </w:tc>
      </w:tr>
      <w:tr>
        <w:trPr/>
        <w:tc>
          <w:tcPr>
            <w:tcW w:w="5000" w:type="pct"/>
            <w:vAlign w:val="center"/>
          </w:tcPr>
          <w:p/>
        </w:tc>
      </w:tr>
    </w:tbl>
    <w:p>
      <w:pPr>
        <w:pStyle w:val="Normal"/>
      </w:pPr>
      <w:r>
        <w:br w:type="page"/>
      </w:r>
      <w:r>
        <w:lastRenderedPageBreak/>
      </w:r>
    </w:p>
    <w:p>
      <w:pPr>
        <w:pStyle w:val="Heading1"/>
      </w:pPr>
      <w:r>
        <w:t xml:space="preserve">Summary of Strengths and Challenges from the Needs Assessment</w:t>
      </w:r>
    </w:p>
    <w:p>
      <w:pPr>
        <w:pStyle w:val="Heading2"/>
      </w:pPr>
      <w:r>
        <w:t xml:space="preserve">Strengths</w:t>
      </w:r>
    </w:p>
    <w:p>
      <w:pPr>
        <w:pStyle w:val="Normal"/>
      </w:pPr>
      <w:r>
        <w:t xml:space="preserve">Examine the Summary of Strengths. Identify the strengths that are most positively contributing to achievement of your mission and vision. Check the box to the right of these identified strength(s).</w:t>
      </w:r>
    </w:p>
    <w:tbl>
      <w:tblPr>
        <w:tblStyle w:val="TableGrid"/>
        <w:tblW w:w="5000" w:type="pct"/>
      </w:tblPr>
      <w:tblGrid>
        <w:gridCol/>
        <w:gridCol/>
      </w:tblGrid>
      <w:tr>
        <w:trPr/>
        <w:tc>
          <w:tcPr>
            <w:tcW w:w="4000" w:type="pct"/>
            <w:vAlign w:val="center"/>
          </w:tcPr>
          <w:p>
            <w:pPr>
              <w:pStyle w:val="Normal"/>
            </w:pPr>
            <w:r>
              <w:t xml:space="preserve">Strength</w:t>
            </w:r>
          </w:p>
        </w:tc>
        <w:tc>
          <w:tcPr>
            <w:vAlign w:val="center"/>
          </w:tcPr>
          <w:p>
            <w:pPr>
              <w:pStyle w:val="Normal"/>
            </w:pPr>
            <w:r>
              <w:t xml:space="preserve">Check for Consideration in Plan</w:t>
            </w:r>
          </w:p>
        </w:tc>
      </w:tr>
      <w:tr>
        <w:trPr/>
        <w:tc>
          <w:tcPr>
            <w:vAlign w:val="center"/>
          </w:tcPr>
          <w:p>
            <w:pPr>
              <w:pStyle w:val="Normal"/>
            </w:pPr>
            <w:r>
              <w:t xml:space="preserve">Paradise Elementary demonstrated positive academic growth in English Language Arts, earning a PVAAS Growth Score of 77.0, which exceeded the statewide growth standard of 70.0. While overall proficiency remains an area for continued improvement, the school's growth results indicate that instructional practices are effectively accelerating student learning.</w:t>
            </w:r>
          </w:p>
        </w:tc>
        <w:tc>
          <w:tcPr>
            <w:vAlign w:val="center"/>
          </w:tcPr>
          <w:p>
            <w:pPr>
              <w:pStyle w:val="Normal"/>
            </w:pPr>
            <w:r>
              <w:t xml:space="preserve">True</w:t>
            </w:r>
          </w:p>
        </w:tc>
      </w:tr>
      <w:tr>
        <w:trPr/>
        <w:tc>
          <w:tcPr>
            <w:vAlign w:val="center"/>
          </w:tcPr>
          <w:p>
            <w:pPr>
              <w:pStyle w:val="Normal"/>
            </w:pPr>
            <w:r>
              <w:t xml:space="preserve">Paradise Elementary exceeded the statewide academic growth standard in Mathematics, earning a PVAAS Growth Score of 80.0. These results indicate that students made more than one year's academic growth, reflecting the effectiveness of mathematics instruction, intervention supports, and data-informed instructional practices.</w:t>
            </w:r>
          </w:p>
        </w:tc>
        <w:tc>
          <w:tcPr>
            <w:vAlign w:val="center"/>
          </w:tcPr>
          <w:p>
            <w:pPr>
              <w:pStyle w:val="Normal"/>
            </w:pPr>
            <w:r>
              <w:t xml:space="preserve">True</w:t>
            </w:r>
          </w:p>
        </w:tc>
      </w:tr>
      <w:tr>
        <w:trPr/>
        <w:tc>
          <w:tcPr>
            <w:vAlign w:val="center"/>
          </w:tcPr>
          <w:p>
            <w:pPr>
              <w:pStyle w:val="Normal"/>
            </w:pPr>
            <w:r>
              <w:t xml:space="preserve">Paradise Elementary achieved a 90.0% regular attendance rate, exceeding the statewide average of 79.6% and meeting the state performance standard. Strong attendance reflects positive student engagement, effective family partnerships, and a school climate that supports consistent student participation.</w:t>
            </w:r>
          </w:p>
        </w:tc>
        <w:tc>
          <w:tcPr>
            <w:vAlign w:val="center"/>
          </w:tcPr>
          <w:p>
            <w:pPr>
              <w:pStyle w:val="Normal"/>
            </w:pPr>
            <w:r>
              <w:t xml:space="preserve">True</w:t>
            </w:r>
          </w:p>
        </w:tc>
      </w:tr>
      <w:tr>
        <w:trPr/>
        <w:tc>
          <w:tcPr>
            <w:vAlign w:val="center"/>
          </w:tcPr>
          <w:p>
            <w:pPr>
              <w:pStyle w:val="Normal"/>
            </w:pPr>
            <w:r>
              <w:t xml:space="preserve">Paradise Elementary achieved 100% on the Career Standards Benchmark, exceeding both the statewide average and the statewide performance goal. These results demonstrate consistent implementation of Pennsylvania Career Education and Work Standards through classroom instruction and career awareness experiences that prepare students for future academic and career success.</w:t>
            </w:r>
          </w:p>
        </w:tc>
        <w:tc>
          <w:tcPr>
            <w:vAlign w:val="center"/>
          </w:tcPr>
          <w:p>
            <w:pPr>
              <w:pStyle w:val="Normal"/>
            </w:pPr>
            <w:r>
              <w:t xml:space="preserve">False</w:t>
            </w:r>
          </w:p>
        </w:tc>
      </w:tr>
      <w:tr>
        <w:trPr/>
        <w:tc>
          <w:tcPr>
            <w:vAlign w:val="center"/>
          </w:tcPr>
          <w:p>
            <w:pPr>
              <w:pStyle w:val="Normal"/>
            </w:pPr>
            <w:r>
              <w:t xml:space="preserve">NWEA MAP Reading data indicate strong academic growth across the school, with an overall 70th percentile growth, demonstrating that students exceeded expected annual growth.</w:t>
            </w:r>
          </w:p>
        </w:tc>
        <w:tc>
          <w:tcPr>
            <w:vAlign w:val="center"/>
          </w:tcPr>
          <w:p>
            <w:pPr>
              <w:pStyle w:val="Normal"/>
            </w:pPr>
            <w:r>
              <w:t xml:space="preserve">False</w:t>
            </w:r>
          </w:p>
        </w:tc>
      </w:tr>
      <w:tr>
        <w:trPr/>
        <w:tc>
          <w:tcPr>
            <w:vAlign w:val="center"/>
          </w:tcPr>
          <w:p>
            <w:pPr>
              <w:pStyle w:val="Normal"/>
            </w:pPr>
            <w:r>
              <w:t xml:space="preserve">Beyond career readiness - related academic areas are not a focus of our elementary school plan.</w:t>
            </w:r>
          </w:p>
        </w:tc>
        <w:tc>
          <w:tcPr>
            <w:vAlign w:val="center"/>
          </w:tcPr>
          <w:p>
            <w:pPr>
              <w:pStyle w:val="Normal"/>
            </w:pPr>
            <w:r>
              <w:t xml:space="preserve">False</w:t>
            </w:r>
          </w:p>
        </w:tc>
      </w:tr>
      <w:tr>
        <w:trPr/>
        <w:tc>
          <w:tcPr>
            <w:vAlign w:val="center"/>
          </w:tcPr>
          <w:p>
            <w:pPr>
              <w:pStyle w:val="Normal"/>
            </w:pPr>
            <w:r>
              <w:t xml:space="preserve">Schoolwide reading achievement improved from the 51st percentile in Fall 2025 to the 63rd percentile in Spring 2026, reflecting positive academic progress.</w:t>
            </w:r>
          </w:p>
        </w:tc>
        <w:tc>
          <w:tcPr>
            <w:vAlign w:val="center"/>
          </w:tcPr>
          <w:p>
            <w:pPr>
              <w:pStyle w:val="Normal"/>
            </w:pPr>
            <w:r>
              <w:t xml:space="preserve">False</w:t>
            </w:r>
          </w:p>
        </w:tc>
      </w:tr>
      <w:tr>
        <w:trPr/>
        <w:tc>
          <w:tcPr>
            <w:vAlign w:val="center"/>
          </w:tcPr>
          <w:p>
            <w:pPr>
              <w:pStyle w:val="Normal"/>
            </w:pPr>
            <w:r>
              <w:t xml:space="preserve">mCLASS DIBELS 8 data showed a substantial increase in students performing Above Benchmark (21% to 40%) and a reduction in students identified as Well Below Benchmark (31% to 23%), demonstrating the effectiveness of early literacy instruction and intervention.</w:t>
            </w:r>
          </w:p>
        </w:tc>
        <w:tc>
          <w:tcPr>
            <w:vAlign w:val="center"/>
          </w:tcPr>
          <w:p>
            <w:pPr>
              <w:pStyle w:val="Normal"/>
            </w:pPr>
            <w:r>
              <w:t xml:space="preserve">False</w:t>
            </w:r>
          </w:p>
        </w:tc>
      </w:tr>
      <w:tr>
        <w:trPr/>
        <w:tc>
          <w:tcPr>
            <w:vAlign w:val="center"/>
          </w:tcPr>
          <w:p>
            <w:pPr>
              <w:pStyle w:val="Normal"/>
            </w:pPr>
            <w:r>
              <w:t xml:space="preserve">NWEA MAP Reading, mCLASS DIBELS 8, and the Future Ready PA Index all indicate strong student growth, suggesting that Paradise Elementary's core literacy instruction, MTSS framework, and intervention programming are positively impacting student learning.</w:t>
            </w:r>
          </w:p>
        </w:tc>
        <w:tc>
          <w:tcPr>
            <w:vAlign w:val="center"/>
          </w:tcPr>
          <w:p>
            <w:pPr>
              <w:pStyle w:val="Normal"/>
            </w:pPr>
            <w:r>
              <w:t xml:space="preserve">True</w:t>
            </w:r>
          </w:p>
        </w:tc>
      </w:tr>
      <w:tr>
        <w:trPr/>
        <w:tc>
          <w:tcPr>
            <w:vAlign w:val="center"/>
          </w:tcPr>
          <w:p>
            <w:pPr>
              <w:pStyle w:val="Normal"/>
            </w:pPr>
            <w:r>
              <w:t xml:space="preserve">NWEA MAP Growth results indicate students achieved an overall 82nd percentile growth, demonstrating greater than expected academic growth compared to national norms. This strong growth reflects the effectiveness of core mathematics instruction, MTSS supports, and targeted interventions and aligns with the school's positive PVAAS mathematics growth results.</w:t>
            </w:r>
          </w:p>
        </w:tc>
        <w:tc>
          <w:tcPr>
            <w:vAlign w:val="center"/>
          </w:tcPr>
          <w:p>
            <w:pPr>
              <w:pStyle w:val="Normal"/>
            </w:pPr>
            <w:r>
              <w:t xml:space="preserve">False</w:t>
            </w:r>
          </w:p>
        </w:tc>
      </w:tr>
      <w:tr>
        <w:trPr/>
        <w:tc>
          <w:tcPr>
            <w:vAlign w:val="center"/>
          </w:tcPr>
          <w:p>
            <w:pPr>
              <w:pStyle w:val="Normal"/>
            </w:pPr>
            <w:r>
              <w:t xml:space="preserve">Overall mathematics achievement increased from the 52nd percentile in Fall 2025 to the 73rd percentile in Spring 2026, demonstrating meaningful academic progress across grade levels and indicating that students are making gains toward grade-level expectations.</w:t>
            </w:r>
          </w:p>
        </w:tc>
        <w:tc>
          <w:tcPr>
            <w:vAlign w:val="center"/>
          </w:tcPr>
          <w:p>
            <w:pPr>
              <w:pStyle w:val="Normal"/>
            </w:pPr>
            <w:r>
              <w:t xml:space="preserve">False</w:t>
            </w:r>
          </w:p>
        </w:tc>
      </w:tr>
      <w:tr>
        <w:trPr/>
        <w:tc>
          <w:tcPr>
            <w:vAlign w:val="center"/>
          </w:tcPr>
          <w:p>
            <w:pPr>
              <w:pStyle w:val="Normal"/>
            </w:pPr>
            <w:r>
              <w:t xml:space="preserve">Grades 5 and 6 achieved median growth percentiles of 93rd and 95th, respectively, while Grade 1 also demonstrated strong growth at the 81st percentile. These grade-level successes provide opportunities to identify effective instructional practices that can be shared across the school.</w:t>
            </w:r>
          </w:p>
        </w:tc>
        <w:tc>
          <w:tcPr>
            <w:vAlign w:val="center"/>
          </w:tcPr>
          <w:p>
            <w:pPr>
              <w:pStyle w:val="Normal"/>
            </w:pPr>
            <w:r>
              <w:t xml:space="preserve">False</w:t>
            </w:r>
          </w:p>
        </w:tc>
      </w:tr>
      <w:tr>
        <w:trPr/>
        <w:tc>
          <w:tcPr>
            <w:vAlign w:val="center"/>
          </w:tcPr>
          <w:p>
            <w:pPr>
              <w:pStyle w:val="Normal"/>
            </w:pPr>
            <w:r>
              <w:t xml:space="preserve">The NWEA MAP Mathematics data closely align with the Future Ready PA Index and PVAAS results, demonstrating consistent evidence of strong student growth. This alignment provides confidence that current instructional practices and MTSS systems are positively impacting student learning and should be leveraged to further increase mathematics proficiency.</w:t>
            </w:r>
          </w:p>
        </w:tc>
        <w:tc>
          <w:tcPr>
            <w:vAlign w:val="center"/>
          </w:tcPr>
          <w:p>
            <w:pPr>
              <w:pStyle w:val="Normal"/>
            </w:pPr>
            <w:r>
              <w:t xml:space="preserve">True</w:t>
            </w:r>
          </w:p>
        </w:tc>
      </w:tr>
      <w:tr>
        <w:trPr/>
        <w:tc>
          <w:tcPr>
            <w:vAlign w:val="center"/>
          </w:tcPr>
          <w:p>
            <w:pPr>
              <w:pStyle w:val="Normal"/>
            </w:pPr>
            <w:r>
              <w:t xml:space="preserve">100% of learners completed their Career Readiness Portfolios in accordance with state expectations.</w:t>
            </w:r>
          </w:p>
        </w:tc>
        <w:tc>
          <w:tcPr>
            <w:vAlign w:val="center"/>
          </w:tcPr>
          <w:p>
            <w:pPr>
              <w:pStyle w:val="Normal"/>
            </w:pPr>
            <w:r>
              <w:t xml:space="preserve">False</w:t>
            </w:r>
          </w:p>
        </w:tc>
      </w:tr>
      <w:tr>
        <w:trPr/>
        <w:tc>
          <w:tcPr>
            <w:vAlign w:val="center"/>
          </w:tcPr>
          <w:p>
            <w:pPr>
              <w:pStyle w:val="Normal"/>
            </w:pPr>
            <w:r>
              <w:t xml:space="preserve">Students across multiple student groups demonstrated strong academic growth in both reading and mathematics as evidenced by NWEA MAP and PVAAS results.</w:t>
            </w:r>
          </w:p>
        </w:tc>
        <w:tc>
          <w:tcPr>
            <w:vAlign w:val="center"/>
          </w:tcPr>
          <w:p>
            <w:pPr>
              <w:pStyle w:val="Normal"/>
            </w:pPr>
            <w:r>
              <w:t xml:space="preserve">False</w:t>
            </w:r>
          </w:p>
        </w:tc>
      </w:tr>
      <w:tr>
        <w:trPr/>
        <w:tc>
          <w:tcPr>
            <w:vAlign w:val="center"/>
          </w:tcPr>
          <w:p>
            <w:pPr>
              <w:pStyle w:val="Normal"/>
            </w:pPr>
            <w:r>
              <w:t xml:space="preserve">Foundational literacy outcomes improved across the school year. mCLASS DIBELS 8 data showed an increase in students performing Above Benchmark and a reduction in students performing Well Below Benchmark, demonstrating the effectiveness of early literacy instruction and intervention.</w:t>
            </w:r>
          </w:p>
        </w:tc>
        <w:tc>
          <w:tcPr>
            <w:vAlign w:val="center"/>
          </w:tcPr>
          <w:p>
            <w:pPr>
              <w:pStyle w:val="Normal"/>
            </w:pPr>
            <w:r>
              <w:t xml:space="preserve">True</w:t>
            </w:r>
          </w:p>
        </w:tc>
      </w:tr>
      <w:tr>
        <w:trPr/>
        <w:tc>
          <w:tcPr>
            <w:vAlign w:val="center"/>
          </w:tcPr>
          <w:p>
            <w:pPr>
              <w:pStyle w:val="Normal"/>
            </w:pPr>
            <w:r>
              <w:t xml:space="preserve">Mathematics achievement increased across grade levels while maintaining exceptional growth. NWEA MAP Mathematics results showed substantial gains in overall achievement and growth, providing evidence that current instructional practices can be leveraged to improve overall proficiency for all student groups.</w:t>
            </w:r>
          </w:p>
        </w:tc>
        <w:tc>
          <w:tcPr>
            <w:vAlign w:val="center"/>
          </w:tcPr>
          <w:p>
            <w:pPr>
              <w:pStyle w:val="Normal"/>
            </w:pPr>
            <w:r>
              <w:t xml:space="preserve">False</w:t>
            </w:r>
          </w:p>
        </w:tc>
      </w:tr>
      <w:tr>
        <w:trPr/>
        <w:tc>
          <w:tcPr>
            <w:vAlign w:val="center"/>
          </w:tcPr>
          <w:p>
            <w:pPr>
              <w:pStyle w:val="Normal"/>
            </w:pPr>
            <w:r>
              <w:t xml:space="preserve">Title I and MTSS supports are contributing to positive student outcomes. Continued implementation of interventionists, MTSS paraprofessionals, data-based decision making through Branching Minds, and evidence-based instructional practices are producing measurable student growth that can be leveraged to address remaining achievement gaps.</w:t>
            </w:r>
          </w:p>
        </w:tc>
        <w:tc>
          <w:tcPr>
            <w:vAlign w:val="center"/>
          </w:tcPr>
          <w:p>
            <w:pPr>
              <w:pStyle w:val="Normal"/>
            </w:pPr>
            <w:r>
              <w:t xml:space="preserve">True</w:t>
            </w:r>
          </w:p>
        </w:tc>
      </w:tr>
      <w:tr>
        <w:trPr/>
        <w:tc>
          <w:tcPr>
            <w:vAlign w:val="center"/>
          </w:tcPr>
          <w:p>
            <w:pPr>
              <w:pStyle w:val="Normal"/>
            </w:pPr>
            <w:r>
              <w:t xml:space="preserve">Use a variety of assessments (including diagnostic, formative, and summative) to monitor student learning and adjust programs and instructional practices</w:t>
            </w:r>
          </w:p>
        </w:tc>
        <w:tc>
          <w:tcPr>
            <w:vAlign w:val="center"/>
          </w:tcPr>
          <w:p>
            <w:pPr>
              <w:pStyle w:val="Normal"/>
            </w:pPr>
            <w:r>
              <w:t xml:space="preserve">False</w:t>
            </w:r>
          </w:p>
        </w:tc>
      </w:tr>
      <w:tr>
        <w:trPr/>
        <w:tc>
          <w:tcPr>
            <w:vAlign w:val="center"/>
          </w:tcPr>
          <w:p>
            <w:pPr>
              <w:pStyle w:val="Normal"/>
            </w:pPr>
            <w:r>
              <w:t xml:space="preserve">Promote and sustain a positive school environment where all members feel welcomed, supported, and safe in school: socially, emotionally, intellectually and physically</w:t>
            </w:r>
          </w:p>
        </w:tc>
        <w:tc>
          <w:tcPr>
            <w:vAlign w:val="center"/>
          </w:tcPr>
          <w:p>
            <w:pPr>
              <w:pStyle w:val="Normal"/>
            </w:pPr>
            <w:r>
              <w:t xml:space="preserve">False</w:t>
            </w:r>
          </w:p>
        </w:tc>
      </w:tr>
      <w:tr>
        <w:trPr/>
        <w:tc>
          <w:tcPr>
            <w:vAlign w:val="center"/>
          </w:tcPr>
          <w:p>
            <w:pPr>
              <w:pStyle w:val="Normal"/>
            </w:pPr>
            <w:r>
              <w:t xml:space="preserve">Provide frequent, timely, and systematic feedback and support on instructional practices</w:t>
            </w:r>
          </w:p>
        </w:tc>
        <w:tc>
          <w:tcPr>
            <w:vAlign w:val="center"/>
          </w:tcPr>
          <w:p>
            <w:pPr>
              <w:pStyle w:val="Normal"/>
            </w:pPr>
            <w:r>
              <w:t xml:space="preserve">False</w:t>
            </w:r>
          </w:p>
        </w:tc>
      </w:tr>
      <w:tr>
        <w:trPr/>
        <w:tc>
          <w:tcPr>
            <w:vAlign w:val="center"/>
          </w:tcPr>
          <w:p>
            <w:pPr>
              <w:pStyle w:val="Normal"/>
            </w:pPr>
            <w:r>
              <w:t xml:space="preserve">Build leadership capacity and empower staff in the development and successful implementation of initiatives that better serve students, staff, and the school</w:t>
            </w:r>
          </w:p>
        </w:tc>
        <w:tc>
          <w:tcPr>
            <w:vAlign w:val="center"/>
          </w:tcPr>
          <w:p>
            <w:pPr>
              <w:pStyle w:val="Normal"/>
            </w:pPr>
            <w:r>
              <w:t xml:space="preserve">False</w:t>
            </w:r>
          </w:p>
        </w:tc>
      </w:tr>
    </w:tbl>
    <w:p>
      <w:pPr>
        <w:pStyle w:val="Heading2"/>
      </w:pPr>
      <w:r>
        <w:t xml:space="preserve">Challenges</w:t>
      </w:r>
    </w:p>
    <w:p>
      <w:pPr>
        <w:pStyle w:val="Normal"/>
      </w:pPr>
      <w:r>
        <w:t xml:space="preserve">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Pr>
      <w:tblGrid>
        <w:gridCol/>
        <w:gridCol/>
      </w:tblGrid>
      <w:tr>
        <w:trPr/>
        <w:tc>
          <w:tcPr>
            <w:tcW w:w="4000" w:type="pct"/>
            <w:vAlign w:val="center"/>
          </w:tcPr>
          <w:p>
            <w:pPr>
              <w:pStyle w:val="Normal"/>
            </w:pPr>
            <w:r>
              <w:t xml:space="preserve">Strength</w:t>
            </w:r>
          </w:p>
        </w:tc>
        <w:tc>
          <w:tcPr>
            <w:vAlign w:val="center"/>
          </w:tcPr>
          <w:p>
            <w:pPr>
              <w:pStyle w:val="Normal"/>
            </w:pPr>
            <w:r>
              <w:t xml:space="preserve">Check for Consideration in Plan</w:t>
            </w:r>
          </w:p>
        </w:tc>
      </w:tr>
      <w:tr>
        <w:trPr/>
        <w:tc>
          <w:tcPr>
            <w:vAlign w:val="center"/>
          </w:tcPr>
          <w:p>
            <w:pPr>
              <w:pStyle w:val="Normal"/>
            </w:pPr>
            <w:r>
              <w:t xml:space="preserve">Paradise Elementary's All Student Group achieved 50.2% proficiency in English Language Arts/Literature, performing slightly above the statewide average of 49.9%. While overall performance exceeded the statewide average, the school did not meet its interim improvement target. Achievement gaps remain among economically disadvantaged students and students with disabilities, indicating a continued need for targeted instructional support while building on the school's positive academic growth.</w:t>
            </w:r>
          </w:p>
        </w:tc>
        <w:tc>
          <w:tcPr>
            <w:vAlign w:val="center"/>
          </w:tcPr>
          <w:p>
            <w:pPr>
              <w:pStyle w:val="Normal"/>
            </w:pPr>
            <w:r>
              <w:t xml:space="preserve">False</w:t>
            </w:r>
          </w:p>
        </w:tc>
      </w:tr>
      <w:tr>
        <w:trPr/>
        <w:tc>
          <w:tcPr>
            <w:vAlign w:val="center"/>
          </w:tcPr>
          <w:p>
            <w:pPr>
              <w:pStyle w:val="Normal"/>
            </w:pPr>
            <w:r>
              <w:t xml:space="preserve">Students with disabilities achieved 17.6% proficiency in English Language Arts/Literature, substantially below the All Student Group performance. Continued emphasis on evidence-based Tier I instruction, specially designed instruction, and targeted MTSS interventions is needed to improve achievement outcomes for this subgroup.</w:t>
            </w:r>
          </w:p>
        </w:tc>
        <w:tc>
          <w:tcPr>
            <w:vAlign w:val="center"/>
          </w:tcPr>
          <w:p>
            <w:pPr>
              <w:pStyle w:val="Normal"/>
            </w:pPr>
            <w:r>
              <w:t xml:space="preserve">False</w:t>
            </w:r>
          </w:p>
        </w:tc>
      </w:tr>
      <w:tr>
        <w:trPr/>
        <w:tc>
          <w:tcPr>
            <w:vAlign w:val="center"/>
          </w:tcPr>
          <w:p>
            <w:pPr>
              <w:pStyle w:val="Normal"/>
            </w:pPr>
            <w:r>
              <w:t xml:space="preserve">Economically disadvantaged students achieved 42.6% proficiency in English Language Arts/Literature, below the All Student Group performance. Given that nearly 45% of Paradise Elementary students are economically disadvantaged, continued Title I-supported interventions, MTSS programming, and family engagement efforts remain important strategies for increasing student achievement.</w:t>
            </w:r>
          </w:p>
        </w:tc>
        <w:tc>
          <w:tcPr>
            <w:vAlign w:val="center"/>
          </w:tcPr>
          <w:p>
            <w:pPr>
              <w:pStyle w:val="Normal"/>
            </w:pPr>
            <w:r>
              <w:t xml:space="preserve">False</w:t>
            </w:r>
          </w:p>
        </w:tc>
      </w:tr>
      <w:tr>
        <w:trPr/>
        <w:tc>
          <w:tcPr>
            <w:vAlign w:val="center"/>
          </w:tcPr>
          <w:p>
            <w:pPr>
              <w:pStyle w:val="Normal"/>
            </w:pPr>
            <w:r>
              <w:t xml:space="preserve">Paradise Elementary's All Student Group achieved 46.4% proficiency in Mathematics, exceeding the statewide average of 41.7%. Although overall performance was above the statewide average, the school did not meet its interim improvement target. Achievement gaps remain for economically disadvantaged students and students with disabilities, indicating the need to continue strengthening core instruction and targeted interventions.</w:t>
            </w:r>
          </w:p>
        </w:tc>
        <w:tc>
          <w:tcPr>
            <w:vAlign w:val="center"/>
          </w:tcPr>
          <w:p>
            <w:pPr>
              <w:pStyle w:val="Normal"/>
            </w:pPr>
            <w:r>
              <w:t xml:space="preserve">False</w:t>
            </w:r>
          </w:p>
        </w:tc>
      </w:tr>
      <w:tr>
        <w:trPr/>
        <w:tc>
          <w:tcPr>
            <w:vAlign w:val="center"/>
          </w:tcPr>
          <w:p>
            <w:pPr>
              <w:pStyle w:val="Normal"/>
            </w:pPr>
            <w:r>
              <w:t xml:space="preserve">Students with disabilities achieved 11.8% proficiency in Mathematics, substantially below the All Student Group. Continued emphasis on evidence-based mathematics instruction, specially designed instruction, and targeted MTSS interventions is needed to improve achievement for this subgroup.</w:t>
            </w:r>
          </w:p>
        </w:tc>
        <w:tc>
          <w:tcPr>
            <w:vAlign w:val="center"/>
          </w:tcPr>
          <w:p>
            <w:pPr>
              <w:pStyle w:val="Normal"/>
            </w:pPr>
            <w:r>
              <w:t xml:space="preserve">False</w:t>
            </w:r>
          </w:p>
        </w:tc>
      </w:tr>
      <w:tr>
        <w:trPr/>
        <w:tc>
          <w:tcPr>
            <w:vAlign w:val="center"/>
          </w:tcPr>
          <w:p>
            <w:pPr>
              <w:pStyle w:val="Normal"/>
            </w:pPr>
            <w:r>
              <w:t xml:space="preserve">Economically disadvantaged students achieved 37.0% proficiency in Mathematics, below the All Student Group performance. Continued implementation of Title I-supported intervention services, MTSS programming, and targeted instructional supports will be important to increase mathematics achievement for this subgroup.</w:t>
            </w:r>
          </w:p>
        </w:tc>
        <w:tc>
          <w:tcPr>
            <w:vAlign w:val="center"/>
          </w:tcPr>
          <w:p>
            <w:pPr>
              <w:pStyle w:val="Normal"/>
            </w:pPr>
            <w:r>
              <w:t xml:space="preserve">False</w:t>
            </w:r>
          </w:p>
        </w:tc>
      </w:tr>
      <w:tr>
        <w:trPr/>
        <w:tc>
          <w:tcPr>
            <w:vAlign w:val="center"/>
          </w:tcPr>
          <w:p>
            <w:pPr>
              <w:pStyle w:val="Normal"/>
            </w:pPr>
            <w:r>
              <w:t xml:space="preserve">While students demonstrated strong growth, achievement data indicate continued opportunities to increase the percentage of students performing in the highest achievement bands and meeting grade-level expectations.</w:t>
            </w:r>
          </w:p>
        </w:tc>
        <w:tc>
          <w:tcPr>
            <w:vAlign w:val="center"/>
          </w:tcPr>
          <w:p>
            <w:pPr>
              <w:pStyle w:val="Normal"/>
            </w:pPr>
            <w:r>
              <w:t xml:space="preserve">False</w:t>
            </w:r>
          </w:p>
        </w:tc>
      </w:tr>
      <w:tr>
        <w:trPr/>
        <w:tc>
          <w:tcPr>
            <w:vAlign w:val="center"/>
          </w:tcPr>
          <w:p>
            <w:pPr>
              <w:pStyle w:val="Normal"/>
            </w:pPr>
            <w:r>
              <w:t xml:space="preserve">NWEA MAP Reading results indicate Grades 4 and 5 demonstrated lower overall achievement than other grade levels, suggesting a need for continued instructional support and targeted interventions.</w:t>
            </w:r>
          </w:p>
        </w:tc>
        <w:tc>
          <w:tcPr>
            <w:vAlign w:val="center"/>
          </w:tcPr>
          <w:p>
            <w:pPr>
              <w:pStyle w:val="Normal"/>
            </w:pPr>
            <w:r>
              <w:t xml:space="preserve">False</w:t>
            </w:r>
          </w:p>
        </w:tc>
      </w:tr>
      <w:tr>
        <w:trPr/>
        <w:tc>
          <w:tcPr>
            <w:vAlign w:val="center"/>
          </w:tcPr>
          <w:p>
            <w:pPr>
              <w:pStyle w:val="Normal"/>
            </w:pPr>
            <w:r>
              <w:t xml:space="preserve">Although DIBELS performance improved, 34% of students remained in the Well Below or Below Benchmark categories at the end of the year, indicating continued need for systematic intervention and progress monitoring.</w:t>
            </w:r>
          </w:p>
        </w:tc>
        <w:tc>
          <w:tcPr>
            <w:vAlign w:val="center"/>
          </w:tcPr>
          <w:p>
            <w:pPr>
              <w:pStyle w:val="Normal"/>
            </w:pPr>
            <w:r>
              <w:t xml:space="preserve">False</w:t>
            </w:r>
          </w:p>
        </w:tc>
      </w:tr>
      <w:tr>
        <w:trPr/>
        <w:tc>
          <w:tcPr>
            <w:vAlign w:val="center"/>
          </w:tcPr>
          <w:p>
            <w:pPr>
              <w:pStyle w:val="Normal"/>
            </w:pPr>
            <w:r>
              <w:t xml:space="preserve">Local assessment data support the need to strengthen core literacy instruction while continuing targeted intervention, progress monitoring, and data-based instructional decision-making to increase proficiency and close achievement gaps across grade levels.</w:t>
            </w:r>
          </w:p>
        </w:tc>
        <w:tc>
          <w:tcPr>
            <w:vAlign w:val="center"/>
          </w:tcPr>
          <w:p>
            <w:pPr>
              <w:pStyle w:val="Normal"/>
            </w:pPr>
            <w:r>
              <w:t xml:space="preserve">False</w:t>
            </w:r>
          </w:p>
        </w:tc>
      </w:tr>
      <w:tr>
        <w:trPr/>
        <w:tc>
          <w:tcPr>
            <w:vAlign w:val="center"/>
          </w:tcPr>
          <w:p>
            <w:pPr>
              <w:pStyle w:val="Normal"/>
            </w:pPr>
            <w:r>
              <w:t xml:space="preserve">Although students demonstrated exceptional academic growth, increasing the percentage of students performing at proficient and advanced levels remains a priority. Continued focus on high-quality Tier I mathematics instruction will help translate strong growth into higher levels of achievement on state assessments.</w:t>
            </w:r>
          </w:p>
        </w:tc>
        <w:tc>
          <w:tcPr>
            <w:vAlign w:val="center"/>
          </w:tcPr>
          <w:p>
            <w:pPr>
              <w:pStyle w:val="Normal"/>
            </w:pPr>
            <w:r>
              <w:t xml:space="preserve">False</w:t>
            </w:r>
          </w:p>
        </w:tc>
      </w:tr>
      <w:tr>
        <w:trPr/>
        <w:tc>
          <w:tcPr>
            <w:vAlign w:val="center"/>
          </w:tcPr>
          <w:p>
            <w:pPr>
              <w:pStyle w:val="Normal"/>
            </w:pPr>
            <w:r>
              <w:t xml:space="preserve">Grade-level achievement data indicate that some grades, particularly Grade 4, performed below the overall school achievement level. Continued analysis of instructional practices and targeted supports will help ensure consistent mathematics achievement across all grade levels.</w:t>
            </w:r>
          </w:p>
        </w:tc>
        <w:tc>
          <w:tcPr>
            <w:vAlign w:val="center"/>
          </w:tcPr>
          <w:p>
            <w:pPr>
              <w:pStyle w:val="Normal"/>
            </w:pPr>
            <w:r>
              <w:t xml:space="preserve">False</w:t>
            </w:r>
          </w:p>
        </w:tc>
      </w:tr>
      <w:tr>
        <w:trPr/>
        <w:tc>
          <w:tcPr>
            <w:vAlign w:val="center"/>
          </w:tcPr>
          <w:p>
            <w:pPr>
              <w:pStyle w:val="Normal"/>
            </w:pPr>
            <w:r>
              <w:t xml:space="preserve">While schoolwide achievement improved, 19% of students remained below the 40th percentile nationally (8% in the 1st–20th percentile and 11% in the 21st–40th percentile). Strengthening core instruction and expanding targeted interventions will help move more students into the proficient achievement bands.</w:t>
            </w:r>
          </w:p>
        </w:tc>
        <w:tc>
          <w:tcPr>
            <w:vAlign w:val="center"/>
          </w:tcPr>
          <w:p>
            <w:pPr>
              <w:pStyle w:val="Normal"/>
            </w:pPr>
            <w:r>
              <w:t xml:space="preserve">False</w:t>
            </w:r>
          </w:p>
        </w:tc>
      </w:tr>
      <w:tr>
        <w:trPr/>
        <w:tc>
          <w:tcPr>
            <w:vAlign w:val="center"/>
          </w:tcPr>
          <w:p>
            <w:pPr>
              <w:pStyle w:val="Normal"/>
            </w:pPr>
            <w:r>
              <w:t xml:space="preserve">The data indicate that while students are making strong academic growth, sustained use of formative assessment data, progress monitoring, differentiated instruction, and Tier II and Tier III interventions will be critical to accelerating achievement for students who have not yet reached grade-level expectations.</w:t>
            </w:r>
          </w:p>
        </w:tc>
        <w:tc>
          <w:tcPr>
            <w:vAlign w:val="center"/>
          </w:tcPr>
          <w:p>
            <w:pPr>
              <w:pStyle w:val="Normal"/>
            </w:pPr>
            <w:r>
              <w:t xml:space="preserve">False</w:t>
            </w:r>
          </w:p>
        </w:tc>
      </w:tr>
      <w:tr>
        <w:trPr/>
        <w:tc>
          <w:tcPr>
            <w:vAlign w:val="center"/>
          </w:tcPr>
          <w:p>
            <w:pPr>
              <w:pStyle w:val="Normal"/>
            </w:pPr>
            <w:r>
              <w:t xml:space="preserve">Continue to engage 100% of learners in completing their career readiness portfolio.</w:t>
            </w:r>
          </w:p>
        </w:tc>
        <w:tc>
          <w:tcPr>
            <w:vAlign w:val="center"/>
          </w:tcPr>
          <w:p>
            <w:pPr>
              <w:pStyle w:val="Normal"/>
            </w:pPr>
            <w:r>
              <w:t xml:space="preserve">False</w:t>
            </w:r>
          </w:p>
        </w:tc>
      </w:tr>
      <w:tr>
        <w:trPr/>
        <w:tc>
          <w:tcPr>
            <w:vAlign w:val="center"/>
          </w:tcPr>
          <w:p>
            <w:pPr>
              <w:pStyle w:val="Normal"/>
            </w:pPr>
            <w:r>
              <w:t xml:space="preserve">Beyond career readiness - related academic areas are not a focus of our elementary school plan.</w:t>
            </w:r>
          </w:p>
        </w:tc>
        <w:tc>
          <w:tcPr>
            <w:vAlign w:val="center"/>
          </w:tcPr>
          <w:p>
            <w:pPr>
              <w:pStyle w:val="Normal"/>
            </w:pPr>
            <w:r>
              <w:t xml:space="preserve">False</w:t>
            </w:r>
          </w:p>
        </w:tc>
      </w:tr>
      <w:tr>
        <w:trPr/>
        <w:tc>
          <w:tcPr>
            <w:vAlign w:val="center"/>
          </w:tcPr>
          <w:p>
            <w:pPr>
              <w:pStyle w:val="Normal"/>
            </w:pPr>
            <w:r>
              <w:t xml:space="preserve">Students with Disabilities continue to demonstrate the largest achievement gaps in both English Language Arts and Mathematics.</w:t>
            </w:r>
          </w:p>
        </w:tc>
        <w:tc>
          <w:tcPr>
            <w:vAlign w:val="center"/>
          </w:tcPr>
          <w:p>
            <w:pPr>
              <w:pStyle w:val="Normal"/>
            </w:pPr>
            <w:r>
              <w:t xml:space="preserve">True</w:t>
            </w:r>
          </w:p>
        </w:tc>
      </w:tr>
      <w:tr>
        <w:trPr/>
        <w:tc>
          <w:tcPr>
            <w:vAlign w:val="center"/>
          </w:tcPr>
          <w:p>
            <w:pPr>
              <w:pStyle w:val="Normal"/>
            </w:pPr>
            <w:r>
              <w:t xml:space="preserve">Economically Disadvantaged students continue to perform below the All Student Group in English Language Arts and Mathematics proficiency.</w:t>
            </w:r>
          </w:p>
        </w:tc>
        <w:tc>
          <w:tcPr>
            <w:vAlign w:val="center"/>
          </w:tcPr>
          <w:p>
            <w:pPr>
              <w:pStyle w:val="Normal"/>
            </w:pPr>
            <w:r>
              <w:t xml:space="preserve">True</w:t>
            </w:r>
          </w:p>
        </w:tc>
      </w:tr>
      <w:tr>
        <w:trPr/>
        <w:tc>
          <w:tcPr>
            <w:vAlign w:val="center"/>
          </w:tcPr>
          <w:p>
            <w:pPr>
              <w:pStyle w:val="Normal"/>
            </w:pPr>
            <w:r>
              <w:t xml:space="preserve">Although student growth is strong, overall proficiency has not yet reached desired levels. Increasing the percentage of students performing at the Proficient and Advanced levels on state assessments remains a primary school improvement priority.</w:t>
            </w:r>
          </w:p>
        </w:tc>
        <w:tc>
          <w:tcPr>
            <w:vAlign w:val="center"/>
          </w:tcPr>
          <w:p>
            <w:pPr>
              <w:pStyle w:val="Normal"/>
            </w:pPr>
            <w:r>
              <w:t xml:space="preserve">True</w:t>
            </w:r>
          </w:p>
        </w:tc>
      </w:tr>
      <w:tr>
        <w:trPr/>
        <w:tc>
          <w:tcPr>
            <w:vAlign w:val="center"/>
          </w:tcPr>
          <w:p>
            <w:pPr>
              <w:pStyle w:val="Normal"/>
            </w:pPr>
            <w:r>
              <w:t xml:space="preserve">Achievement differences among student groups and grade levels indicate a continued need for consistent implementation of evidence-based Tier I instruction and differentiated supports.</w:t>
            </w:r>
          </w:p>
        </w:tc>
        <w:tc>
          <w:tcPr>
            <w:vAlign w:val="center"/>
          </w:tcPr>
          <w:p>
            <w:pPr>
              <w:pStyle w:val="Normal"/>
            </w:pPr>
            <w:r>
              <w:t xml:space="preserve">True</w:t>
            </w:r>
          </w:p>
        </w:tc>
      </w:tr>
      <w:tr>
        <w:trPr/>
        <w:tc>
          <w:tcPr>
            <w:vAlign w:val="center"/>
          </w:tcPr>
          <w:p>
            <w:pPr>
              <w:pStyle w:val="Normal"/>
            </w:pPr>
            <w:r>
              <w:t xml:space="preserve">Monitor and evaluate the impact of professional learning on staff practices and student learning</w:t>
            </w:r>
          </w:p>
        </w:tc>
        <w:tc>
          <w:tcPr>
            <w:vAlign w:val="center"/>
          </w:tcPr>
          <w:p>
            <w:pPr>
              <w:pStyle w:val="Normal"/>
            </w:pPr>
            <w:r>
              <w:t xml:space="preserve">False</w:t>
            </w:r>
          </w:p>
        </w:tc>
      </w:tr>
      <w:tr>
        <w:trPr/>
        <w:tc>
          <w:tcPr>
            <w:vAlign w:val="center"/>
          </w:tcPr>
          <w:p>
            <w:pPr>
              <w:pStyle w:val="Normal"/>
            </w:pPr>
            <w:r>
              <w:t xml:space="preserve">Implement evidence-based strategies to engage families to support learning</w:t>
            </w:r>
          </w:p>
        </w:tc>
        <w:tc>
          <w:tcPr>
            <w:vAlign w:val="center"/>
          </w:tcPr>
          <w:p>
            <w:pPr>
              <w:pStyle w:val="Normal"/>
            </w:pPr>
            <w:r>
              <w:t xml:space="preserve">True</w:t>
            </w:r>
          </w:p>
        </w:tc>
      </w:tr>
      <w:tr>
        <w:trPr/>
        <w:tc>
          <w:tcPr>
            <w:vAlign w:val="center"/>
          </w:tcPr>
          <w:p>
            <w:pPr>
              <w:pStyle w:val="Normal"/>
            </w:pPr>
            <w:r>
              <w:t xml:space="preserve">Identify professional learning needs through analysis of a variety of data</w:t>
            </w:r>
          </w:p>
        </w:tc>
        <w:tc>
          <w:tcPr>
            <w:vAlign w:val="center"/>
          </w:tcPr>
          <w:p>
            <w:pPr>
              <w:pStyle w:val="Normal"/>
            </w:pPr>
            <w:r>
              <w:t xml:space="preserve">False</w:t>
            </w:r>
          </w:p>
        </w:tc>
      </w:tr>
    </w:tbl>
    <w:p>
      <w:pPr>
        <w:pStyle w:val="Heading2"/>
      </w:pPr>
      <w:r>
        <w:t xml:space="preserve">Most Notable Observations/Patterns</w:t>
      </w:r>
    </w:p>
    <w:p>
      <w:pPr>
        <w:pStyle w:val="Normal"/>
      </w:pPr>
      <w:r>
        <w:t xml:space="preserve">In the space provided, record any of the comments and notable observations made as your team worked through the needs assessment that stand out as important to the challenge(s) you checked for consideration in your comprehensive plan.</w:t>
      </w:r>
    </w:p>
    <w:p>
      <w:pPr>
        <w:pStyle w:val="Normal"/>
      </w:pPr>
      <w:r>
        <w:t xml:space="preserve">Throughout the needs assessment, multiple data sources—including the Future Ready PA Index, PVAAS, NWEA MAP Growth, and mCLASS DIBELS 8—consistently indicated that Paradise Elementary students are demonstrating strong academic growth while overall proficiency remains below the school's interim targets. The most significant challenges center on increasing English Language Arts and Mathematics proficiency, particularly for Students with Disabilities and Economically Disadvantaged students. The team also identified the continued need to strengthen Tier I instruction, implement targeted MTSS interventions, utilize ongoing progress monitoring and data-based decision making, and expand meaningful family engagement opportunities. These findings reinforce the importance of leveraging Title I and Title IV resources, including interventionists, MTSS paraprofessionals, Branching Minds, family engagement programming, and positive school climate initiatives, to accelerate achievement and reduce performance gaps while building upon the school's demonstrated growth.</w:t>
      </w:r>
    </w:p>
    <w:p>
      <w:pPr>
        <w:pStyle w:val="Normal"/>
      </w:pPr>
      <w:r>
        <w:br w:type="page"/>
      </w:r>
      <w:r>
        <w:lastRenderedPageBreak/>
      </w:r>
    </w:p>
    <w:p>
      <w:pPr>
        <w:pStyle w:val="Heading1"/>
      </w:pPr>
      <w:r>
        <w:t xml:space="preserve">Analyzing (Strengths and Challenges)</w:t>
      </w:r>
    </w:p>
    <w:p>
      <w:pPr>
        <w:pStyle w:val="Heading2"/>
      </w:pPr>
      <w:r>
        <w:t xml:space="preserve">Analyzing Challenges</w:t>
      </w:r>
    </w:p>
    <w:tbl>
      <w:tblPr>
        <w:tblStyle w:val="TableGrid"/>
        <w:tblW w:w="5000" w:type="pct"/>
      </w:tblPr>
      <w:tblGrid>
        <w:gridCol/>
        <w:gridCol/>
        <w:gridCol/>
      </w:tblGrid>
      <w:tr>
        <w:trPr/>
        <w:tc>
          <w:tcPr>
            <w:vAlign w:val="center"/>
          </w:tcPr>
          <w:p>
            <w:pPr>
              <w:pStyle w:val="Normal"/>
            </w:pPr>
            <w:r>
              <w:rPr>
                <w:b/>
              </w:rPr>
              <w:t xml:space="preserve">Analyzing Challenges</w:t>
            </w:r>
          </w:p>
        </w:tc>
        <w:tc>
          <w:tcPr>
            <w:vAlign w:val="center"/>
          </w:tcPr>
          <w:p>
            <w:pPr>
              <w:pStyle w:val="Normal"/>
            </w:pPr>
            <w:r>
              <w:rPr>
                <w:b/>
              </w:rPr>
              <w:t xml:space="preserve">Discussion Points</w:t>
            </w:r>
          </w:p>
        </w:tc>
        <w:tc>
          <w:tcPr>
            <w:vAlign w:val="center"/>
          </w:tcPr>
          <w:p>
            <w:pPr>
              <w:pStyle w:val="Normal"/>
            </w:pPr>
            <w:r>
              <w:rPr>
                <w:b/>
              </w:rPr>
              <w:t xml:space="preserve">Check for Priority</w:t>
            </w:r>
          </w:p>
        </w:tc>
      </w:tr>
      <w:tr>
        <w:trPr/>
        <w:tc>
          <w:tcPr>
            <w:vAlign w:val="center"/>
          </w:tcPr>
          <w:p>
            <w:pPr>
              <w:pStyle w:val="Normal"/>
            </w:pPr>
            <w:r>
              <w:t xml:space="preserve">Students with Disabilities continue to demonstrate the largest achievement gaps in both English Language Arts and Mathematics.</w:t>
            </w:r>
          </w:p>
        </w:tc>
        <w:tc>
          <w:tcPr>
            <w:vAlign w:val="center"/>
          </w:tcPr>
          <w:p>
            <w:pPr>
              <w:pStyle w:val="Normal"/>
            </w:pPr>
            <w:r>
              <w:t xml:space="preserve">Students with Disabilities require increasingly intensive instructional supports to access grade-level standards. Continued strengthening of specially designed instruction, collaboration between general and special education teachers, consistent MTSS implementation, and frequent progress monitoring will help improve academic outcomes and reduce achievement gaps.</w:t>
            </w:r>
          </w:p>
        </w:tc>
        <w:tc>
          <w:tcPr>
            <w:vAlign w:val="center"/>
          </w:tcPr>
          <w:p>
            <w:pPr>
              <w:pStyle w:val="Normal"/>
            </w:pPr>
            <w:r>
              <w:t xml:space="preserve">True</w:t>
            </w:r>
          </w:p>
        </w:tc>
      </w:tr>
      <w:tr>
        <w:trPr/>
        <w:tc>
          <w:tcPr>
            <w:vAlign w:val="center"/>
          </w:tcPr>
          <w:p>
            <w:pPr>
              <w:pStyle w:val="Normal"/>
            </w:pPr>
            <w:r>
              <w:t xml:space="preserve">Economically Disadvantaged students continue to perform below the All Student Group in English Language Arts and Mathematics proficiency.</w:t>
            </w:r>
          </w:p>
        </w:tc>
        <w:tc>
          <w:tcPr>
            <w:vAlign w:val="center"/>
          </w:tcPr>
          <w:p/>
        </w:tc>
        <w:tc>
          <w:tcPr>
            <w:vAlign w:val="center"/>
          </w:tcPr>
          <w:p>
            <w:pPr>
              <w:pStyle w:val="Normal"/>
            </w:pPr>
            <w:r>
              <w:t xml:space="preserve">False</w:t>
            </w:r>
          </w:p>
        </w:tc>
      </w:tr>
      <w:tr>
        <w:trPr/>
        <w:tc>
          <w:tcPr>
            <w:vAlign w:val="center"/>
          </w:tcPr>
          <w:p>
            <w:pPr>
              <w:pStyle w:val="Normal"/>
            </w:pPr>
            <w:r>
              <w:t xml:space="preserve">Although student growth is strong, overall proficiency has not yet reached desired levels. Increasing the percentage of students performing at the Proficient and Advanced levels on state assessments remains a primary school improvement priority.</w:t>
            </w:r>
          </w:p>
        </w:tc>
        <w:tc>
          <w:tcPr>
            <w:vAlign w:val="center"/>
          </w:tcPr>
          <w:p>
            <w:pPr>
              <w:pStyle w:val="Normal"/>
            </w:pPr>
            <w:r>
              <w:t xml:space="preserve">Although students consistently demonstrate strong academic growth, the school has not yet translated that growth into proficiency for all learners. Continued refinement of Tier I instruction, increased opportunities for rigorous grade-level learning, and systematic use of formative assessment data are needed to accelerate achievement and increase the percentage of students meeting Pennsylvania academic standards.</w:t>
            </w:r>
          </w:p>
        </w:tc>
        <w:tc>
          <w:tcPr>
            <w:vAlign w:val="center"/>
          </w:tcPr>
          <w:p>
            <w:pPr>
              <w:pStyle w:val="Normal"/>
            </w:pPr>
            <w:r>
              <w:t xml:space="preserve">True</w:t>
            </w:r>
          </w:p>
        </w:tc>
      </w:tr>
      <w:tr>
        <w:trPr/>
        <w:tc>
          <w:tcPr>
            <w:vAlign w:val="center"/>
          </w:tcPr>
          <w:p>
            <w:pPr>
              <w:pStyle w:val="Normal"/>
            </w:pPr>
            <w:r>
              <w:t xml:space="preserve">Achievement differences among student groups and grade levels indicate a continued need for consistent implementation of evidence-based Tier I instruction and differentiated supports.</w:t>
            </w:r>
          </w:p>
        </w:tc>
        <w:tc>
          <w:tcPr>
            <w:vAlign w:val="center"/>
          </w:tcPr>
          <w:p>
            <w:pPr>
              <w:pStyle w:val="Normal"/>
            </w:pPr>
            <w:r>
              <w:t xml:space="preserve">While instructional practices have resulted in strong academic growth, consistent implementation of high-quality Tier I instruction across classrooms and grade levels remains an area for continued improvement. Strengthening instructional consistency, utilizing formative assessment data to inform instruction, and implementing targeted Tier II and Tier III supports will improve outcomes for all student groups.</w:t>
            </w:r>
          </w:p>
        </w:tc>
        <w:tc>
          <w:tcPr>
            <w:vAlign w:val="center"/>
          </w:tcPr>
          <w:p>
            <w:pPr>
              <w:pStyle w:val="Normal"/>
            </w:pPr>
            <w:r>
              <w:t xml:space="preserve">True</w:t>
            </w:r>
          </w:p>
        </w:tc>
      </w:tr>
      <w:tr>
        <w:trPr/>
        <w:tc>
          <w:tcPr>
            <w:vAlign w:val="center"/>
          </w:tcPr>
          <w:p>
            <w:pPr>
              <w:pStyle w:val="Normal"/>
            </w:pPr>
            <w:r>
              <w:t xml:space="preserve">Implement evidence-based strategies to engage families to support learning</w:t>
            </w:r>
          </w:p>
        </w:tc>
        <w:tc>
          <w:tcPr>
            <w:vAlign w:val="center"/>
          </w:tcPr>
          <w:p>
            <w:pPr>
              <w:pStyle w:val="Normal"/>
            </w:pPr>
            <w:r>
              <w:t xml:space="preserve">Meaningful family engagement is essential to improving academic achievement, attendance, and student well-being. Expanding opportunities for two-way communication, family education, and participation in the learning process will strengthen partnerships between home and school while increasing families' capacity to support student success.</w:t>
            </w:r>
          </w:p>
        </w:tc>
        <w:tc>
          <w:tcPr>
            <w:vAlign w:val="center"/>
          </w:tcPr>
          <w:p>
            <w:pPr>
              <w:pStyle w:val="Normal"/>
            </w:pPr>
            <w:r>
              <w:t xml:space="preserve">True</w:t>
            </w:r>
          </w:p>
        </w:tc>
      </w:tr>
    </w:tbl>
    <w:p>
      <w:pPr>
        <w:pStyle w:val="Heading2"/>
      </w:pPr>
      <w:r>
        <w:t xml:space="preserve">Analyzing Strengths</w:t>
      </w:r>
    </w:p>
    <w:tbl>
      <w:tblPr>
        <w:tblStyle w:val="TableGrid"/>
        <w:tblW w:w="5000" w:type="pct"/>
      </w:tblPr>
      <w:tblGrid>
        <w:gridCol/>
        <w:gridCol/>
      </w:tblGrid>
      <w:tr>
        <w:trPr/>
        <w:tc>
          <w:tcPr>
            <w:vAlign w:val="center"/>
          </w:tcPr>
          <w:p>
            <w:pPr>
              <w:pStyle w:val="Normal"/>
            </w:pPr>
            <w:r>
              <w:t xml:space="preserve">Analyzing Strengths</w:t>
            </w:r>
          </w:p>
        </w:tc>
        <w:tc>
          <w:tcPr>
            <w:vAlign w:val="center"/>
          </w:tcPr>
          <w:p>
            <w:pPr>
              <w:pStyle w:val="Normal"/>
            </w:pPr>
            <w:r>
              <w:t xml:space="preserve">Discussion Points</w:t>
            </w:r>
          </w:p>
        </w:tc>
      </w:tr>
      <w:tr>
        <w:trPr/>
        <w:tc>
          <w:tcPr>
            <w:vAlign w:val="center"/>
          </w:tcPr>
          <w:p>
            <w:pPr>
              <w:pStyle w:val="Normal"/>
            </w:pPr>
            <w:r>
              <w:t xml:space="preserve">Paradise Elementary demonstrated positive academic growth in English Language Arts, earning a PVAAS Growth Score of 77.0, which exceeded the statewide growth standard of 70.0. While overall proficiency remains an area for continued improvement, the school's growth results indicate that instructional practices are effectively accelerating student learning.</w:t>
            </w:r>
          </w:p>
        </w:tc>
        <w:tc>
          <w:tcPr>
            <w:vAlign w:val="center"/>
          </w:tcPr>
          <w:p>
            <w:pPr>
              <w:pStyle w:val="Normal"/>
            </w:pPr>
            <w:r>
              <w:t xml:space="preserve">The school will leverage the instructional practices and collaborative data analysis that contributed to strong academic growth in English Language Arts to increase overall proficiency, particularly for Students with Disabilities and Economically Disadvantaged students. Continued refinement of Tier I instruction and targeted interventions will help translate strong growth into increased proficiency.</w:t>
            </w:r>
          </w:p>
        </w:tc>
      </w:tr>
      <w:tr>
        <w:trPr/>
        <w:tc>
          <w:tcPr>
            <w:vAlign w:val="center"/>
          </w:tcPr>
          <w:p>
            <w:pPr>
              <w:pStyle w:val="Normal"/>
            </w:pPr>
            <w:r>
              <w:t xml:space="preserve">Paradise Elementary exceeded the statewide academic growth standard in Mathematics, earning a PVAAS Growth Score of 80.0. These results indicate that students made more than one year's academic growth, reflecting the effectiveness of mathematics instruction, intervention supports, and data-informed instructional practices.</w:t>
            </w:r>
          </w:p>
        </w:tc>
        <w:tc>
          <w:tcPr>
            <w:vAlign w:val="center"/>
          </w:tcPr>
          <w:p>
            <w:pPr>
              <w:pStyle w:val="Normal"/>
            </w:pPr>
            <w:r>
              <w:t xml:space="preserve">Evidence-based mathematics instruction and intervention practices that resulted in exceptional student growth will be expanded and consistently implemented across classrooms to increase proficiency and reduce achievement gaps among student groups.</w:t>
            </w:r>
          </w:p>
        </w:tc>
      </w:tr>
      <w:tr>
        <w:trPr/>
        <w:tc>
          <w:tcPr>
            <w:vAlign w:val="center"/>
          </w:tcPr>
          <w:p>
            <w:pPr>
              <w:pStyle w:val="Normal"/>
            </w:pPr>
            <w:r>
              <w:t xml:space="preserve">Paradise Elementary achieved a 90.0% regular attendance rate, exceeding the statewide average of 79.6% and meeting the state performance standard. Strong attendance reflects positive student engagement, effective family partnerships, and a school climate that supports consistent student participation.</w:t>
            </w:r>
          </w:p>
        </w:tc>
        <w:tc>
          <w:tcPr>
            <w:vAlign w:val="center"/>
          </w:tcPr>
          <w:p>
            <w:pPr>
              <w:pStyle w:val="Normal"/>
            </w:pPr>
            <w:r>
              <w:t xml:space="preserve">Strong student attendance provides increased access to high-quality instruction and intervention services. The school will continue leveraging positive school climate, PBIS, and family partnerships to maintain high attendance while supporting improved academic outcomes for all students.</w:t>
            </w:r>
          </w:p>
        </w:tc>
      </w:tr>
      <w:tr>
        <w:trPr/>
        <w:tc>
          <w:tcPr>
            <w:vAlign w:val="center"/>
          </w:tcPr>
          <w:p>
            <w:pPr>
              <w:pStyle w:val="Normal"/>
            </w:pPr>
            <w:r>
              <w:t xml:space="preserve">NWEA MAP Reading, mCLASS DIBELS 8, and the Future Ready PA Index all indicate strong student growth, suggesting that Paradise Elementary's core literacy instruction, MTSS framework, and intervention programming are positively impacting student learning.</w:t>
            </w:r>
          </w:p>
        </w:tc>
        <w:tc>
          <w:tcPr>
            <w:vAlign w:val="center"/>
          </w:tcPr>
          <w:p>
            <w:pPr>
              <w:pStyle w:val="Normal"/>
            </w:pPr>
            <w:r>
              <w:t xml:space="preserve">The school will continue using multiple assessment measures to monitor student progress, identify instructional needs, and adjust interventions through the MTSS framework. Frequent data analysis will support timely instructional decisions and improved student achievement.</w:t>
            </w:r>
          </w:p>
        </w:tc>
      </w:tr>
      <w:tr>
        <w:trPr/>
        <w:tc>
          <w:tcPr>
            <w:vAlign w:val="center"/>
          </w:tcPr>
          <w:p>
            <w:pPr>
              <w:pStyle w:val="Normal"/>
            </w:pPr>
            <w:r>
              <w:t xml:space="preserve">The NWEA MAP Mathematics data closely align with the Future Ready PA Index and PVAAS results, demonstrating consistent evidence of strong student growth. This alignment provides confidence that current instructional practices and MTSS systems are positively impacting student learning and should be leveraged to further increase mathematics proficiency.</w:t>
            </w:r>
          </w:p>
        </w:tc>
        <w:tc>
          <w:tcPr>
            <w:vAlign w:val="center"/>
          </w:tcPr>
          <w:p>
            <w:pPr>
              <w:pStyle w:val="Normal"/>
            </w:pPr>
            <w:r>
              <w:t xml:space="preserve">Consistent evidence across local and state assessments demonstrates that current instructional practices are effective. The school will use these assessment systems to identify students requiring additional support while expanding instructional strategies that have demonstrated positive results.</w:t>
            </w:r>
          </w:p>
        </w:tc>
      </w:tr>
      <w:tr>
        <w:trPr/>
        <w:tc>
          <w:tcPr>
            <w:vAlign w:val="center"/>
          </w:tcPr>
          <w:p>
            <w:pPr>
              <w:pStyle w:val="Normal"/>
            </w:pPr>
            <w:r>
              <w:t xml:space="preserve">Foundational literacy outcomes improved across the school year. mCLASS DIBELS 8 data showed an increase in students performing Above Benchmark and a reduction in students performing Well Below Benchmark, demonstrating the effectiveness of early literacy instruction and intervention.</w:t>
            </w:r>
          </w:p>
        </w:tc>
        <w:tc>
          <w:tcPr>
            <w:vAlign w:val="center"/>
          </w:tcPr>
          <w:p>
            <w:pPr>
              <w:pStyle w:val="Normal"/>
            </w:pPr>
            <w:r>
              <w:t xml:space="preserve">Successful early literacy practices will continue to be implemented and expanded through evidence-based core instruction, intervention services, and ongoing progress monitoring to improve literacy outcomes across all grade levels.</w:t>
            </w:r>
          </w:p>
        </w:tc>
      </w:tr>
      <w:tr>
        <w:trPr/>
        <w:tc>
          <w:tcPr>
            <w:vAlign w:val="center"/>
          </w:tcPr>
          <w:p>
            <w:pPr>
              <w:pStyle w:val="Normal"/>
            </w:pPr>
            <w:r>
              <w:t xml:space="preserve">Title I and MTSS supports are contributing to positive student outcomes. Continued implementation of interventionists, MTSS paraprofessionals, data-based decision making through Branching Minds, and evidence-based instructional practices are producing measurable student growth that can be leveraged to address remaining achievement gaps.</w:t>
            </w:r>
          </w:p>
        </w:tc>
        <w:tc>
          <w:tcPr>
            <w:vAlign w:val="center"/>
          </w:tcPr>
          <w:p>
            <w:pPr>
              <w:pStyle w:val="Normal"/>
            </w:pPr>
            <w:r>
              <w:t xml:space="preserve">The school will continue leveraging Title I interventionists, MTSS paraprofessionals, Branching Minds, family engagement activities, and collaborative data meetings to strengthen Tier I instruction, accelerate student learning, reduce achievement gaps, and improve overall academic proficiency.</w:t>
            </w:r>
          </w:p>
        </w:tc>
      </w:tr>
    </w:tbl>
    <w:p>
      <w:pPr>
        <w:pStyle w:val="Heading2"/>
      </w:pPr>
      <w:r>
        <w:t xml:space="preserve">Priority Challenges</w:t>
      </w:r>
    </w:p>
    <w:tbl>
      <w:tblPr>
        <w:tblStyle w:val="TableGrid"/>
        <w:tblW w:w="5000" w:type="pct"/>
      </w:tblPr>
      <w:tblGrid>
        <w:gridCol/>
        <w:gridCol/>
      </w:tblGrid>
      <w:tr>
        <w:trPr/>
        <w:tc>
          <w:tcPr>
            <w:vAlign w:val="center"/>
          </w:tcPr>
          <w:p>
            <w:pPr>
              <w:pStyle w:val="Normal"/>
            </w:pPr>
            <w:r>
              <w:t xml:space="preserve">Analyzing Priority Challenges</w:t>
            </w:r>
          </w:p>
        </w:tc>
        <w:tc>
          <w:tcPr>
            <w:vAlign w:val="center"/>
          </w:tcPr>
          <w:p>
            <w:pPr>
              <w:pStyle w:val="Normal"/>
            </w:pPr>
            <w:r>
              <w:t xml:space="preserve">Priority Statements</w:t>
            </w:r>
          </w:p>
        </w:tc>
      </w:tr>
      <w:tr>
        <w:trPr/>
        <w:tc>
          <w:tcPr>
            <w:vAlign w:val="center"/>
          </w:tcPr>
          <w:p/>
        </w:tc>
        <w:tc>
          <w:tcPr>
            <w:vAlign w:val="center"/>
          </w:tcPr>
          <w:p>
            <w:pPr>
              <w:pStyle w:val="Normal"/>
            </w:pPr>
            <w:r>
              <w:t xml:space="preserve">Strengthen the implementation of evidence-based Tier I instruction, specially designed instruction, and MTSS intervention systems to improve academic outcomes and reduce achievement gaps for Students with Disabilities.</w:t>
            </w:r>
          </w:p>
        </w:tc>
      </w:tr>
      <w:tr>
        <w:trPr/>
        <w:tc>
          <w:tcPr>
            <w:vAlign w:val="center"/>
          </w:tcPr>
          <w:p/>
        </w:tc>
        <w:tc>
          <w:tcPr>
            <w:vAlign w:val="center"/>
          </w:tcPr>
          <w:p>
            <w:pPr>
              <w:pStyle w:val="Normal"/>
            </w:pPr>
            <w:r>
              <w:t xml:space="preserve">Increase the effectiveness of core instruction and data-informed instructional decision-making to accelerate student achievement and increase the percentage of students performing at the Proficient and Advanced levels in English Language Arts and Mathematics.</w:t>
            </w:r>
          </w:p>
        </w:tc>
      </w:tr>
      <w:tr>
        <w:trPr/>
        <w:tc>
          <w:tcPr>
            <w:vAlign w:val="center"/>
          </w:tcPr>
          <w:p/>
        </w:tc>
        <w:tc>
          <w:tcPr>
            <w:vAlign w:val="center"/>
          </w:tcPr>
          <w:p>
            <w:pPr>
              <w:pStyle w:val="Normal"/>
            </w:pPr>
            <w:r>
              <w:t xml:space="preserve">Strengthen the consistent implementation of high-quality Tier I instruction, differentiated instructional practices, and data-driven MTSS processes to ensure all students have equitable access to grade-level learning and targeted academic supports.</w:t>
            </w:r>
          </w:p>
        </w:tc>
      </w:tr>
      <w:tr>
        <w:trPr/>
        <w:tc>
          <w:tcPr>
            <w:vAlign w:val="center"/>
          </w:tcPr>
          <w:p/>
        </w:tc>
        <w:tc>
          <w:tcPr>
            <w:vAlign w:val="center"/>
          </w:tcPr>
          <w:p>
            <w:pPr>
              <w:pStyle w:val="Normal"/>
            </w:pPr>
            <w:r>
              <w:t xml:space="preserve">Expand meaningful family engagement opportunities and strengthen home-school partnerships to increase family capacity to support student learning, attendance, and overall academic success.</w:t>
            </w:r>
          </w:p>
        </w:tc>
      </w:tr>
    </w:tbl>
    <w:p>
      <w:pPr>
        <w:pStyle w:val="Normal"/>
      </w:pPr>
      <w:r>
        <w:br w:type="page"/>
      </w:r>
      <w:r>
        <w:lastRenderedPageBreak/>
      </w:r>
    </w:p>
    <w:p>
      <w:pPr>
        <w:pStyle w:val="Heading1"/>
      </w:pPr>
      <w:r>
        <w:t xml:space="preserve">Goal Setting</w:t>
      </w:r>
    </w:p>
    <w:p>
      <w:pPr>
        <w:pStyle w:val="Heading2"/>
      </w:pPr>
      <w:r>
        <w:t xml:space="preserve">Priority: Strengthen the implementation of evidence-based Tier I instruction, specially designed instruction, and MTSS intervention systems to improve academic outcomes and reduce achievement gaps for Students with Disabilities.</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English Language Arts</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the percentage of Students with Disabilities scoring Proficient or Advanced in English Language Arts on the Pennsylvania System of School Assessment (PSSA) will increase from 17.6% to 22.0%, as measured by annual state assessment results and supported through implementation of evidence-based Tier I instruction, specially designed instruction, and MTSS intervention systems.</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Students w/Dissabilities ELA Achievement</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100% of Students with Disabilities identified through beginning-of-year benchmark assessments will have documented MTSS intervention plans, specially designed instructional supports, and progress monitoring schedules established within Branching Minds.</w:t>
            </w:r>
          </w:p>
        </w:tc>
        <w:tc>
          <w:tcPr>
            <w:vAlign w:val="center"/>
          </w:tcPr>
          <w:p>
            <w:pPr>
              <w:pStyle w:val="Normal"/>
            </w:pPr>
            <w:r>
              <w:t xml:space="preserve">At least 80% of Students with Disabilities receiving interventions will demonstrate expected progress toward individual literacy goals as measured by NWEA MAP Reading, mCLASS DIBELS 8, and progress monitoring data.</w:t>
            </w:r>
          </w:p>
        </w:tc>
        <w:tc>
          <w:tcPr>
            <w:vAlign w:val="center"/>
          </w:tcPr>
          <w:p>
            <w:pPr>
              <w:pStyle w:val="Normal"/>
            </w:pPr>
            <w:r>
              <w:t xml:space="preserve">Increase the percentage of Students with Disabilities meeting projected growth targets on NWEA MAP Reading and mCLASS DIBELS 8 by at least 10 percentage points from beginning-of-year benchmark results.</w:t>
            </w:r>
          </w:p>
        </w:tc>
        <w:tc>
          <w:tcPr>
            <w:vAlign w:val="center"/>
          </w:tcPr>
          <w:p>
            <w:pPr>
              <w:pStyle w:val="Normal"/>
            </w:pPr>
            <w:r>
              <w:t xml:space="preserve">Increase the percentage of Students with Disabilities scoring Proficient or Advanced in English Language Arts on the PSSA from 17.6% to 22.0% while maintaining positive academic growth as measured by PVAAS and local benchmark assessments.</w:t>
            </w:r>
          </w:p>
        </w:tc>
      </w:tr>
    </w:tbl>
    <w:p>
      <w:pPr>
        <w:pStyle w:val="Heading2"/>
      </w:pPr>
      <w:r>
        <w:t xml:space="preserve">Priority: Increase the effectiveness of core instruction and data-informed instructional decision-making to accelerate student achievement and increase the percentage of students performing at the Proficient and Advanced levels in English Language Arts and Mathematics.</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Mathematics</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the percentage of students scoring Proficient or Advanced in Mathematics on the Pennsylvania System of School Assessment (PSSA) will increase from 46.4% to 50.0%, as measured by annual state assessment results and supported through high-quality Tier I instruction, data-informed instructional decision-making, and implementation of evidence-based MTSS practices.</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Math Achievement</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100% of classroom teachers will administer and analyze beginning-of-year NWEA MAP Mathematics benchmark data and use the results to develop grade-level instructional plans and identify students requiring Tier II and Tier III supports through Branching Minds.</w:t>
            </w:r>
          </w:p>
        </w:tc>
        <w:tc>
          <w:tcPr>
            <w:vAlign w:val="center"/>
          </w:tcPr>
          <w:p>
            <w:pPr>
              <w:pStyle w:val="Normal"/>
            </w:pPr>
            <w:r>
              <w:t xml:space="preserve">At least 80% of students receiving mathematics interventions will demonstrate expected progress toward individual growth targets as measured by NWEA MAP Mathematics, classroom formative assessments, and progress monitoring data.</w:t>
            </w:r>
          </w:p>
        </w:tc>
        <w:tc>
          <w:tcPr>
            <w:vAlign w:val="center"/>
          </w:tcPr>
          <w:p>
            <w:pPr>
              <w:pStyle w:val="Normal"/>
            </w:pPr>
            <w:r>
              <w:t xml:space="preserve">Increase the percentage of students meeting projected growth targets on winter-to-spring NWEA MAP Mathematics assessments by at least 10 percentage points compared to beginning-of-year benchmark results, with grade-level teams using data to adjust Tier I instruction and interventions.</w:t>
            </w:r>
          </w:p>
        </w:tc>
        <w:tc>
          <w:tcPr>
            <w:vAlign w:val="center"/>
          </w:tcPr>
          <w:p>
            <w:pPr>
              <w:pStyle w:val="Normal"/>
            </w:pPr>
            <w:r>
              <w:t xml:space="preserve">Increase the percentage of students scoring Proficient or Advanced in Mathematics on the PSSA from 46.4% to 50.0% while maintaining mathematics growth above the statewide PVAAS growth standard.</w:t>
            </w:r>
          </w:p>
        </w:tc>
      </w:tr>
    </w:tbl>
    <w:p>
      <w:pPr>
        <w:pStyle w:val="Heading2"/>
      </w:pPr>
      <w:r>
        <w:t xml:space="preserve">Priority: Strengthen the consistent implementation of high-quality Tier I instruction, differentiated instructional practices, and data-driven MTSS processes to ensure all students have equitable access to grade-level learning and targeted academic supports.</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Essential Practices 1: Focus on Continuous Improvement of Instruction</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100% of grade-level teams will consistently implement a data-informed instructional cycle that includes collaborative analysis of benchmark and formative assessment data, differentiated Tier I instruction, documented MTSS decision-making through Branching Minds, and progress monitoring to improve student access to grade-level instruction and targeted academic supports.</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Tier I &amp; MTSS Implementation</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100% of grade-level teams will administer beginning-of-year benchmark assessments, analyze student data collaboratively, and develop documented Tier I instructional plans and MTSS intervention plans within Branching Minds.</w:t>
            </w:r>
          </w:p>
        </w:tc>
        <w:tc>
          <w:tcPr>
            <w:vAlign w:val="center"/>
          </w:tcPr>
          <w:p>
            <w:pPr>
              <w:pStyle w:val="Normal"/>
            </w:pPr>
            <w:r>
              <w:t xml:space="preserve">Grade-level teams will demonstrate consistent implementation of differentiated Tier I instructional practices and progress monitoring, with 100% of identified students receiving documented interventions and data reviews during scheduled MTSS meetings.</w:t>
            </w:r>
          </w:p>
        </w:tc>
        <w:tc>
          <w:tcPr>
            <w:vAlign w:val="center"/>
          </w:tcPr>
          <w:p>
            <w:pPr>
              <w:pStyle w:val="Normal"/>
            </w:pPr>
            <w:r>
              <w:t xml:space="preserve">Classroom walkthroughs, collaborative planning meetings, and MTSS documentation will demonstrate consistent implementation of evidence-based Tier I instructional practices and data-informed instructional adjustments across all grade levels.</w:t>
            </w:r>
          </w:p>
        </w:tc>
        <w:tc>
          <w:tcPr>
            <w:vAlign w:val="center"/>
          </w:tcPr>
          <w:p>
            <w:pPr>
              <w:pStyle w:val="Normal"/>
            </w:pPr>
            <w:r>
              <w:t xml:space="preserve">100% of grade-level teams will consistently implement the district's instructional improvement cycle by utilizing benchmark data, progress monitoring, differentiated Tier I instruction, and documented MTSS decision-making to improve student achievement and equitable access to grade-level learning.</w:t>
            </w:r>
          </w:p>
        </w:tc>
      </w:tr>
    </w:tbl>
    <w:p>
      <w:pPr>
        <w:pStyle w:val="Heading2"/>
      </w:pPr>
      <w:r>
        <w:t xml:space="preserve">Priority: Expand meaningful family engagement opportunities and strengthen home-school partnerships to increase family capacity to support student learning, attendance, and overall academic success.</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Parent and family engagement</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Paradise Elementary will increase meaningful family engagement by increasing participation in school-sponsored family engagement activities and educational events by 15% over the 2025–2026 baseline while providing families with ongoing opportunities to support student learning, attendance, and academic success.</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Family Partnerships</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Develop and communicate an annual family engagement plan, including literacy, mathematics, attendance, and school climate activities. Provide at least one family engagement event and establish consistent two-way communication with families through multiple communication platforms.</w:t>
            </w:r>
          </w:p>
        </w:tc>
        <w:tc>
          <w:tcPr>
            <w:vAlign w:val="center"/>
          </w:tcPr>
          <w:p>
            <w:pPr>
              <w:pStyle w:val="Normal"/>
            </w:pPr>
            <w:r>
              <w:t xml:space="preserve">Provide at least two additional family engagement opportunities focused on supporting student learning and monitor participation data. Increase participation by 5% over the previous year's first semester participation.</w:t>
            </w:r>
          </w:p>
        </w:tc>
        <w:tc>
          <w:tcPr>
            <w:vAlign w:val="center"/>
          </w:tcPr>
          <w:p>
            <w:pPr>
              <w:pStyle w:val="Normal"/>
            </w:pPr>
            <w:r>
              <w:t xml:space="preserve">Continue implementation of family engagement activities, including literacy, mathematics, and student wellness events. Increase participation by 10% over the 2025–2026 baseline and collect family feedback to inform future programming.</w:t>
            </w:r>
          </w:p>
        </w:tc>
        <w:tc>
          <w:tcPr>
            <w:vAlign w:val="center"/>
          </w:tcPr>
          <w:p>
            <w:pPr>
              <w:pStyle w:val="Normal"/>
            </w:pPr>
            <w:r>
              <w:t xml:space="preserve">Increase family participation in school-sponsored engagement activities by 15% over the 2025–2026 baseline, with survey results indicating that families report increased confidence in supporting their child's learning, attendance, and academic success.</w:t>
            </w:r>
          </w:p>
        </w:tc>
      </w:tr>
    </w:tbl>
    <w:p>
      <w:pPr>
        <w:pStyle w:val="Normal"/>
      </w:pPr>
      <w:r>
        <w:br w:type="page"/>
      </w:r>
      <w:r>
        <w:lastRenderedPageBreak/>
      </w:r>
    </w:p>
    <w:p>
      <w:pPr>
        <w:pStyle w:val="Heading1"/>
      </w:pPr>
      <w:r>
        <w:t xml:space="preserve">Action Plan</w:t>
      </w:r>
    </w:p>
    <w:p>
      <w:pPr>
        <w:pStyle w:val="Heading2"/>
      </w:pPr>
      <w:r>
        <w:t xml:space="preserve">Measurable Goals</w:t>
      </w:r>
    </w:p>
    <w:tbl>
      <w:tblPr>
        <w:tblStyle w:val="TableGrid"/>
        <w:tblW w:w="5000" w:type="pct"/>
      </w:tblPr>
      <w:tblGrid>
        <w:gridCol/>
        <w:gridCol/>
      </w:tblGrid>
      <w:tr>
        <w:trPr/>
        <w:tc>
          <w:tcPr>
            <w:vAlign w:val="center"/>
          </w:tcPr>
          <w:p>
            <w:pPr>
              <w:pStyle w:val="Normal"/>
            </w:pPr>
            <w:r>
              <w:t xml:space="preserve">Students w/Dissabilities ELA Achievement</w:t>
            </w:r>
          </w:p>
        </w:tc>
        <w:tc>
          <w:tcPr>
            <w:vAlign w:val="center"/>
          </w:tcPr>
          <w:p>
            <w:pPr>
              <w:pStyle w:val="Normal"/>
            </w:pPr>
            <w:r>
              <w:t xml:space="preserve">Math Achievement</w:t>
            </w:r>
          </w:p>
        </w:tc>
      </w:tr>
      <w:tr>
        <w:trPr/>
        <w:tc>
          <w:tcPr>
            <w:vAlign w:val="center"/>
          </w:tcPr>
          <w:p>
            <w:pPr>
              <w:pStyle w:val="Normal"/>
            </w:pPr>
            <w:r>
              <w:t xml:space="preserve">Tier I &amp; MTSS Implementation</w:t>
            </w:r>
          </w:p>
        </w:tc>
        <w:tc>
          <w:tcPr>
            <w:vAlign w:val="center"/>
          </w:tcPr>
          <w:p>
            <w:pPr>
              <w:pStyle w:val="Normal"/>
            </w:pPr>
            <w:r>
              <w:t xml:space="preserve">Family Partnerships</w:t>
            </w:r>
          </w:p>
        </w:tc>
      </w:tr>
    </w:tbl>
    <w:p>
      <w:pPr>
        <w:pStyle w:val="Heading2"/>
      </w:pPr>
      <w:r>
        <w:t xml:space="preserve">Action Plan For: Implement a collaborative instructional improvement process using Professional Learning Communities (PLCs), NWEA MAP, mCLASS DIBELS 8, and Branching Minds to strengthen Tier I instruction and improve student achievement.</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the percentage of Students with Disabilities scoring Proficient or Advanced in English Language Arts on the Pennsylvania System of School Assessment (PSSA) will increase from 17.6% to 22.0%, as measured by annual state assessment results and supported through implementation of evidence-based Tier I instruction, specially designed instruction, and MTSS intervention systems.</w:t>
            </w:r>
          </w:p>
          <w:p>
            <w:pPr>
              <w:pStyle w:val="ListParagraph"/>
              <w:numPr>
                <w:ilvl w:val="0"/>
                <w:numId w:val="2"/>
              </w:numPr>
            </w:pPr>
            <w:r>
              <w:t xml:space="preserve">By June 2027, the percentage of students scoring Proficient or Advanced in Mathematics on the Pennsylvania System of School Assessment (PSSA) will increase from 46.4% to 50.0%, as measured by annual state assessment results and supported through high-quality Tier I instruction, data-informed instructional decision-making, and implementation of evidence-based MTSS practices.</w:t>
            </w:r>
          </w:p>
          <w:p>
            <w:pPr>
              <w:pStyle w:val="ListParagraph"/>
              <w:numPr>
                <w:ilvl w:val="0"/>
                <w:numId w:val="2"/>
              </w:numPr>
            </w:pPr>
            <w:r>
              <w:t xml:space="preserve">By June 2027, 100% of grade-level teams will consistently implement a data-informed instructional cycle that includes collaborative analysis of benchmark and formative assessment data, differentiated Tier I instruction, documented MTSS decision-making through Branching Minds, and progress monitoring to improve student access to grade-level instruction and targeted academic supports.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Implement universal benchmark assessments and analyze data.</w:t>
            </w:r>
          </w:p>
        </w:tc>
        <w:tc>
          <w:tcPr>
            <w:vAlign w:val="center"/>
          </w:tcPr>
          <w:p>
            <w:pPr>
              <w:pStyle w:val="Normal"/>
            </w:pPr>
            <w:r>
              <w:t xml:space="preserve">2026-08-31</w:t>
            </w:r>
          </w:p>
        </w:tc>
        <w:tc>
          <w:tcPr>
            <w:vAlign w:val="center"/>
          </w:tcPr>
          <w:p>
            <w:pPr>
              <w:pStyle w:val="Normal"/>
            </w:pPr>
            <w:r>
              <w:t xml:space="preserve">2027-06-01</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Principal Instructional Coach Grade Level Teams</w:t>
            </w:r>
          </w:p>
        </w:tc>
        <w:tc>
          <w:tcPr>
            <w:vAlign w:val="center"/>
          </w:tcPr>
          <w:p>
            <w:pPr>
              <w:pStyle w:val="Normal"/>
            </w:pPr>
            <w:r>
              <w:t xml:space="preserve">NWEA MAP mCLASS Branching Minds</w:t>
            </w:r>
          </w:p>
        </w:tc>
        <w:tc>
          <w:tcPr>
            <w:vAlign w:val="center"/>
          </w:tcPr>
          <w:p>
            <w:pPr>
              <w:pStyle w:val="Normal"/>
            </w:pPr>
            <w:r>
              <w:t xml:space="preserve">Yes</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Develop differentiated Tier I instructional plans using benchmark data.</w:t>
            </w:r>
          </w:p>
        </w:tc>
        <w:tc>
          <w:tcPr>
            <w:vAlign w:val="center"/>
          </w:tcPr>
          <w:p>
            <w:pPr>
              <w:pStyle w:val="Normal"/>
            </w:pPr>
            <w:r>
              <w:t xml:space="preserve">2026-09-07</w:t>
            </w:r>
          </w:p>
        </w:tc>
        <w:tc>
          <w:tcPr>
            <w:vAlign w:val="center"/>
          </w:tcPr>
          <w:p>
            <w:pPr>
              <w:pStyle w:val="Normal"/>
            </w:pPr>
            <w:r>
              <w:t xml:space="preserve">2027-05-31</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Teachers Instructional Coach</w:t>
            </w:r>
          </w:p>
        </w:tc>
        <w:tc>
          <w:tcPr>
            <w:vAlign w:val="center"/>
          </w:tcPr>
          <w:p>
            <w:pPr>
              <w:pStyle w:val="Normal"/>
            </w:pPr>
            <w:r>
              <w:t xml:space="preserve">Lesson plans Flexible groups MTSS documentation</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Review student data every six weeks and adjust instruction.</w:t>
            </w:r>
          </w:p>
        </w:tc>
        <w:tc>
          <w:tcPr>
            <w:vAlign w:val="center"/>
          </w:tcPr>
          <w:p>
            <w:pPr>
              <w:pStyle w:val="Normal"/>
            </w:pPr>
            <w:r>
              <w:t xml:space="preserve">2026-10-12</w:t>
            </w:r>
          </w:p>
        </w:tc>
        <w:tc>
          <w:tcPr>
            <w:vAlign w:val="center"/>
          </w:tcPr>
          <w:p>
            <w:pPr>
              <w:pStyle w:val="Normal"/>
            </w:pPr>
            <w:r>
              <w:t xml:space="preserve">2027-01-22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Teachers MTSS Interventionists Instructional Coach</w:t>
            </w:r>
          </w:p>
        </w:tc>
        <w:tc>
          <w:tcPr>
            <w:vAlign w:val="center"/>
          </w:tcPr>
          <w:p>
            <w:pPr>
              <w:pStyle w:val="Normal"/>
            </w:pPr>
            <w:r>
              <w:t xml:space="preserve">Updated intervention plans Progress monitoring PLC action plans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pPr>
              <w:pStyle w:val="Normal"/>
            </w:pPr>
            <w:r>
              <w:t xml:space="preserve">NWEA MAP and mCLASS DIBELS 8 benchmark assessments are completed for all students within the assessment window. Grade-level Professional Learning Community (PLC) data meetings are conducted to analyze benchmark results and identify instructional priorities. Student MTSS intervention plans and instructional groupings are developed and documented in Branching Minds based on benchmark data.</w:t>
            </w:r>
          </w:p>
        </w:tc>
        <w:tc>
          <w:tcPr>
            <w:vAlign w:val="center"/>
          </w:tcPr>
          <w:p>
            <w:pPr>
              <w:pStyle w:val="Normal"/>
            </w:pPr>
            <w:r>
              <w:t xml:space="preserve">People: Principal, Instructional Coach, MTSS Team, Grade-Level PLC Teams Frequency: Following each universal benchmark administration (Fall, Winter, and Spring) and during monthly PLC and MTSS meetings. Method: Assessment completion reports, NWEA MAP and mCLASS DIBELS 8 data reports, PLC meeting agendas and minutes, Branching Minds intervention documentation, and classroom walkthroughs will be reviewed to ensure benchmark data are analyzed, instructional plans are adjusted, and appropriate interventions are implemented with fidelity.</w:t>
            </w:r>
          </w:p>
        </w:tc>
      </w:tr>
    </w:tbl>
    <w:p>
      <w:pPr>
        <w:pStyle w:val="Heading2"/>
      </w:pPr>
      <w:r>
        <w:t xml:space="preserve">Action Plan For: Provide targeted Tier II and Tier III interventions through Title I interventionists and MTSS paraprofessionals.</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the percentage of students scoring Proficient or Advanced in Mathematics on the Pennsylvania System of School Assessment (PSSA) will increase from 46.4% to 50.0%, as measured by annual state assessment results and supported through high-quality Tier I instruction, data-informed instructional decision-making, and implementation of evidence-based MTSS practices.</w:t>
            </w:r>
          </w:p>
          <w:p>
            <w:pPr>
              <w:pStyle w:val="ListParagraph"/>
              <w:numPr>
                <w:ilvl w:val="0"/>
                <w:numId w:val="2"/>
              </w:numPr>
            </w:pPr>
            <w:r>
              <w:t xml:space="preserve">By June 2027, 100% of grade-level teams will consistently implement a data-informed instructional cycle that includes collaborative analysis of benchmark and formative assessment data, differentiated Tier I instruction, documented MTSS decision-making through Branching Minds, and progress monitoring to improve student access to grade-level instruction and targeted academic supports.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Identify intervention students. Schedule intervention blocks. Deliver evidence-based interventions. Monitor every 2–4 weeks. Adjust interventions.</w:t>
            </w:r>
          </w:p>
        </w:tc>
        <w:tc>
          <w:tcPr>
            <w:vAlign w:val="center"/>
          </w:tcPr>
          <w:p>
            <w:pPr>
              <w:pStyle w:val="Normal"/>
            </w:pPr>
            <w:r>
              <w:t xml:space="preserve">2026-08-31</w:t>
            </w:r>
          </w:p>
        </w:tc>
        <w:tc>
          <w:tcPr>
            <w:vAlign w:val="center"/>
          </w:tcPr>
          <w:p>
            <w:pPr>
              <w:pStyle w:val="Normal"/>
            </w:pPr>
            <w:r>
              <w:t xml:space="preserve">2027-06-01</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MTSS Interventionists</w:t>
            </w:r>
          </w:p>
        </w:tc>
        <w:tc>
          <w:tcPr>
            <w:vAlign w:val="center"/>
          </w:tcPr>
          <w:p>
            <w:pPr>
              <w:pStyle w:val="Normal"/>
            </w:pPr>
            <w:r>
              <w:t xml:space="preserve">Instructional Paraprofessionals Branching Minds Intervention resources</w:t>
            </w:r>
          </w:p>
        </w:tc>
        <w:tc>
          <w:tcPr>
            <w:vAlign w:val="center"/>
          </w:tcPr>
          <w:p>
            <w:pPr>
              <w:pStyle w:val="Normal"/>
            </w:pPr>
            <w:r>
              <w:t xml:space="preserve">Yes</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pPr>
              <w:pStyle w:val="Normal"/>
            </w:pPr>
            <w:r>
              <w:t xml:space="preserve">Students identified for Tier II and Tier III interventions receive evidence-based interventions delivered by Title I interventionists and MTSS paraprofessionals, with intervention plans documented in Branching Minds. Student progress monitoring data demonstrate regular review of intervention effectiveness, resulting in instructional adjustments based on individual student needs. Increased percentages of students meet or exceed expected growth targets on NWEA MAP, mCLASS DIBELS 8, and classroom formative assessments, with corresponding reductions in the number of students requiring intensive intervention.</w:t>
            </w:r>
          </w:p>
        </w:tc>
        <w:tc>
          <w:tcPr>
            <w:vAlign w:val="center"/>
          </w:tcPr>
          <w:p>
            <w:pPr>
              <w:pStyle w:val="Normal"/>
            </w:pPr>
            <w:r>
              <w:t xml:space="preserve">People: Principal, MTSS Team, Title I Interventionists, Special Education Teachers, Grade-Level PLC Teams, and MTSS Paraprofessionals Frequency: Bi-weekly progress monitoring for students receiving Tier II and Tier III interventions; monthly MTSS team meetings; benchmark data reviews following Fall, Winter, and Spring NWEA MAP and mCLASS assessment windows. Method: Intervention implementation and student progress will be monitored through Branching Minds documentation, NWEA MAP Reading and Mathematics benchmark data, mCLASS DIBELS 8 progress monitoring, classroom formative assessments, PSSA data (when available), MTSS meeting notes, and intervention fidelity checks. The MTSS Team and Principal will review student progress, evaluate intervention effectiveness, and make data-informed adjustments to instructional supports as needed to ensure students are making adequate progress toward grade-level expectations.</w:t>
            </w:r>
          </w:p>
        </w:tc>
      </w:tr>
    </w:tbl>
    <w:p>
      <w:pPr>
        <w:pStyle w:val="Heading2"/>
      </w:pPr>
      <w:r>
        <w:t xml:space="preserve">Action Plan For: Strengthen family partnerships through evidence-based engagement practices that build family capacity to support learning.</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Paradise Elementary will increase meaningful family engagement by increasing participation in school-sponsored family engagement activities and educational events by 15% over the 2025–2026 baseline while providing families with ongoing opportunities to support student learning, attendance, and academic success.</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Develop annual family engagement calendar.</w:t>
            </w:r>
          </w:p>
        </w:tc>
        <w:tc>
          <w:tcPr>
            <w:vAlign w:val="center"/>
          </w:tcPr>
          <w:p>
            <w:pPr>
              <w:pStyle w:val="Normal"/>
            </w:pPr>
            <w:r>
              <w:t xml:space="preserve">2026-08-17</w:t>
            </w:r>
          </w:p>
        </w:tc>
        <w:tc>
          <w:tcPr>
            <w:vAlign w:val="center"/>
          </w:tcPr>
          <w:p>
            <w:pPr>
              <w:pStyle w:val="Normal"/>
            </w:pPr>
            <w:r>
              <w:t xml:space="preserve">2026-09-30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Principal PTO President Title 1 Coordinator</w:t>
            </w:r>
          </w:p>
        </w:tc>
        <w:tc>
          <w:tcPr>
            <w:vAlign w:val="center"/>
          </w:tcPr>
          <w:p>
            <w:pPr>
              <w:pStyle w:val="Normal"/>
            </w:pPr>
            <w:r>
              <w:t xml:space="preserve">Family Nights Attendance logs Surveys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Conduct Literacy Night</w:t>
            </w:r>
          </w:p>
        </w:tc>
        <w:tc>
          <w:tcPr>
            <w:vAlign w:val="center"/>
          </w:tcPr>
          <w:p>
            <w:pPr>
              <w:pStyle w:val="Normal"/>
            </w:pPr>
            <w:r>
              <w:t xml:space="preserve">2026-10-01</w:t>
            </w:r>
          </w:p>
        </w:tc>
        <w:tc>
          <w:tcPr>
            <w:vAlign w:val="center"/>
          </w:tcPr>
          <w:p>
            <w:pPr>
              <w:pStyle w:val="Normal"/>
            </w:pPr>
            <w:r>
              <w:t xml:space="preserve">2026-10-30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Early Learning Director</w:t>
            </w:r>
          </w:p>
        </w:tc>
        <w:tc>
          <w:tcPr>
            <w:vAlign w:val="center"/>
          </w:tcPr>
          <w:p>
            <w:pPr>
              <w:pStyle w:val="Normal"/>
            </w:pPr>
            <w:r>
              <w:t xml:space="preserve">Flyers, prizes, books, coordination of community partners and high school sports teams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tc>
        <w:tc>
          <w:tcPr>
            <w:vAlign w:val="center"/>
          </w:tcPr>
          <w:p/>
        </w:tc>
      </w:tr>
    </w:tbl>
    <w:p>
      <w:pPr>
        <w:pStyle w:val="Normal"/>
      </w:pPr>
      <w:r>
        <w:br w:type="page"/>
      </w:r>
      <w:r>
        <w:lastRenderedPageBreak/>
      </w:r>
    </w:p>
    <w:p>
      <w:pPr>
        <w:pStyle w:val="Heading1"/>
      </w:pPr>
      <w:r>
        <w:t xml:space="preserve">Expenditure Tables</w:t>
      </w:r>
    </w:p>
    <w:p>
      <w:pPr>
        <w:pStyle w:val="Heading2"/>
      </w:pPr>
      <w:r>
        <w:t xml:space="preserve">School Improvement Set Aside Grant</w:t>
      </w:r>
    </w:p>
    <w:p>
      <w:pPr>
        <w:pStyle w:val="Normal"/>
      </w:pPr>
      <w:r>
        <w:rPr>
          <w:b/>
        </w:rPr>
        <w:t xml:space="preserve">True </w:t>
      </w:r>
      <w:r>
        <w:t xml:space="preserve">School does not receive School Improvement Set Aside Grant.</w:t>
      </w:r>
    </w:p>
    <w:p>
      <w:pPr>
        <w:pStyle w:val="Heading2"/>
      </w:pPr>
      <w:r>
        <w:t xml:space="preserve">Schoolwide Title 1 Funding Allocation</w:t>
      </w:r>
    </w:p>
    <w:p>
      <w:pPr>
        <w:pStyle w:val="Normal"/>
      </w:pPr>
      <w:r>
        <w:rPr>
          <w:b/>
        </w:rPr>
        <w:t xml:space="preserve">False </w:t>
      </w:r>
      <w:r>
        <w:t xml:space="preserve">School does not receive Schoolwide Title 1 funding.</w:t>
      </w:r>
    </w:p>
    <w:tbl>
      <w:tblPr>
        <w:tblStyle w:val="TableGrid"/>
        <w:tblW w:w="5000" w:type="pct"/>
      </w:tblPr>
      <w:tblGrid>
        <w:gridCol/>
        <w:gridCol/>
        <w:gridCol/>
        <w:gridCol/>
        <w:gridCol/>
      </w:tblGrid>
      <w:tr>
        <w:trPr/>
        <w:tc>
          <w:tcPr>
            <w:tcW w:w="1500" w:type="pct"/>
            <w:vAlign w:val="center"/>
          </w:tcPr>
          <w:p>
            <w:pPr>
              <w:pStyle w:val="Normal"/>
            </w:pPr>
            <w:r>
              <w:rPr>
                <w:b/>
              </w:rPr>
              <w:t xml:space="preserve">eGgrant Budget Category (Schoolwide Funding)</w:t>
            </w:r>
          </w:p>
        </w:tc>
        <w:tc>
          <w:tcPr>
            <w:tcW w:w="1000" w:type="pct"/>
            <w:vAlign w:val="center"/>
          </w:tcPr>
          <w:p>
            <w:pPr>
              <w:pStyle w:val="Normal"/>
            </w:pPr>
            <w:r>
              <w:rPr>
                <w:b/>
              </w:rPr>
              <w:t xml:space="preserve">Action Plan(s)</w:t>
            </w:r>
          </w:p>
        </w:tc>
        <w:tc>
          <w:tcPr>
            <w:tcW w:w="1000" w:type="pct"/>
            <w:vAlign w:val="center"/>
          </w:tcPr>
          <w:p>
            <w:pPr>
              <w:pStyle w:val="Normal"/>
            </w:pPr>
            <w:r>
              <w:rPr>
                <w:b/>
              </w:rPr>
              <w:t xml:space="preserve">Expenditure Description</w:t>
            </w:r>
          </w:p>
        </w:tc>
        <w:tc>
          <w:tcPr>
            <w:tcW w:w="500" w:type="pct"/>
            <w:vAlign w:val="center"/>
          </w:tcPr>
          <w:p>
            <w:pPr>
              <w:pStyle w:val="Normal"/>
            </w:pPr>
            <w:r>
              <w:rPr>
                <w:b/>
              </w:rPr>
              <w:t xml:space="preserve">Amount</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Implement a collaborative instructional improvement process using Professional Learning Communities (PLCs), NWEA MAP, mCLASS DIBELS 8, and Branching Minds to strengthen Tier I instruction and improve student achievement.</w:t>
            </w:r>
          </w:p>
          <w:p>
            <w:pPr>
              <w:pStyle w:val="ListParagraph"/>
              <w:numPr>
                <w:ilvl w:val="0"/>
                <w:numId w:val="2"/>
              </w:numPr>
            </w:pPr>
            <w:r>
              <w:t xml:space="preserve">Provide targeted Tier II and Tier III interventions through Title I interventionists and MTSS paraprofessionals.</w:t>
            </w:r>
          </w:p>
        </w:tc>
        <w:tc>
          <w:tcPr>
            <w:vAlign w:val="center"/>
          </w:tcPr>
          <w:p>
            <w:pPr>
              <w:pStyle w:val="Normal"/>
            </w:pPr>
            <w:r>
              <w:t xml:space="preserve">Professional Staff salary and benefits</w:t>
            </w:r>
          </w:p>
        </w:tc>
        <w:tc>
          <w:tcPr>
            <w:vAlign w:val="center"/>
          </w:tcPr>
          <w:p>
            <w:pPr>
              <w:pStyle w:val="Normal"/>
            </w:pPr>
            <w:r>
              <w:t xml:space="preserve">$398,872</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Implement a collaborative instructional improvement process using Professional Learning Communities (PLCs), NWEA MAP, mCLASS DIBELS 8, and Branching Minds to strengthen Tier I instruction and improve student achievement.</w:t>
            </w:r>
          </w:p>
          <w:p>
            <w:pPr>
              <w:pStyle w:val="ListParagraph"/>
              <w:numPr>
                <w:ilvl w:val="0"/>
                <w:numId w:val="2"/>
              </w:numPr>
            </w:pPr>
            <w:r>
              <w:t xml:space="preserve">Provide targeted Tier II and Tier III interventions through Title I interventionists and MTSS paraprofessionals.</w:t>
            </w:r>
          </w:p>
        </w:tc>
        <w:tc>
          <w:tcPr>
            <w:vAlign w:val="center"/>
          </w:tcPr>
          <w:p>
            <w:pPr>
              <w:pStyle w:val="Normal"/>
            </w:pPr>
            <w:r>
              <w:t xml:space="preserve">STS paraprofessionals</w:t>
            </w:r>
          </w:p>
        </w:tc>
        <w:tc>
          <w:tcPr>
            <w:vAlign w:val="center"/>
          </w:tcPr>
          <w:p>
            <w:pPr>
              <w:pStyle w:val="Normal"/>
            </w:pPr>
            <w:r>
              <w:t xml:space="preserve">$95,566</w:t>
            </w:r>
          </w:p>
        </w:tc>
        <w:tc>
          <w:tcPr>
            <w:tcW w:w="0"/>
          </w:tcPr>
          <w:p/>
        </w:tc>
      </w:tr>
      <w:tr>
        <w:trPr/>
        <w:tc>
          <w:tcPr>
            <w:vAlign w:val="center"/>
          </w:tcPr>
          <w:p>
            <w:pPr>
              <w:pStyle w:val="Normal"/>
            </w:pPr>
            <w:r>
              <w:t xml:space="preserve">Other Expenditures</w:t>
            </w:r>
          </w:p>
        </w:tc>
        <w:tc>
          <w:tcPr>
            <w:vAlign w:val="center"/>
          </w:tcPr>
          <w:p>
            <w:pPr>
              <w:pStyle w:val="ListParagraph"/>
              <w:numPr>
                <w:ilvl w:val="0"/>
                <w:numId w:val="2"/>
              </w:numPr>
            </w:pPr>
            <w:r>
              <w:t xml:space="preserve">Strengthen family partnerships through evidence-based engagement practices that build family capacity to support learning.</w:t>
            </w:r>
          </w:p>
        </w:tc>
        <w:tc>
          <w:tcPr>
            <w:vAlign w:val="center"/>
          </w:tcPr>
          <w:p>
            <w:pPr>
              <w:pStyle w:val="Normal"/>
            </w:pPr>
            <w:r>
              <w:t xml:space="preserve">Parent Involvement</w:t>
            </w:r>
          </w:p>
        </w:tc>
        <w:tc>
          <w:tcPr>
            <w:vAlign w:val="center"/>
          </w:tcPr>
          <w:p>
            <w:pPr>
              <w:pStyle w:val="Normal"/>
            </w:pPr>
            <w:r>
              <w:t xml:space="preserve">$5,370.05</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Provide targeted Tier II and Tier III interventions through Title I interventionists and MTSS paraprofessionals.</w:t>
            </w:r>
          </w:p>
        </w:tc>
        <w:tc>
          <w:tcPr>
            <w:vAlign w:val="center"/>
          </w:tcPr>
          <w:p>
            <w:pPr>
              <w:pStyle w:val="Normal"/>
            </w:pPr>
            <w:r>
              <w:t xml:space="preserve">UFLI and Bridges Supplies</w:t>
            </w:r>
          </w:p>
        </w:tc>
        <w:tc>
          <w:tcPr>
            <w:vAlign w:val="center"/>
          </w:tcPr>
          <w:p>
            <w:pPr>
              <w:pStyle w:val="Normal"/>
            </w:pPr>
            <w:r>
              <w:t xml:space="preserve">$2500</w:t>
            </w:r>
          </w:p>
        </w:tc>
        <w:tc>
          <w:tcPr>
            <w:tcW w:w="0"/>
          </w:tcPr>
          <w:p/>
        </w:tc>
      </w:tr>
      <w:tr>
        <w:trPr/>
        <w:tc>
          <w:tcPr>
            <w:gridSpan w:val="4"/>
            <w:vAlign w:val="center"/>
          </w:tcPr>
          <w:p>
            <w:pPr>
              <w:pStyle w:val="Normal"/>
            </w:pPr>
            <w:r>
              <w:t xml:space="preserve">Total Expenditures</w:t>
            </w:r>
          </w:p>
        </w:tc>
        <w:tc>
          <w:tcPr>
            <w:vAlign w:val="center"/>
          </w:tcPr>
          <w:p>
            <w:pPr>
              <w:pStyle w:val="Normal"/>
            </w:pPr>
            <w:r>
              <w:t xml:space="preserve">0</w:t>
            </w:r>
          </w:p>
        </w:tc>
      </w:tr>
    </w:tbl>
    <w:sectPr>
      <w:footerReference xmlns:r="http://schemas.openxmlformats.org/officeDocument/2006/relationships" w:type="default" r:id="R066e33054f3140ba"/>
      <w:pgSz w:w="12240" w:h="15840" w:orient="landscape"/>
      <w:pgMar w:top="720" w:right="720" w:bottom="720" w:left="720"/>
    </w:sectPr>
  </w:body>
</w:document>
</file>

<file path=word/footer1.xml><?xml version="1.0" encoding="utf-8"?>
<w:ftr xmlns:w="http://schemas.openxmlformats.org/wordprocessingml/2006/main">
  <w:p>
    <w:pPr>
      <w:jc w:val="right"/>
    </w:pP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style xmlns:w="http://schemas.openxmlformats.org/wordprocessingml/2006/main" w:type="paragraph" w:styleId="Normal" w:default="1">
    <w:name w:val="Normal"/>
    <w:qFormat/>
  </w:style>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ListParagraph">
    <w:name w:val="List Paragraph"/>
    <w:next w:val="List Paragraph"/>
    <w:pPr>
      <w:keepNext w:val="0"/>
      <w:keepLines w:val="0"/>
      <w:spacing w:before="0" w:after="0" w:line="240" w:lineRule="auto"/>
      <w:ind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86a81d51952244b3" /><Relationship Type="http://schemas.openxmlformats.org/officeDocument/2006/relationships/settings" Target="/word/settings.xml" Id="R203503465de842c7" /><Relationship Type="http://schemas.openxmlformats.org/officeDocument/2006/relationships/numbering" Target="/word/numbering.xml" Id="R42cb300ce9c34bc1" /><Relationship Type="http://schemas.openxmlformats.org/officeDocument/2006/relationships/footer" Target="/word/footer1.xml" Id="R066e33054f3140ba" /></Relationships>
</file>