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d6813f02de547c3" /><Relationship Type="http://schemas.openxmlformats.org/package/2006/relationships/metadata/core-properties" Target="/package/services/metadata/core-properties/21a307923cb045668e6ff4e5bded53d0.psmdcp" Id="R6df21c3e39cb453c" /></Relationships>
</file>

<file path=word/document.xml><?xml version="1.0" encoding="utf-8"?>
<w:document xmlns:w="http://schemas.openxmlformats.org/wordprocessingml/2006/main">
  <w:body>
    <w:p>
      <w:pPr>
        <w:pStyle w:val="Normal"/>
      </w:pPr>
      <w:r>
        <w:rPr>
          <w:b/>
        </w:rPr>
        <w:t xml:space="preserve">Salisbury El Sch</w:t>
      </w:r>
    </w:p>
    <w:p>
      <w:pPr>
        <w:pStyle w:val="Normal"/>
      </w:pPr>
      <w:r>
        <w:t xml:space="preserve">Schoolwide Title 1 School Plan | 2026 - 2027</w:t>
      </w:r>
    </w:p>
    <w:p>
      <w:pPr>
        <w:pStyle w:val="Normal"/>
      </w:pPr>
      <w:r>
        <w:br w:type="page"/>
      </w:r>
      <w:r>
        <w:lastRenderedPageBreak/>
      </w:r>
    </w:p>
    <w:p>
      <w:pPr>
        <w:pStyle w:val="Heading1"/>
      </w:pPr>
      <w:r>
        <w:t xml:space="preserve">Profile and Plan Essentials</w:t>
      </w:r>
    </w:p>
    <w:tbl>
      <w:tblPr>
        <w:tblStyle w:val="TableGrid"/>
        <w:tblW w:w="5000" w:type="pct"/>
      </w:tblPr>
      <w:tblGrid>
        <w:gridCol/>
        <w:gridCol/>
        <w:gridCol/>
      </w:tblGrid>
      <w:tr>
        <w:trPr/>
        <w:tc>
          <w:tcPr>
            <w:gridSpan w:val="2"/>
            <w:vAlign w:val="center"/>
          </w:tcPr>
          <w:p>
            <w:pPr>
              <w:pStyle w:val="Normal"/>
            </w:pPr>
            <w:r>
              <w:rPr>
                <w:b/>
              </w:rPr>
              <w:t xml:space="preserve">School</w:t>
            </w:r>
          </w:p>
        </w:tc>
        <w:tc>
          <w:tcPr>
            <w:vAlign w:val="center"/>
          </w:tcPr>
          <w:p>
            <w:pPr>
              <w:pStyle w:val="Normal"/>
            </w:pPr>
            <w:r>
              <w:t xml:space="preserve">AUN/Branch</w:t>
            </w:r>
          </w:p>
        </w:tc>
      </w:tr>
      <w:tr>
        <w:trPr/>
        <w:tc>
          <w:tcPr>
            <w:gridSpan w:val="2"/>
            <w:vAlign w:val="center"/>
          </w:tcPr>
          <w:p>
            <w:pPr>
              <w:pStyle w:val="Normal"/>
            </w:pPr>
            <w:r>
              <w:t xml:space="preserve">Salisbury El Sch</w:t>
            </w:r>
          </w:p>
        </w:tc>
        <w:tc>
          <w:tcPr>
            <w:vAlign w:val="center"/>
          </w:tcPr>
          <w:p>
            <w:pPr>
              <w:pStyle w:val="Normal"/>
            </w:pPr>
            <w:r>
              <w:t xml:space="preserve">113365303</w:t>
            </w:r>
          </w:p>
        </w:tc>
      </w:tr>
      <w:tr>
        <w:trPr/>
        <w:tc>
          <w:tcPr>
            <w:gridSpan w:val="3"/>
            <w:vAlign w:val="center"/>
          </w:tcPr>
          <w:p>
            <w:pPr>
              <w:pStyle w:val="Normal"/>
            </w:pPr>
            <w:r>
              <w:rPr>
                <w:b/>
              </w:rPr>
              <w:t xml:space="preserve">Address 1</w:t>
            </w:r>
          </w:p>
        </w:tc>
      </w:tr>
      <w:tr>
        <w:trPr/>
        <w:tc>
          <w:tcPr>
            <w:gridSpan w:val="3"/>
            <w:vAlign w:val="center"/>
          </w:tcPr>
          <w:p>
            <w:pPr>
              <w:pStyle w:val="Normal"/>
            </w:pPr>
            <w:r>
              <w:t xml:space="preserve">422 School Lane Rd</w:t>
            </w:r>
          </w:p>
        </w:tc>
      </w:tr>
      <w:tr>
        <w:trPr/>
        <w:tc>
          <w:tcPr>
            <w:gridSpan w:val="3"/>
            <w:vAlign w:val="center"/>
          </w:tcPr>
          <w:p>
            <w:pPr>
              <w:pStyle w:val="Normal"/>
            </w:pPr>
            <w:r>
              <w:rPr>
                <w:b/>
              </w:rPr>
              <w:t xml:space="preserve">Address 2</w:t>
            </w:r>
          </w:p>
        </w:tc>
      </w:tr>
      <w:tr>
        <w:trPr/>
        <w:tc>
          <w:tcPr>
            <w:gridSpan w:val="3"/>
            <w:vAlign w:val="center"/>
          </w:tcPr>
          <w:p/>
        </w:tc>
      </w:tr>
      <w:tr>
        <w:trPr/>
        <w:tc>
          <w:tcPr>
            <w:vAlign w:val="center"/>
          </w:tcPr>
          <w:p>
            <w:pPr>
              <w:pStyle w:val="Normal"/>
            </w:pPr>
            <w:r>
              <w:rPr>
                <w:b/>
              </w:rPr>
              <w:t xml:space="preserve">City</w:t>
            </w:r>
          </w:p>
        </w:tc>
        <w:tc>
          <w:tcPr>
            <w:vAlign w:val="center"/>
          </w:tcPr>
          <w:p>
            <w:pPr>
              <w:pStyle w:val="Normal"/>
            </w:pPr>
            <w:r>
              <w:rPr>
                <w:b/>
              </w:rPr>
              <w:t xml:space="preserve">State</w:t>
            </w:r>
          </w:p>
        </w:tc>
        <w:tc>
          <w:tcPr>
            <w:vAlign w:val="center"/>
          </w:tcPr>
          <w:p>
            <w:pPr>
              <w:pStyle w:val="Normal"/>
            </w:pPr>
            <w:r>
              <w:rPr>
                <w:b/>
              </w:rPr>
              <w:t xml:space="preserve">Zip Code</w:t>
            </w:r>
          </w:p>
        </w:tc>
      </w:tr>
      <w:tr>
        <w:trPr/>
        <w:tc>
          <w:tcPr>
            <w:vAlign w:val="center"/>
          </w:tcPr>
          <w:p>
            <w:pPr>
              <w:pStyle w:val="Normal"/>
            </w:pPr>
            <w:r>
              <w:t xml:space="preserve">Gap</w:t>
            </w:r>
          </w:p>
        </w:tc>
        <w:tc>
          <w:tcPr>
            <w:vAlign w:val="center"/>
          </w:tcPr>
          <w:p>
            <w:pPr>
              <w:pStyle w:val="Normal"/>
            </w:pPr>
            <w:r>
              <w:t xml:space="preserve">PA</w:t>
            </w:r>
          </w:p>
        </w:tc>
        <w:tc>
          <w:tcPr>
            <w:vAlign w:val="center"/>
          </w:tcPr>
          <w:p>
            <w:pPr>
              <w:pStyle w:val="Normal"/>
            </w:pPr>
            <w:r>
              <w:t xml:space="preserve">17527</w:t>
            </w:r>
          </w:p>
        </w:tc>
      </w:tr>
      <w:tr>
        <w:trPr/>
        <w:tc>
          <w:tcPr>
            <w:gridSpan w:val="2"/>
            <w:vAlign w:val="center"/>
          </w:tcPr>
          <w:p>
            <w:pPr>
              <w:pStyle w:val="Normal"/>
            </w:pPr>
            <w:r>
              <w:rPr>
                <w:b/>
              </w:rPr>
              <w:t xml:space="preserve">Chief School Administrator</w:t>
            </w:r>
          </w:p>
        </w:tc>
        <w:tc>
          <w:tcPr>
            <w:vAlign w:val="center"/>
          </w:tcPr>
          <w:p>
            <w:pPr>
              <w:pStyle w:val="Normal"/>
            </w:pPr>
            <w:r>
              <w:rPr>
                <w:b/>
              </w:rPr>
              <w:t xml:space="preserve">Chief School Administrator Email</w:t>
            </w:r>
          </w:p>
        </w:tc>
      </w:tr>
      <w:tr>
        <w:trPr/>
        <w:tc>
          <w:tcPr>
            <w:gridSpan w:val="2"/>
            <w:vAlign w:val="center"/>
          </w:tcPr>
          <w:p>
            <w:pPr>
              <w:pStyle w:val="Normal"/>
            </w:pPr>
            <w:r>
              <w:t xml:space="preserve">Dr Erik B Orndorff</w:t>
            </w:r>
          </w:p>
        </w:tc>
        <w:tc>
          <w:tcPr>
            <w:vAlign w:val="center"/>
          </w:tcPr>
          <w:p>
            <w:pPr>
              <w:pStyle w:val="Normal"/>
            </w:pPr>
            <w:r>
              <w:t xml:space="preserve">erik_orndorff@pequeavalley.org</w:t>
            </w:r>
          </w:p>
        </w:tc>
      </w:tr>
      <w:tr>
        <w:trPr/>
        <w:tc>
          <w:tcPr>
            <w:gridSpan w:val="3"/>
            <w:vAlign w:val="center"/>
          </w:tcPr>
          <w:p>
            <w:pPr>
              <w:pStyle w:val="Normal"/>
            </w:pPr>
            <w:r>
              <w:rPr>
                <w:b/>
              </w:rPr>
              <w:t xml:space="preserve">Principal Name</w:t>
            </w:r>
          </w:p>
        </w:tc>
      </w:tr>
      <w:tr>
        <w:trPr/>
        <w:tc>
          <w:tcPr>
            <w:gridSpan w:val="3"/>
            <w:vAlign w:val="center"/>
          </w:tcPr>
          <w:p>
            <w:pPr>
              <w:pStyle w:val="Normal"/>
            </w:pPr>
            <w:r>
              <w:t xml:space="preserve">Sheri McGowan</w:t>
            </w:r>
          </w:p>
        </w:tc>
      </w:tr>
      <w:tr>
        <w:trPr/>
        <w:tc>
          <w:tcPr>
            <w:gridSpan w:val="3"/>
            <w:vAlign w:val="center"/>
          </w:tcPr>
          <w:p>
            <w:pPr>
              <w:pStyle w:val="Normal"/>
            </w:pPr>
            <w:r>
              <w:rPr>
                <w:b/>
              </w:rPr>
              <w:t xml:space="preserve">Principal Email</w:t>
            </w:r>
          </w:p>
        </w:tc>
      </w:tr>
      <w:tr>
        <w:trPr/>
        <w:tc>
          <w:tcPr>
            <w:gridSpan w:val="3"/>
            <w:vAlign w:val="center"/>
          </w:tcPr>
          <w:p>
            <w:pPr>
              <w:pStyle w:val="Normal"/>
            </w:pPr>
            <w:r>
              <w:t xml:space="preserve">sheri_mcgowan@pequeavalley.org</w:t>
            </w:r>
          </w:p>
        </w:tc>
      </w:tr>
      <w:tr>
        <w:trPr/>
        <w:tc>
          <w:tcPr>
            <w:gridSpan w:val="2"/>
            <w:vAlign w:val="center"/>
          </w:tcPr>
          <w:p>
            <w:pPr>
              <w:pStyle w:val="Normal"/>
            </w:pPr>
            <w:r>
              <w:rPr>
                <w:b/>
              </w:rPr>
              <w:t xml:space="preserve">Principal Phone Number</w:t>
            </w:r>
          </w:p>
        </w:tc>
        <w:tc>
          <w:tcPr>
            <w:vAlign w:val="center"/>
          </w:tcPr>
          <w:p>
            <w:pPr>
              <w:pStyle w:val="Normal"/>
            </w:pPr>
            <w:r>
              <w:rPr>
                <w:b/>
              </w:rPr>
              <w:t xml:space="preserve">Principal Extension</w:t>
            </w:r>
          </w:p>
        </w:tc>
      </w:tr>
      <w:tr>
        <w:trPr/>
        <w:tc>
          <w:tcPr>
            <w:gridSpan w:val="2"/>
            <w:vAlign w:val="center"/>
          </w:tcPr>
          <w:p>
            <w:pPr>
              <w:pStyle w:val="Normal"/>
            </w:pPr>
            <w:r>
              <w:t xml:space="preserve">717-442-8268</w:t>
            </w:r>
          </w:p>
        </w:tc>
        <w:tc>
          <w:tcPr>
            <w:vAlign w:val="center"/>
          </w:tcPr>
          <w:p/>
        </w:tc>
      </w:tr>
      <w:tr>
        <w:trPr/>
        <w:tc>
          <w:tcPr>
            <w:gridSpan w:val="2"/>
            <w:vAlign w:val="center"/>
          </w:tcPr>
          <w:p>
            <w:pPr>
              <w:pStyle w:val="Normal"/>
            </w:pPr>
            <w:r>
              <w:rPr>
                <w:b/>
              </w:rPr>
              <w:t xml:space="preserve">School Improvement Facilitator Name</w:t>
            </w:r>
          </w:p>
        </w:tc>
        <w:tc>
          <w:tcPr>
            <w:vAlign w:val="center"/>
          </w:tcPr>
          <w:p>
            <w:pPr>
              <w:pStyle w:val="Normal"/>
            </w:pPr>
            <w:r>
              <w:rPr>
                <w:b/>
              </w:rPr>
              <w:t xml:space="preserve">School Improvement Facilitator Email</w:t>
            </w:r>
          </w:p>
        </w:tc>
      </w:tr>
      <w:tr>
        <w:trPr/>
        <w:tc>
          <w:tcPr>
            <w:gridSpan w:val="2"/>
            <w:vAlign w:val="center"/>
          </w:tcPr>
          <w:p/>
        </w:tc>
        <w:tc>
          <w:tcPr>
            <w:vAlign w:val="center"/>
          </w:tcPr>
          <w:p/>
        </w:tc>
      </w:tr>
    </w:tbl>
    <w:p>
      <w:pPr>
        <w:pStyle w:val="Normal"/>
      </w:pPr>
      <w:r>
        <w:br w:type="page"/>
      </w:r>
      <w:r>
        <w:lastRenderedPageBreak/>
      </w:r>
    </w:p>
    <w:p>
      <w:pPr>
        <w:pStyle w:val="Heading1"/>
      </w:pPr>
      <w:r>
        <w:t xml:space="preserve">Vision for Learning</w:t>
      </w:r>
    </w:p>
    <w:p>
      <w:pPr>
        <w:pStyle w:val="Normal"/>
      </w:pPr>
      <w:r>
        <w:rPr>
          <w:b/>
        </w:rPr>
        <w:t xml:space="preserve">Vision for Learning</w:t>
      </w:r>
    </w:p>
    <w:p>
      <w:pPr>
        <w:pStyle w:val="Normal"/>
      </w:pPr>
      <w:r>
        <w:t xml:space="preserve">The Pequea Valley School District will strive to create an "Ideal Learning Environment" that inspires each learner to excel. We will meet each learner at his/her level, challenging learners so that each child is motivated to return each day. We strive to create an environment for all learners to grow physically, mentally, socially, and emotionally. We believe: Learning occurs when a positive relationship is developed with each PV learner; Learning occurs when the environment is focused around autonomy, mastery, and purpose; Learning will occur in flexible environments; Learning is a collaborative activity; Learning occurs when associated with a child's interests, strengths, and zone of proximal development; Learning occurs at different paces and rates; Learning will allow EACH PV learner to receive their Post-Secondary "First Choice.”</w:t>
      </w:r>
    </w:p>
    <w:p>
      <w:pPr>
        <w:pStyle w:val="Normal"/>
      </w:pPr>
      <w:r>
        <w:br w:type="page"/>
      </w:r>
      <w:r>
        <w:lastRenderedPageBreak/>
      </w:r>
    </w:p>
    <w:p>
      <w:pPr>
        <w:pStyle w:val="Heading1"/>
      </w:pPr>
      <w:r>
        <w:t xml:space="preserve">Future Ready PA Index</w:t>
      </w:r>
    </w:p>
    <w:p>
      <w:pPr>
        <w:pStyle w:val="Heading2"/>
      </w:pPr>
      <w:r>
        <w:t xml:space="preserve">Proficient or Advanced in English Language Arts/Literature</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48.7% of students in grades 3 - 6 were Proficient or Advanced on the English Language Arts PSSA.</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True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50.4% of white learners scored proficient or advanced on their ELA PSSA. This is above the school and statewide average.</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There was an 8% decrease in the percentage of students with IEPs who were Proficient on the English Language Arts PSSA.</w:t>
            </w:r>
          </w:p>
        </w:tc>
      </w:tr>
      <w:tr>
        <w:trPr/>
        <w:tc>
          <w:tcPr>
            <w:vAlign w:val="center"/>
          </w:tcPr>
          <w:p>
            <w:pPr>
              <w:pStyle w:val="Normal"/>
            </w:pPr>
            <w:r>
              <w:t xml:space="preserve">Economically Disadvantaged</w:t>
            </w:r>
          </w:p>
        </w:tc>
        <w:tc>
          <w:tcPr>
            <w:vAlign w:val="center"/>
          </w:tcPr>
          <w:p>
            <w:pPr>
              <w:pStyle w:val="Normal"/>
            </w:pPr>
            <w:r>
              <w:t xml:space="preserve">42.5% of economically disadvantaged students were proficient and advanced. This was a 4% decrease from the previous year.</w:t>
            </w:r>
          </w:p>
        </w:tc>
      </w:tr>
    </w:tbl>
    <w:p>
      <w:pPr>
        <w:pStyle w:val="Heading2"/>
      </w:pPr>
      <w:r>
        <w:t xml:space="preserve">Proficient or Advanced in Mathematics/Algebra</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51.3% of students in grades 3 - 6 were Proficient or Advanced on the Math PSSA. This was 10% above the statewide average.</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True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Hispanic</w:t>
            </w:r>
          </w:p>
        </w:tc>
        <w:tc>
          <w:tcPr>
            <w:vAlign w:val="center"/>
          </w:tcPr>
          <w:p>
            <w:pPr>
              <w:pStyle w:val="Normal"/>
            </w:pPr>
            <w:r>
              <w:t xml:space="preserve">There was a 6% increase in the number of Hispanic students who scored Proficient and Advanced on the Mathematics PSSA from the 23/24 school year to the 24/25 school year.</w:t>
            </w:r>
          </w:p>
        </w:tc>
      </w:tr>
      <w:tr>
        <w:trPr/>
        <w:tc>
          <w:tcPr>
            <w:vAlign w:val="center"/>
          </w:tcPr>
          <w:p>
            <w:pPr>
              <w:pStyle w:val="Normal"/>
            </w:pPr>
            <w:r>
              <w:t xml:space="preserve">Economically Disadvantaged</w:t>
            </w:r>
          </w:p>
        </w:tc>
        <w:tc>
          <w:tcPr>
            <w:vAlign w:val="center"/>
          </w:tcPr>
          <w:p>
            <w:pPr>
              <w:pStyle w:val="Normal"/>
            </w:pPr>
            <w:r>
              <w:t xml:space="preserve">There was a 6% increase in the number of Economically Disadvantaged students who scored Proficient and Advanced on the Mathematics PSSA from the 23/24 school year to the 24/25 school year.</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Hispanic</w:t>
            </w:r>
          </w:p>
        </w:tc>
        <w:tc>
          <w:tcPr>
            <w:vAlign w:val="center"/>
          </w:tcPr>
          <w:p>
            <w:pPr>
              <w:pStyle w:val="Normal"/>
            </w:pPr>
            <w:r>
              <w:t xml:space="preserve">30.8% of Hispanic students were Proficient or Advanced on the Mathematics PSSA. This is 20.5% lower than the whole school population.</w:t>
            </w:r>
          </w:p>
        </w:tc>
      </w:tr>
      <w:tr>
        <w:trPr/>
        <w:tc>
          <w:tcPr>
            <w:vAlign w:val="center"/>
          </w:tcPr>
          <w:p>
            <w:pPr>
              <w:pStyle w:val="Normal"/>
            </w:pPr>
            <w:r>
              <w:t xml:space="preserve">Students with Disabilities</w:t>
            </w:r>
          </w:p>
        </w:tc>
        <w:tc>
          <w:tcPr>
            <w:vAlign w:val="center"/>
          </w:tcPr>
          <w:p>
            <w:pPr>
              <w:pStyle w:val="Normal"/>
            </w:pPr>
            <w:r>
              <w:t xml:space="preserve">17.8% of students with Disabilities were Proficient or Advanced on the Mathematics PSSA.</w:t>
            </w:r>
          </w:p>
        </w:tc>
      </w:tr>
    </w:tbl>
    <w:p>
      <w:pPr>
        <w:pStyle w:val="Heading2"/>
      </w:pPr>
      <w:r>
        <w:t xml:space="preserve">Meeting Annual Academic Growth Expectations (PVAAS) in English Language Arts/Literature</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The academic growth score in English Language Arts/Literature was 68 which does not meet the standard for annual growth. This is also 11 points lower than the previous school year.</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True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Economically Disadvantaged</w:t>
            </w:r>
          </w:p>
        </w:tc>
        <w:tc>
          <w:tcPr>
            <w:vAlign w:val="center"/>
          </w:tcPr>
          <w:p>
            <w:pPr>
              <w:pStyle w:val="Normal"/>
            </w:pPr>
            <w:r>
              <w:t xml:space="preserve">The Economically Disadvantaged group met the growth goal on the ELA PSSA.</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The Students with Disabilities subgroup did not meet the growth goal for the ELA PSSA. In 23/24, this group reflected a growth score of 87. Their growth score in 24/25 was 67.</w:t>
            </w:r>
          </w:p>
        </w:tc>
      </w:tr>
      <w:tr>
        <w:trPr/>
        <w:tc>
          <w:tcPr>
            <w:vAlign w:val="center"/>
          </w:tcPr>
          <w:p>
            <w:pPr>
              <w:pStyle w:val="Normal"/>
            </w:pPr>
            <w:r>
              <w:t xml:space="preserve">White</w:t>
            </w:r>
          </w:p>
        </w:tc>
        <w:tc>
          <w:tcPr>
            <w:vAlign w:val="center"/>
          </w:tcPr>
          <w:p>
            <w:pPr>
              <w:pStyle w:val="Normal"/>
            </w:pPr>
            <w:r>
              <w:t xml:space="preserve">The White subgroup did not meet the growth goal. In 23/24, this group reflected a growth score of 78. Their growth score in 24/25 was 61.</w:t>
            </w:r>
          </w:p>
        </w:tc>
      </w:tr>
    </w:tbl>
    <w:p>
      <w:pPr>
        <w:pStyle w:val="Heading2"/>
      </w:pPr>
      <w:r>
        <w:t xml:space="preserve">Meeting Annual Academic Growth Expectations (PVAAS) in Mathematics/Algebra</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Overall, students met the standard for growth in Mathematics, with a score of 71. This is below the statewide average of 74.9.</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White</w:t>
            </w:r>
          </w:p>
        </w:tc>
        <w:tc>
          <w:tcPr>
            <w:vAlign w:val="center"/>
          </w:tcPr>
          <w:p>
            <w:pPr>
              <w:pStyle w:val="Normal"/>
            </w:pPr>
            <w:r>
              <w:t xml:space="preserve">The White subgroup's growth score on the Mathematics PSSA was 73, which is above the building wide score.</w:t>
            </w:r>
          </w:p>
        </w:tc>
      </w:tr>
      <w:tr>
        <w:trPr/>
        <w:tc>
          <w:tcPr>
            <w:vAlign w:val="center"/>
          </w:tcPr>
          <w:p>
            <w:pPr>
              <w:pStyle w:val="Normal"/>
            </w:pPr>
            <w:r>
              <w:t xml:space="preserve">Economically Disadvantaged</w:t>
            </w:r>
          </w:p>
        </w:tc>
        <w:tc>
          <w:tcPr>
            <w:vAlign w:val="center"/>
          </w:tcPr>
          <w:p>
            <w:pPr>
              <w:pStyle w:val="Normal"/>
            </w:pPr>
            <w:r>
              <w:t xml:space="preserve">The Economically Disadvantaged subgroup met the goal for growth on the Mathematics PSSA.</w:t>
            </w:r>
          </w:p>
        </w:tc>
      </w:tr>
      <w:tr>
        <w:trPr/>
        <w:tc>
          <w:tcPr>
            <w:vAlign w:val="center"/>
          </w:tcPr>
          <w:p>
            <w:pPr>
              <w:pStyle w:val="Normal"/>
            </w:pPr>
            <w:r>
              <w:t xml:space="preserve">Students with Disabilities</w:t>
            </w:r>
          </w:p>
        </w:tc>
        <w:tc>
          <w:tcPr>
            <w:vAlign w:val="center"/>
          </w:tcPr>
          <w:p>
            <w:pPr>
              <w:pStyle w:val="Normal"/>
            </w:pPr>
            <w:r>
              <w:t xml:space="preserve">The Students with Disabilities subgroup met the goal for growth on the Mathematics PSSA.</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The Students with Disabilities subgroup scored a growth score of 70. This score is consistent with the previous year's score.</w:t>
            </w:r>
          </w:p>
        </w:tc>
      </w:tr>
    </w:tbl>
    <w:p>
      <w:pPr>
        <w:pStyle w:val="Heading2"/>
      </w:pPr>
      <w:r>
        <w:t xml:space="preserve">English Language Growth and Attainment </w:t>
      </w:r>
    </w:p>
    <w:p>
      <w:pPr>
        <w:pStyle w:val="Normal"/>
      </w:pPr>
      <w:r>
        <w:rPr>
          <w:b/>
        </w:rPr>
        <w:t xml:space="preserve">True </w:t>
      </w:r>
      <w:r>
        <w:t xml:space="preserve">We do not have Future Ready Pa Index Data for this indicator</w:t>
      </w:r>
    </w:p>
    <w:p>
      <w:pPr>
        <w:pStyle w:val="Heading3"/>
      </w:pPr>
      <w:r>
        <w:t xml:space="preserve">Comments/Notable Observations</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2"/>
      </w:pPr>
      <w:r>
        <w:t xml:space="preserve">Regular Attendance </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All students were in attendance for 90.8% of the school year. This is well above the statewide average of 79.6%.</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Hispanic</w:t>
            </w:r>
          </w:p>
        </w:tc>
        <w:tc>
          <w:tcPr>
            <w:vAlign w:val="center"/>
          </w:tcPr>
          <w:p>
            <w:pPr>
              <w:pStyle w:val="Normal"/>
            </w:pPr>
            <w:r>
              <w:t xml:space="preserve">Attendance for the Hispanic population was 95.2%. This is an increase from the previous year.</w:t>
            </w:r>
          </w:p>
        </w:tc>
      </w:tr>
      <w:tr>
        <w:trPr/>
        <w:tc>
          <w:tcPr>
            <w:vAlign w:val="center"/>
          </w:tcPr>
          <w:p>
            <w:pPr>
              <w:pStyle w:val="Normal"/>
            </w:pPr>
            <w:r>
              <w:t xml:space="preserve">Economically Disadvantaged</w:t>
            </w:r>
          </w:p>
        </w:tc>
        <w:tc>
          <w:tcPr>
            <w:vAlign w:val="center"/>
          </w:tcPr>
          <w:p>
            <w:pPr>
              <w:pStyle w:val="Normal"/>
            </w:pPr>
            <w:r>
              <w:t xml:space="preserve">Although attendance for Economically Disadvantaged subgroup was below the building average, there was an increase in 1.5% from the previous year.</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Students with Disabilities</w:t>
            </w:r>
          </w:p>
        </w:tc>
        <w:tc>
          <w:tcPr>
            <w:vAlign w:val="center"/>
          </w:tcPr>
          <w:p>
            <w:pPr>
              <w:pStyle w:val="Normal"/>
            </w:pPr>
            <w:r>
              <w:t xml:space="preserve">Attendance for the Students with Disabilities subgroup was 81.8% for the 24/25 school year. This was an 11% decrease from the previous year.</w:t>
            </w:r>
          </w:p>
        </w:tc>
      </w:tr>
    </w:tbl>
    <w:p>
      <w:pPr>
        <w:pStyle w:val="Heading2"/>
      </w:pPr>
      <w:r>
        <w:t xml:space="preserve">Career Standards Benchmark </w:t>
      </w:r>
    </w:p>
    <w:p>
      <w:pPr>
        <w:pStyle w:val="Normal"/>
      </w:pPr>
      <w:r>
        <w:rPr>
          <w:b/>
        </w:rPr>
        <w:t xml:space="preserve">False </w:t>
      </w:r>
      <w:r>
        <w:t xml:space="preserve">We do not have Future Ready Pa Index Data for this indicator</w:t>
      </w:r>
    </w:p>
    <w:p>
      <w:pPr>
        <w:pStyle w:val="Heading3"/>
      </w:pPr>
      <w:r>
        <w:t xml:space="preserve">Comments/Notable Observations</w:t>
      </w:r>
    </w:p>
    <w:p>
      <w:pPr>
        <w:pStyle w:val="Normal"/>
      </w:pPr>
      <w:r>
        <w:t xml:space="preserve">100% of our students met compliance with Career Standards. The statewide average is 91.5%.</w:t>
      </w:r>
    </w:p>
    <w:tbl>
      <w:tblPr>
        <w:tblStyle w:val="TableGrid"/>
        <w:tblW w:w="5000" w:type="pct"/>
      </w:tblPr>
      <w:tblGrid>
        <w:gridCol/>
        <w:gridCol/>
        <w:gridCol/>
      </w:tblGrid>
      <w:tr>
        <w:trPr/>
        <w:tc>
          <w:tcPr>
            <w:vAlign w:val="center"/>
          </w:tcPr>
          <w:p>
            <w:pPr>
              <w:pStyle w:val="Normal"/>
            </w:pPr>
            <w:r>
              <w:rPr>
                <w:b/>
              </w:rPr>
              <w:t xml:space="preserve">True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Economically Disadvantaged</w:t>
            </w:r>
          </w:p>
        </w:tc>
        <w:tc>
          <w:tcPr>
            <w:vAlign w:val="center"/>
          </w:tcPr>
          <w:p>
            <w:pPr>
              <w:pStyle w:val="Normal"/>
            </w:pPr>
            <w:r>
              <w:t xml:space="preserve">This population maintained 100% compliance with Career Standards.</w:t>
            </w: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pPr>
              <w:pStyle w:val="Normal"/>
            </w:pPr>
            <w:r>
              <w:t xml:space="preserve">Hispanic</w:t>
            </w:r>
          </w:p>
        </w:tc>
        <w:tc>
          <w:tcPr>
            <w:vAlign w:val="center"/>
          </w:tcPr>
          <w:p>
            <w:pPr>
              <w:pStyle w:val="Normal"/>
            </w:pPr>
            <w:r>
              <w:t xml:space="preserve">Due to overall school population, there is an insufficient population to create a subgroup.</w:t>
            </w:r>
          </w:p>
        </w:tc>
      </w:tr>
    </w:tbl>
    <w:p>
      <w:pPr>
        <w:pStyle w:val="Heading2"/>
      </w:pPr>
      <w:r>
        <w:t xml:space="preserve">High School Graduation Rate Four-Year Cohort</w:t>
      </w:r>
    </w:p>
    <w:p>
      <w:pPr>
        <w:pStyle w:val="Normal"/>
      </w:pPr>
      <w:r>
        <w:rPr>
          <w:b/>
        </w:rPr>
        <w:t xml:space="preserve">True </w:t>
      </w:r>
      <w:r>
        <w:t xml:space="preserve">We do not have Future Ready Pa Index Data for this indicator</w:t>
      </w:r>
    </w:p>
    <w:p>
      <w:pPr>
        <w:pStyle w:val="Heading3"/>
      </w:pPr>
      <w:r>
        <w:t xml:space="preserve">Comments/Notable Observations</w:t>
      </w:r>
    </w:p>
    <w:tbl>
      <w:tblPr>
        <w:tblStyle w:val="TableGrid"/>
        <w:tblW w:w="5000" w:type="pct"/>
      </w:tblPr>
      <w:tblGrid>
        <w:gridCol/>
        <w:gridCol/>
        <w:gridCol/>
      </w:tblGrid>
      <w:tr>
        <w:trPr/>
        <w:tc>
          <w:tcPr>
            <w:vAlign w:val="center"/>
          </w:tcPr>
          <w:p>
            <w:pPr>
              <w:pStyle w:val="Normal"/>
            </w:pPr>
            <w:r>
              <w:rPr>
                <w:b/>
              </w:rPr>
              <w:t xml:space="preserve">False </w:t>
            </w:r>
            <w:r>
              <w:t xml:space="preserve">Strengths</w:t>
            </w:r>
          </w:p>
        </w:tc>
        <w:tc>
          <w:tcPr>
            <w:vAlign w:val="center"/>
          </w:tcPr>
          <w:p>
            <w:pPr>
              <w:pStyle w:val="Normal"/>
            </w:pPr>
            <w:r>
              <w:rPr>
                <w:b/>
              </w:rPr>
              <w:t xml:space="preserve">False </w:t>
            </w:r>
            <w:r>
              <w:t xml:space="preserve">Challenges</w:t>
            </w:r>
          </w:p>
        </w:tc>
        <w:tc>
          <w:tcPr>
            <w:vAlign w:val="center"/>
          </w:tcPr>
          <w:p>
            <w:pPr>
              <w:pStyle w:val="Normal"/>
            </w:pPr>
            <w:r>
              <w:rPr>
                <w:b/>
              </w:rPr>
              <w:t xml:space="preserve">False </w:t>
            </w:r>
            <w:r>
              <w:t xml:space="preserve">N/A</w:t>
            </w:r>
          </w:p>
        </w:tc>
      </w:tr>
    </w:tbl>
    <w:p>
      <w:pPr>
        <w:pStyle w:val="Heading3"/>
      </w:pPr>
      <w:r>
        <w:t xml:space="preserve">Strengths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3"/>
      </w:pPr>
      <w:r>
        <w:t xml:space="preserve">Challenges</w:t>
      </w:r>
    </w:p>
    <w:tbl>
      <w:tblPr>
        <w:tblStyle w:val="TableGrid"/>
        <w:tblW w:w="5000" w:type="pct"/>
      </w:tblPr>
      <w:tblGrid>
        <w:gridCol/>
        <w:gridCol/>
      </w:tblGrid>
      <w:tr>
        <w:trPr/>
        <w:tc>
          <w:tcPr>
            <w:vAlign w:val="center"/>
          </w:tcPr>
          <w:p>
            <w:pPr>
              <w:pStyle w:val="Normal"/>
            </w:pPr>
            <w:r>
              <w:t xml:space="preserve">ESSA Student Subgroups</w:t>
            </w:r>
          </w:p>
        </w:tc>
        <w:tc>
          <w:tcPr>
            <w:vAlign w:val="center"/>
          </w:tcPr>
          <w:p>
            <w:pPr>
              <w:pStyle w:val="Normal"/>
            </w:pPr>
            <w:r>
              <w:t xml:space="preserve">Indicator</w:t>
            </w:r>
          </w:p>
        </w:tc>
      </w:tr>
      <w:tr>
        <w:trPr/>
        <w:tc>
          <w:tcPr>
            <w:vAlign w:val="center"/>
          </w:tcPr>
          <w:p/>
        </w:tc>
        <w:tc>
          <w:tcPr>
            <w:vAlign w:val="center"/>
          </w:tcPr>
          <w:p/>
        </w:tc>
      </w:tr>
      <w:tr>
        <w:trPr/>
        <w:tc>
          <w:tcPr>
            <w:vAlign w:val="center"/>
          </w:tcPr>
          <w:p/>
        </w:tc>
        <w:tc>
          <w:tcPr>
            <w:vAlign w:val="center"/>
          </w:tcPr>
          <w:p/>
        </w:tc>
      </w:tr>
    </w:tbl>
    <w:p>
      <w:pPr>
        <w:pStyle w:val="Heading2"/>
      </w:pPr>
      <w:r>
        <w:t xml:space="preserve">Summary</w:t>
      </w:r>
    </w:p>
    <w:p>
      <w:pPr>
        <w:pStyle w:val="Heading3"/>
      </w:pPr>
      <w:r>
        <w:t xml:space="preserve">Strengths</w:t>
      </w:r>
    </w:p>
    <w:p>
      <w:pPr>
        <w:pStyle w:val="Normal"/>
      </w:pPr>
      <w:r>
        <w:t xml:space="preserve">Review the strengths listed. Select the strengths that have had the most significant impact in addressing your most pressing challenges.</w:t>
      </w:r>
    </w:p>
    <w:tbl>
      <w:tblPr>
        <w:tblStyle w:val="TableGrid"/>
        <w:tblW w:w="5000" w:type="pct"/>
      </w:tblPr>
      <w:tblGrid>
        <w:gridCol/>
      </w:tblGrid>
      <w:tr>
        <w:trPr/>
        <w:tc>
          <w:tcPr>
            <w:vAlign w:val="center"/>
          </w:tcPr>
          <w:p>
            <w:pPr>
              <w:pStyle w:val="Normal"/>
            </w:pPr>
            <w:r>
              <w:t xml:space="preserve">100% of our students met compliance with Career Standards.</w:t>
            </w:r>
          </w:p>
        </w:tc>
      </w:tr>
    </w:tbl>
    <w:p>
      <w:pPr>
        <w:pStyle w:val="Heading3"/>
      </w:pPr>
      <w:r>
        <w:t xml:space="preserve">Challenges</w:t>
      </w:r>
    </w:p>
    <w:p>
      <w:pPr>
        <w:pStyle w:val="Normal"/>
      </w:pPr>
      <w:r>
        <w:t xml:space="preserve">Review the challenges listed. Select the challenges that, if improved, would have the most impact in achieving your Future Ready PA index targets.</w:t>
      </w:r>
    </w:p>
    <w:tbl>
      <w:tblPr>
        <w:tblStyle w:val="TableGrid"/>
        <w:tblW w:w="5000" w:type="pct"/>
      </w:tblPr>
      <w:tblGrid>
        <w:gridCol/>
      </w:tblGrid>
      <w:tr>
        <w:trPr/>
        <w:tc>
          <w:tcPr>
            <w:vAlign w:val="center"/>
          </w:tcPr>
          <w:p>
            <w:pPr>
              <w:pStyle w:val="Normal"/>
            </w:pPr>
            <w:r>
              <w:t xml:space="preserve">48.7% of students in grades 3 - 6 were Proficient or Advanced on the English Language Arts PSSA.</w:t>
            </w:r>
          </w:p>
        </w:tc>
      </w:tr>
      <w:tr>
        <w:trPr/>
        <w:tc>
          <w:tcPr>
            <w:vAlign w:val="center"/>
          </w:tcPr>
          <w:p>
            <w:pPr>
              <w:pStyle w:val="Normal"/>
            </w:pPr>
            <w:r>
              <w:t xml:space="preserve">51.3% of students in grades 3 - 6 were Proficient or Advanced on the Math PSSA. This was 10% above the statewide average.</w:t>
            </w:r>
          </w:p>
        </w:tc>
      </w:tr>
    </w:tbl>
    <w:p>
      <w:pPr>
        <w:pStyle w:val="Normal"/>
      </w:pPr>
      <w:r>
        <w:br w:type="page"/>
      </w:r>
      <w:r>
        <w:lastRenderedPageBreak/>
      </w:r>
    </w:p>
    <w:p>
      <w:pPr>
        <w:pStyle w:val="Heading1"/>
      </w:pPr>
      <w:r>
        <w:t xml:space="preserve">Local Assessment</w:t>
      </w:r>
    </w:p>
    <w:p>
      <w:pPr>
        <w:pStyle w:val="Heading2"/>
      </w:pPr>
      <w:r>
        <w:t xml:space="preserve">English Language Arts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English Language Arts - NWEA MAP</w:t>
            </w:r>
          </w:p>
        </w:tc>
        <w:tc>
          <w:tcPr>
            <w:vAlign w:val="center"/>
          </w:tcPr>
          <w:p>
            <w:pPr>
              <w:pStyle w:val="Normal"/>
            </w:pPr>
            <w:r>
              <w:t xml:space="preserve">66% of students were at or above the 41st percentile on the English Language Arts MAP Assessment.</w:t>
            </w:r>
          </w:p>
        </w:tc>
      </w:tr>
      <w:tr>
        <w:trPr/>
        <w:tc>
          <w:tcPr>
            <w:vAlign w:val="center"/>
          </w:tcPr>
          <w:p>
            <w:pPr>
              <w:pStyle w:val="Normal"/>
            </w:pPr>
            <w:r>
              <w:t xml:space="preserve">English Language Arts - NWEA MAP</w:t>
            </w:r>
          </w:p>
        </w:tc>
        <w:tc>
          <w:tcPr>
            <w:vAlign w:val="center"/>
          </w:tcPr>
          <w:p>
            <w:pPr>
              <w:pStyle w:val="Normal"/>
            </w:pPr>
            <w:r>
              <w:t xml:space="preserve">63% of students met their Growth Projection on the English Language Arts MAP Assessment.</w:t>
            </w:r>
          </w:p>
        </w:tc>
      </w:tr>
      <w:tr>
        <w:trPr/>
        <w:tc>
          <w:tcPr>
            <w:vAlign w:val="center"/>
          </w:tcPr>
          <w:p>
            <w:pPr>
              <w:pStyle w:val="Normal"/>
            </w:pPr>
            <w:r>
              <w:t xml:space="preserve">English Language Arts - mClass</w:t>
            </w:r>
          </w:p>
        </w:tc>
        <w:tc>
          <w:tcPr>
            <w:vAlign w:val="center"/>
          </w:tcPr>
          <w:p>
            <w:pPr>
              <w:pStyle w:val="Normal"/>
            </w:pPr>
            <w:r>
              <w:t xml:space="preserve">55% of all students achieved a composite score at or above Benchmark on the English Language Arts mClass Assessment.</w:t>
            </w:r>
          </w:p>
        </w:tc>
      </w:tr>
      <w:tr>
        <w:trPr/>
        <w:tc>
          <w:tcPr>
            <w:vAlign w:val="center"/>
          </w:tcPr>
          <w:p>
            <w:pPr>
              <w:pStyle w:val="Normal"/>
            </w:pPr>
            <w:r>
              <w:t xml:space="preserve">English Language Arts - 6th Grade mClass</w:t>
            </w:r>
          </w:p>
        </w:tc>
        <w:tc>
          <w:tcPr>
            <w:vAlign w:val="center"/>
          </w:tcPr>
          <w:p>
            <w:pPr>
              <w:pStyle w:val="Normal"/>
            </w:pPr>
            <w:r>
              <w:t xml:space="preserve">47% of Sixth grade students achieved a composite score at or above Benchmark on the English Language Arts at the beginning of the 2025/2026 school year. At the end of the year, 63% of Sixth grade students achieved a composite score at or above Benchmark on the English Language Arts mClass Assessment.</w:t>
            </w:r>
          </w:p>
        </w:tc>
      </w:tr>
      <w:tr>
        <w:trPr/>
        <w:tc>
          <w:tcPr>
            <w:vAlign w:val="center"/>
          </w:tcPr>
          <w:p>
            <w:pPr>
              <w:pStyle w:val="Normal"/>
            </w:pPr>
            <w:r>
              <w:t xml:space="preserve">English Language Arts - Kindergarten mClass</w:t>
            </w:r>
          </w:p>
        </w:tc>
        <w:tc>
          <w:tcPr>
            <w:vAlign w:val="center"/>
          </w:tcPr>
          <w:p>
            <w:pPr>
              <w:pStyle w:val="Normal"/>
            </w:pPr>
            <w:r>
              <w:t xml:space="preserve">26% of Kindergarten students had a composite score at or above Benchmark on the English Language Arts mClass Assessment at the beginning of the 2025/2026 school year. At the end of the school year, 72% of students achieved a composite score at or above Benchmark on the assessment.</w:t>
            </w:r>
          </w:p>
        </w:tc>
      </w:tr>
    </w:tbl>
    <w:p>
      <w:pPr>
        <w:pStyle w:val="Heading2"/>
      </w:pPr>
      <w:r>
        <w:t xml:space="preserve">English Language Arts Summary</w:t>
      </w:r>
    </w:p>
    <w:p>
      <w:pPr>
        <w:pStyle w:val="Heading3"/>
      </w:pPr>
      <w:r>
        <w:t xml:space="preserve">Strengths</w:t>
      </w:r>
    </w:p>
    <w:tbl>
      <w:tblPr>
        <w:tblStyle w:val="TableGrid"/>
        <w:tblW w:w="5000" w:type="pct"/>
      </w:tblPr>
      <w:tblGrid>
        <w:gridCol/>
      </w:tblGrid>
      <w:tr>
        <w:trPr/>
        <w:tc>
          <w:tcPr>
            <w:vAlign w:val="center"/>
          </w:tcPr>
          <w:p>
            <w:pPr>
              <w:pStyle w:val="Normal"/>
            </w:pPr>
            <w:r>
              <w:t xml:space="preserve">Dedicated team of educators to focus on MTSS implementation, reviewing student data and analyzing individual student data to determine appropriate levels of academic support.</w:t>
            </w:r>
          </w:p>
        </w:tc>
      </w:tr>
      <w:tr>
        <w:trPr/>
        <w:tc>
          <w:tcPr>
            <w:vAlign w:val="center"/>
          </w:tcPr>
          <w:p>
            <w:pPr>
              <w:pStyle w:val="Normal"/>
            </w:pPr>
            <w:r>
              <w:t xml:space="preserve">Dedicated team time for grade level planning of ELA instruction.</w:t>
            </w:r>
          </w:p>
        </w:tc>
      </w:tr>
      <w:tr>
        <w:trPr/>
        <w:tc>
          <w:tcPr>
            <w:vAlign w:val="center"/>
          </w:tcPr>
          <w:p>
            <w:pPr>
              <w:pStyle w:val="Normal"/>
            </w:pPr>
            <w:r>
              <w:t xml:space="preserve">Opportunities for students to be grouped for skills instruction based on academic levels.</w:t>
            </w:r>
          </w:p>
        </w:tc>
      </w:tr>
      <w:tr>
        <w:trPr/>
        <w:tc>
          <w:tcPr>
            <w:vAlign w:val="center"/>
          </w:tcPr>
          <w:p>
            <w:pPr>
              <w:pStyle w:val="Normal"/>
            </w:pPr>
            <w:r>
              <w:t xml:space="preserve">Continued implementation of a cohesive resource for ELA instruction K-6.</w:t>
            </w:r>
          </w:p>
        </w:tc>
      </w:tr>
    </w:tbl>
    <w:p>
      <w:pPr>
        <w:pStyle w:val="Heading3"/>
      </w:pPr>
      <w:r>
        <w:t xml:space="preserve">Challenges</w:t>
      </w:r>
    </w:p>
    <w:tbl>
      <w:tblPr>
        <w:tblStyle w:val="TableGrid"/>
        <w:tblW w:w="5000" w:type="pct"/>
      </w:tblPr>
      <w:tblGrid>
        <w:gridCol/>
      </w:tblGrid>
      <w:tr>
        <w:trPr/>
        <w:tc>
          <w:tcPr>
            <w:vAlign w:val="center"/>
          </w:tcPr>
          <w:p>
            <w:pPr>
              <w:pStyle w:val="Normal"/>
            </w:pPr>
            <w:r>
              <w:t xml:space="preserve">The correlation between students scoring at or above benchmark on local universal assessments, does not align with the percentage of students scoring Proficient or Advanced on the English Language Arts PSSA.</w:t>
            </w:r>
          </w:p>
        </w:tc>
      </w:tr>
      <w:tr>
        <w:trPr/>
        <w:tc>
          <w:tcPr>
            <w:vAlign w:val="center"/>
          </w:tcPr>
          <w:p>
            <w:pPr>
              <w:pStyle w:val="Normal"/>
            </w:pPr>
            <w:r>
              <w:t xml:space="preserve">Hiring and scheduling Title 1 paraprofessionals to support learners with the greatest needs.</w:t>
            </w:r>
          </w:p>
        </w:tc>
      </w:tr>
      <w:tr>
        <w:trPr/>
        <w:tc>
          <w:tcPr>
            <w:vAlign w:val="center"/>
          </w:tcPr>
          <w:p>
            <w:pPr>
              <w:pStyle w:val="Normal"/>
            </w:pPr>
            <w:r>
              <w:t xml:space="preserve">Providing additional dedicated time to meet students' at their individual academic levels.</w:t>
            </w:r>
          </w:p>
        </w:tc>
      </w:tr>
      <w:tr>
        <w:trPr/>
        <w:tc>
          <w:tcPr>
            <w:vAlign w:val="center"/>
          </w:tcPr>
          <w:p>
            <w:pPr>
              <w:pStyle w:val="Normal"/>
            </w:pPr>
            <w:r>
              <w:t xml:space="preserve">Continued use of high quality Reading intervention systems to target instruction to learners' individual academic needs - currently in year 4 of implementation.</w:t>
            </w:r>
          </w:p>
        </w:tc>
      </w:tr>
    </w:tbl>
    <w:p>
      <w:pPr>
        <w:pStyle w:val="Heading2"/>
      </w:pPr>
      <w:r>
        <w:t xml:space="preserve">Mathematics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Mathematics - NWEA MAP</w:t>
            </w:r>
          </w:p>
        </w:tc>
        <w:tc>
          <w:tcPr>
            <w:vAlign w:val="center"/>
          </w:tcPr>
          <w:p>
            <w:pPr>
              <w:pStyle w:val="Normal"/>
            </w:pPr>
            <w:r>
              <w:t xml:space="preserve">75% of students were at or above the 41st percentile on the Mathematics MAP Assessment.</w:t>
            </w:r>
          </w:p>
        </w:tc>
      </w:tr>
      <w:tr>
        <w:trPr/>
        <w:tc>
          <w:tcPr>
            <w:vAlign w:val="center"/>
          </w:tcPr>
          <w:p>
            <w:pPr>
              <w:pStyle w:val="Normal"/>
            </w:pPr>
            <w:r>
              <w:t xml:space="preserve">Mathematics - NWEA MAP</w:t>
            </w:r>
          </w:p>
        </w:tc>
        <w:tc>
          <w:tcPr>
            <w:vAlign w:val="center"/>
          </w:tcPr>
          <w:p>
            <w:pPr>
              <w:pStyle w:val="Normal"/>
            </w:pPr>
            <w:r>
              <w:t xml:space="preserve">81% of students met their Growth Projection on the Mathematics MAP Assessment.</w:t>
            </w:r>
          </w:p>
        </w:tc>
      </w:tr>
      <w:tr>
        <w:trPr/>
        <w:tc>
          <w:tcPr>
            <w:vAlign w:val="center"/>
          </w:tcPr>
          <w:p>
            <w:pPr>
              <w:pStyle w:val="Normal"/>
            </w:pPr>
            <w:r>
              <w:t xml:space="preserve">Mathematics - Kindergarten mClass</w:t>
            </w:r>
          </w:p>
        </w:tc>
        <w:tc>
          <w:tcPr>
            <w:vAlign w:val="center"/>
          </w:tcPr>
          <w:p>
            <w:pPr>
              <w:pStyle w:val="Normal"/>
            </w:pPr>
            <w:r>
              <w:t xml:space="preserve">84% of Kindergarten students were Proficient or Advanced on the mClass Mathematics Assessment at the end of the 2025/2026 school year.</w:t>
            </w:r>
          </w:p>
        </w:tc>
      </w:tr>
      <w:tr>
        <w:trPr/>
        <w:tc>
          <w:tcPr>
            <w:vAlign w:val="center"/>
          </w:tcPr>
          <w:p>
            <w:pPr>
              <w:pStyle w:val="Normal"/>
            </w:pPr>
            <w:r>
              <w:t xml:space="preserve">Mathematics - Fourth Grade mClass</w:t>
            </w:r>
          </w:p>
        </w:tc>
        <w:tc>
          <w:tcPr>
            <w:vAlign w:val="center"/>
          </w:tcPr>
          <w:p>
            <w:pPr>
              <w:pStyle w:val="Normal"/>
            </w:pPr>
            <w:r>
              <w:t xml:space="preserve">73% of Fourth Grade students were Proficient or Advanced on the mClass Mathematics Assessment at the end of the 2025/2026 school year.</w:t>
            </w:r>
          </w:p>
        </w:tc>
      </w:tr>
      <w:tr>
        <w:trPr/>
        <w:tc>
          <w:tcPr>
            <w:vAlign w:val="center"/>
          </w:tcPr>
          <w:p>
            <w:pPr>
              <w:pStyle w:val="Normal"/>
            </w:pPr>
            <w:r>
              <w:t xml:space="preserve">Mathematics - Sixth Grade Acadience</w:t>
            </w:r>
          </w:p>
        </w:tc>
        <w:tc>
          <w:tcPr>
            <w:vAlign w:val="center"/>
          </w:tcPr>
          <w:p>
            <w:pPr>
              <w:pStyle w:val="Normal"/>
            </w:pPr>
            <w:r>
              <w:t xml:space="preserve">63% of Sixth Grade students met or exceeded benchmark on the Sixth Grade Acadience Computation Assessment.</w:t>
            </w:r>
          </w:p>
        </w:tc>
      </w:tr>
    </w:tbl>
    <w:p>
      <w:pPr>
        <w:pStyle w:val="Heading2"/>
      </w:pPr>
      <w:r>
        <w:t xml:space="preserve">Mathematics Summary</w:t>
      </w:r>
    </w:p>
    <w:p>
      <w:pPr>
        <w:pStyle w:val="Heading3"/>
      </w:pPr>
      <w:r>
        <w:t xml:space="preserve">Strengths</w:t>
      </w:r>
    </w:p>
    <w:tbl>
      <w:tblPr>
        <w:tblStyle w:val="TableGrid"/>
        <w:tblW w:w="5000" w:type="pct"/>
      </w:tblPr>
      <w:tblGrid>
        <w:gridCol/>
      </w:tblGrid>
      <w:tr>
        <w:trPr/>
        <w:tc>
          <w:tcPr>
            <w:vAlign w:val="center"/>
          </w:tcPr>
          <w:p>
            <w:pPr>
              <w:pStyle w:val="Normal"/>
            </w:pPr>
            <w:r>
              <w:t xml:space="preserve">Dedicated team of educators to focus on MTSS implementation.</w:t>
            </w:r>
          </w:p>
        </w:tc>
      </w:tr>
      <w:tr>
        <w:trPr/>
        <w:tc>
          <w:tcPr>
            <w:vAlign w:val="center"/>
          </w:tcPr>
          <w:p>
            <w:pPr>
              <w:pStyle w:val="Normal"/>
            </w:pPr>
            <w:r>
              <w:t xml:space="preserve">Dedicated team time for grade level planning of Mathematics instruction.</w:t>
            </w:r>
          </w:p>
        </w:tc>
      </w:tr>
      <w:tr>
        <w:trPr/>
        <w:tc>
          <w:tcPr>
            <w:vAlign w:val="center"/>
          </w:tcPr>
          <w:p>
            <w:pPr>
              <w:pStyle w:val="Normal"/>
            </w:pPr>
            <w:r>
              <w:t xml:space="preserve">Opportunities for students to to be grouped for Math instruction based on academic levels.</w:t>
            </w:r>
          </w:p>
        </w:tc>
      </w:tr>
      <w:tr>
        <w:trPr/>
        <w:tc>
          <w:tcPr>
            <w:vAlign w:val="center"/>
          </w:tcPr>
          <w:p>
            <w:pPr>
              <w:pStyle w:val="Normal"/>
            </w:pPr>
            <w:r>
              <w:t xml:space="preserve">Implementation of a cohesive resource for Math instruction K-6.</w:t>
            </w:r>
          </w:p>
        </w:tc>
      </w:tr>
    </w:tbl>
    <w:p>
      <w:pPr>
        <w:pStyle w:val="Heading3"/>
      </w:pPr>
      <w:r>
        <w:t xml:space="preserve">Challenges</w:t>
      </w:r>
    </w:p>
    <w:tbl>
      <w:tblPr>
        <w:tblStyle w:val="TableGrid"/>
        <w:tblW w:w="5000" w:type="pct"/>
      </w:tblPr>
      <w:tblGrid>
        <w:gridCol/>
      </w:tblGrid>
      <w:tr>
        <w:trPr/>
        <w:tc>
          <w:tcPr>
            <w:vAlign w:val="center"/>
          </w:tcPr>
          <w:p>
            <w:pPr>
              <w:pStyle w:val="Normal"/>
            </w:pPr>
            <w:r>
              <w:t xml:space="preserve">Continued use of high quality Mathematics intervention systems to target instruction to learners' individual academic needs - currently in year 3 of implementation.</w:t>
            </w:r>
          </w:p>
        </w:tc>
      </w:tr>
      <w:tr>
        <w:trPr/>
        <w:tc>
          <w:tcPr>
            <w:vAlign w:val="center"/>
          </w:tcPr>
          <w:p>
            <w:pPr>
              <w:pStyle w:val="Normal"/>
            </w:pPr>
            <w:r>
              <w:t xml:space="preserve">Scheduling Title 1 paraprofessionals to support learners with the greatest needs.</w:t>
            </w:r>
          </w:p>
        </w:tc>
      </w:tr>
      <w:tr>
        <w:trPr/>
        <w:tc>
          <w:tcPr>
            <w:vAlign w:val="center"/>
          </w:tcPr>
          <w:p>
            <w:pPr>
              <w:pStyle w:val="Normal"/>
            </w:pPr>
            <w:r>
              <w:t xml:space="preserve">Systematic assessment for identifying math fluency needs.</w:t>
            </w:r>
          </w:p>
        </w:tc>
      </w:tr>
      <w:tr>
        <w:trPr/>
        <w:tc>
          <w:tcPr>
            <w:vAlign w:val="center"/>
          </w:tcPr>
          <w:p>
            <w:pPr>
              <w:pStyle w:val="Normal"/>
            </w:pPr>
            <w:r>
              <w:t xml:space="preserve">Limited time for Tier 2 Math interventions.</w:t>
            </w:r>
          </w:p>
        </w:tc>
      </w:tr>
    </w:tbl>
    <w:p>
      <w:pPr>
        <w:pStyle w:val="Heading2"/>
      </w:pPr>
      <w:r>
        <w:t xml:space="preserve">Science, Technology, and Engineering Education</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Science - PSSA</w:t>
            </w:r>
          </w:p>
        </w:tc>
        <w:tc>
          <w:tcPr>
            <w:vAlign w:val="center"/>
          </w:tcPr>
          <w:p>
            <w:pPr>
              <w:pStyle w:val="Normal"/>
            </w:pPr>
            <w:r>
              <w:t xml:space="preserve">Due to full implementation of STEELS, PSSA Science scores are on a delayed release and will not be available until after this plan is due to be submitted.</w:t>
            </w:r>
          </w:p>
        </w:tc>
      </w:tr>
    </w:tbl>
    <w:p>
      <w:pPr>
        <w:pStyle w:val="Heading2"/>
      </w:pPr>
      <w:r>
        <w:t xml:space="preserve">Science, Technology, and Engineering Education Summary</w:t>
      </w:r>
    </w:p>
    <w:p>
      <w:pPr>
        <w:pStyle w:val="Heading3"/>
      </w:pPr>
      <w:r>
        <w:t xml:space="preserve">Strengths</w:t>
      </w:r>
    </w:p>
    <w:tbl>
      <w:tblPr>
        <w:tblStyle w:val="TableGrid"/>
        <w:tblW w:w="5000" w:type="pct"/>
      </w:tblPr>
      <w:tblGrid>
        <w:gridCol/>
      </w:tblGrid>
      <w:tr>
        <w:trPr/>
        <w:tc>
          <w:tcPr>
            <w:vAlign w:val="center"/>
          </w:tcPr>
          <w:p>
            <w:pPr>
              <w:pStyle w:val="Normal"/>
            </w:pPr>
            <w:r>
              <w:t xml:space="preserve">Implementation of Science resource grades K-5 which aligns to PA STEELS.</w:t>
            </w:r>
          </w:p>
        </w:tc>
      </w:tr>
      <w:tr>
        <w:trPr/>
        <w:tc>
          <w:tcPr>
            <w:vAlign w:val="center"/>
          </w:tcPr>
          <w:p>
            <w:pPr>
              <w:pStyle w:val="Normal"/>
            </w:pPr>
            <w:r>
              <w:t xml:space="preserve">Implementation of Science resource for grade 6 which aligns to PA STEELS and is consistent with the resource being used for grades 7 &amp; 8.</w:t>
            </w:r>
          </w:p>
        </w:tc>
      </w:tr>
    </w:tbl>
    <w:p>
      <w:pPr>
        <w:pStyle w:val="Heading3"/>
      </w:pPr>
      <w:r>
        <w:t xml:space="preserve">Challenges</w:t>
      </w:r>
    </w:p>
    <w:tbl>
      <w:tblPr>
        <w:tblStyle w:val="TableGrid"/>
        <w:tblW w:w="5000" w:type="pct"/>
      </w:tblPr>
      <w:tblGrid>
        <w:gridCol/>
      </w:tblGrid>
      <w:tr>
        <w:trPr/>
        <w:tc>
          <w:tcPr>
            <w:vAlign w:val="center"/>
          </w:tcPr>
          <w:p>
            <w:pPr>
              <w:pStyle w:val="Normal"/>
            </w:pPr>
            <w:r>
              <w:t xml:space="preserve">Scheduling to allow adequate time to Science instruction.</w:t>
            </w:r>
          </w:p>
        </w:tc>
      </w:tr>
    </w:tbl>
    <w:p>
      <w:pPr>
        <w:pStyle w:val="Normal"/>
      </w:pPr>
      <w:r>
        <w:br w:type="page"/>
      </w:r>
      <w:r>
        <w:lastRenderedPageBreak/>
      </w:r>
    </w:p>
    <w:p>
      <w:pPr>
        <w:pStyle w:val="Heading1"/>
      </w:pPr>
      <w:r>
        <w:t xml:space="preserve">Related Academics</w:t>
      </w:r>
    </w:p>
    <w:p>
      <w:pPr>
        <w:pStyle w:val="Heading2"/>
      </w:pPr>
      <w:r>
        <w:t xml:space="preserve">Career Readiness</w:t>
      </w:r>
    </w:p>
    <w:tbl>
      <w:tblPr>
        <w:tblStyle w:val="TableGrid"/>
        <w:tblW w:w="5000" w:type="pct"/>
      </w:tblPr>
      <w:tblGrid>
        <w:gridCol/>
        <w:gridCol/>
      </w:tblGrid>
      <w:tr>
        <w:trPr/>
        <w:tc>
          <w:tcPr>
            <w:vAlign w:val="center"/>
          </w:tcPr>
          <w:p>
            <w:pPr>
              <w:pStyle w:val="Normal"/>
            </w:pPr>
            <w:r>
              <w:rPr>
                <w:b/>
              </w:rPr>
              <w:t xml:space="preserve">Data</w:t>
            </w:r>
          </w:p>
        </w:tc>
        <w:tc>
          <w:tcPr>
            <w:vAlign w:val="center"/>
          </w:tcPr>
          <w:p>
            <w:pPr>
              <w:pStyle w:val="Normal"/>
            </w:pPr>
            <w:r>
              <w:rPr>
                <w:b/>
              </w:rPr>
              <w:t xml:space="preserve">Comments/Notable Observations</w:t>
            </w:r>
          </w:p>
        </w:tc>
      </w:tr>
      <w:tr>
        <w:trPr/>
        <w:tc>
          <w:tcPr>
            <w:vAlign w:val="center"/>
          </w:tcPr>
          <w:p>
            <w:pPr>
              <w:pStyle w:val="Normal"/>
            </w:pPr>
            <w:r>
              <w:t xml:space="preserve">Career Readiness</w:t>
            </w:r>
          </w:p>
        </w:tc>
        <w:tc>
          <w:tcPr>
            <w:vAlign w:val="center"/>
          </w:tcPr>
          <w:p>
            <w:pPr>
              <w:pStyle w:val="Normal"/>
            </w:pPr>
            <w:r>
              <w:t xml:space="preserve">100% of students met the Career Readiness Benchmark</w:t>
            </w:r>
          </w:p>
        </w:tc>
      </w:tr>
    </w:tbl>
    <w:p>
      <w:pPr>
        <w:pStyle w:val="Heading2"/>
      </w:pPr>
      <w:r>
        <w:t xml:space="preserve">Career and Technical Education (CTE) Programs</w:t>
      </w:r>
    </w:p>
    <w:p>
      <w:pPr>
        <w:pStyle w:val="Normal"/>
      </w:pPr>
      <w:r>
        <w:rPr>
          <w:b/>
        </w:rPr>
        <w:t xml:space="preserve">True</w:t>
      </w:r>
      <w:r>
        <w:t xml:space="preserve"> Career and Technical Education (CTE) Programs Omit</w:t>
      </w:r>
    </w:p>
    <w:p>
      <w:pPr>
        <w:pStyle w:val="Heading2"/>
      </w:pPr>
      <w:r>
        <w:t xml:space="preserve">Arts and Humanities</w:t>
      </w:r>
    </w:p>
    <w:p>
      <w:pPr>
        <w:pStyle w:val="Normal"/>
      </w:pPr>
      <w:r>
        <w:rPr>
          <w:b/>
        </w:rPr>
        <w:t xml:space="preserve">True</w:t>
      </w:r>
      <w:r>
        <w:t xml:space="preserve"> Arts and Humanities Omit</w:t>
      </w:r>
    </w:p>
    <w:p>
      <w:pPr>
        <w:pStyle w:val="Heading2"/>
      </w:pPr>
      <w:r>
        <w:t xml:space="preserve">Environment and Ecology</w:t>
      </w:r>
    </w:p>
    <w:p>
      <w:pPr>
        <w:pStyle w:val="Normal"/>
      </w:pPr>
      <w:r>
        <w:rPr>
          <w:b/>
        </w:rPr>
        <w:t xml:space="preserve">True</w:t>
      </w:r>
      <w:r>
        <w:t xml:space="preserve"> Environment and Ecology Omit</w:t>
      </w:r>
    </w:p>
    <w:p>
      <w:pPr>
        <w:pStyle w:val="Heading2"/>
      </w:pPr>
      <w:r>
        <w:t xml:space="preserve">Family and Consumer Sciences</w:t>
      </w:r>
    </w:p>
    <w:p>
      <w:pPr>
        <w:pStyle w:val="Normal"/>
      </w:pPr>
      <w:r>
        <w:rPr>
          <w:b/>
        </w:rPr>
        <w:t xml:space="preserve">True</w:t>
      </w:r>
      <w:r>
        <w:t xml:space="preserve"> Family and Consumer Sciences Omit</w:t>
      </w:r>
    </w:p>
    <w:p>
      <w:pPr>
        <w:pStyle w:val="Heading2"/>
      </w:pPr>
      <w:r>
        <w:t xml:space="preserve">Health, Safety, and Physical Education</w:t>
      </w:r>
    </w:p>
    <w:p>
      <w:pPr>
        <w:pStyle w:val="Normal"/>
      </w:pPr>
      <w:r>
        <w:rPr>
          <w:b/>
        </w:rPr>
        <w:t xml:space="preserve">True</w:t>
      </w:r>
      <w:r>
        <w:t xml:space="preserve"> Health, Safety, and Physical Education Omit</w:t>
      </w:r>
    </w:p>
    <w:p>
      <w:pPr>
        <w:pStyle w:val="Heading2"/>
      </w:pPr>
      <w:r>
        <w:t xml:space="preserve">Social Studies (Civics and Government, Economics, Geography, History)</w:t>
      </w:r>
    </w:p>
    <w:p>
      <w:pPr>
        <w:pStyle w:val="Normal"/>
      </w:pPr>
      <w:r>
        <w:rPr>
          <w:b/>
        </w:rPr>
        <w:t xml:space="preserve">True</w:t>
      </w:r>
      <w:r>
        <w:t xml:space="preserve"> Social Studies (Civics and Government, Economics, Geography, History) Omit</w:t>
      </w:r>
    </w:p>
    <w:p>
      <w:pPr>
        <w:pStyle w:val="Heading2"/>
      </w:pPr>
      <w:r>
        <w:t xml:space="preserve">Summary</w:t>
      </w:r>
    </w:p>
    <w:p>
      <w:pPr>
        <w:pStyle w:val="Heading3"/>
      </w:pPr>
      <w:r>
        <w:t xml:space="preserve">Strengths</w:t>
      </w:r>
    </w:p>
    <w:p>
      <w:pPr>
        <w:pStyle w:val="Normal"/>
      </w:pPr>
      <w:r>
        <w:t xml:space="preserve">Review the comments and notable observations listed previously and record 2-5 strengths which have had the most impact in improving your most pressing challenges.</w:t>
      </w:r>
    </w:p>
    <w:tbl>
      <w:tblPr>
        <w:tblStyle w:val="TableGrid"/>
        <w:tblW w:w="5000" w:type="pct"/>
      </w:tblPr>
      <w:tblGrid>
        <w:gridCol/>
      </w:tblGrid>
      <w:tr>
        <w:trPr/>
        <w:tc>
          <w:tcPr>
            <w:vAlign w:val="center"/>
          </w:tcPr>
          <w:p>
            <w:pPr>
              <w:pStyle w:val="Normal"/>
            </w:pPr>
            <w:r>
              <w:t xml:space="preserve">The school counselor completes activities which support career readiness with all students .</w:t>
            </w:r>
          </w:p>
        </w:tc>
      </w:tr>
      <w:tr>
        <w:trPr/>
        <w:tc>
          <w:tcPr>
            <w:vAlign w:val="center"/>
          </w:tcPr>
          <w:p>
            <w:pPr>
              <w:pStyle w:val="Normal"/>
            </w:pPr>
            <w:r>
              <w:t xml:space="preserve">Content area teachers provided lessons and activities which support career readiness.</w:t>
            </w:r>
          </w:p>
        </w:tc>
      </w:tr>
      <w:tr>
        <w:trPr/>
        <w:tc>
          <w:tcPr>
            <w:vAlign w:val="center"/>
          </w:tcPr>
          <w:p>
            <w:pPr>
              <w:pStyle w:val="Normal"/>
            </w:pPr>
            <w:r>
              <w:t xml:space="preserve">Virtual and in-person field experiences are provided to students which enhance their understanding of career opportunities.</w:t>
            </w:r>
          </w:p>
        </w:tc>
      </w:tr>
      <w:tr>
        <w:trPr/>
        <w:tc>
          <w:tcPr>
            <w:vAlign w:val="center"/>
          </w:tcPr>
          <w:p>
            <w:pPr>
              <w:pStyle w:val="Normal"/>
            </w:pPr>
            <w:r>
              <w:t xml:space="preserve">Students in 5th and 6th grade participated in BizTown through Jr. Achievement to increase their knowledge of various careers.</w:t>
            </w:r>
          </w:p>
        </w:tc>
      </w:tr>
    </w:tbl>
    <w:p>
      <w:pPr>
        <w:pStyle w:val="Heading3"/>
      </w:pPr>
      <w:r>
        <w:t xml:space="preserve">Challenges</w:t>
      </w:r>
    </w:p>
    <w:p>
      <w:pPr>
        <w:pStyle w:val="Normal"/>
      </w:pPr>
      <w:r>
        <w:t xml:space="preserve">Review the comments and notable observations listed previously and record 2-5 Challenges which if improved would have the most impact in achieving your Mission and Vision.</w:t>
      </w:r>
    </w:p>
    <w:tbl>
      <w:tblPr>
        <w:tblStyle w:val="TableGrid"/>
        <w:tblW w:w="5000" w:type="pct"/>
      </w:tblPr>
      <w:tblGrid>
        <w:gridCol/>
      </w:tblGrid>
      <w:tr>
        <w:trPr/>
        <w:tc>
          <w:tcPr>
            <w:vAlign w:val="center"/>
          </w:tcPr>
          <w:p>
            <w:pPr>
              <w:pStyle w:val="Normal"/>
            </w:pPr>
            <w:r>
              <w:t xml:space="preserve">Funding and time impede the amount of field experiences that we are able to offer to our learners to expand their understanding of career opportunities.</w:t>
            </w:r>
          </w:p>
        </w:tc>
      </w:tr>
      <w:tr>
        <w:trPr/>
        <w:tc>
          <w:tcPr>
            <w:vAlign w:val="center"/>
          </w:tcPr>
          <w:p>
            <w:pPr>
              <w:pStyle w:val="Normal"/>
            </w:pPr>
            <w:r>
              <w:t xml:space="preserve">When students move into our building late in the school year, it can be difficult to compile the needed artifacts if their previous school has not shared any artifacts.</w:t>
            </w:r>
          </w:p>
        </w:tc>
      </w:tr>
    </w:tbl>
    <w:p>
      <w:pPr>
        <w:pStyle w:val="Normal"/>
      </w:pPr>
      <w:r>
        <w:br w:type="page"/>
      </w:r>
      <w:r>
        <w:lastRenderedPageBreak/>
      </w:r>
    </w:p>
    <w:p>
      <w:pPr>
        <w:pStyle w:val="Heading1"/>
      </w:pPr>
      <w:r>
        <w:t xml:space="preserve">Equity Considerations</w:t>
      </w:r>
    </w:p>
    <w:p>
      <w:pPr>
        <w:pStyle w:val="Heading2"/>
      </w:pPr>
      <w:r>
        <w:t xml:space="preserve">English Learners</w:t>
      </w:r>
    </w:p>
    <w:p>
      <w:pPr>
        <w:pStyle w:val="Normal"/>
      </w:pPr>
      <w:r>
        <w:rPr>
          <w:b/>
        </w:rPr>
        <w:t xml:space="preserve">False</w:t>
      </w:r>
      <w:r>
        <w:t xml:space="preserve"> This student group is not a focus in this plan.</w:t>
      </w:r>
    </w:p>
    <w:tbl>
      <w:tblPr>
        <w:tblStyle w:val="TableGrid"/>
        <w:tblW w:w="5000" w:type="pct"/>
      </w:tblPr>
      <w:tblGrid>
        <w:gridCol/>
        <w:gridCol/>
      </w:tblGrid>
      <w:tr>
        <w:trPr/>
        <w:tc>
          <w:tcPr>
            <w:vAlign w:val="center"/>
          </w:tcPr>
          <w:p>
            <w:pPr>
              <w:pStyle w:val="Normal"/>
            </w:pPr>
            <w:r>
              <w:t xml:space="preserve">Data</w:t>
            </w:r>
          </w:p>
        </w:tc>
        <w:tc>
          <w:tcPr>
            <w:vAlign w:val="center"/>
          </w:tcPr>
          <w:p>
            <w:pPr>
              <w:pStyle w:val="Normal"/>
            </w:pPr>
            <w:r>
              <w:t xml:space="preserve">Comments/Notable Observations</w:t>
            </w:r>
          </w:p>
        </w:tc>
      </w:tr>
      <w:tr>
        <w:trPr/>
        <w:tc>
          <w:tcPr>
            <w:vAlign w:val="center"/>
          </w:tcPr>
          <w:p>
            <w:pPr>
              <w:pStyle w:val="Normal"/>
            </w:pPr>
            <w:r>
              <w:t xml:space="preserve">WIDA</w:t>
            </w:r>
          </w:p>
        </w:tc>
        <w:tc>
          <w:tcPr>
            <w:vAlign w:val="center"/>
          </w:tcPr>
          <w:p>
            <w:pPr>
              <w:pStyle w:val="Normal"/>
            </w:pPr>
            <w:r>
              <w:t xml:space="preserve">Provisional WIDA scores indicate that ELLs are making progress in learning English.</w:t>
            </w:r>
          </w:p>
        </w:tc>
      </w:tr>
      <w:tr>
        <w:trPr/>
        <w:tc>
          <w:tcPr>
            <w:vAlign w:val="center"/>
          </w:tcPr>
          <w:p>
            <w:pPr>
              <w:pStyle w:val="Normal"/>
            </w:pPr>
            <w:r>
              <w:t xml:space="preserve">WIDA</w:t>
            </w:r>
          </w:p>
        </w:tc>
        <w:tc>
          <w:tcPr>
            <w:vAlign w:val="center"/>
          </w:tcPr>
          <w:p>
            <w:pPr>
              <w:pStyle w:val="Normal"/>
            </w:pPr>
            <w:r>
              <w:t xml:space="preserve">An increase of 31% of students scored in the Expanding range from the 2024/2025 school year to the 2025/2026 school year.</w:t>
            </w:r>
          </w:p>
        </w:tc>
      </w:tr>
      <w:tr>
        <w:trPr/>
        <w:tc>
          <w:tcPr>
            <w:vAlign w:val="center"/>
          </w:tcPr>
          <w:p>
            <w:pPr>
              <w:pStyle w:val="Normal"/>
            </w:pPr>
            <w:r>
              <w:t xml:space="preserve">WIDA</w:t>
            </w:r>
          </w:p>
        </w:tc>
        <w:tc>
          <w:tcPr>
            <w:vAlign w:val="center"/>
          </w:tcPr>
          <w:p>
            <w:pPr>
              <w:pStyle w:val="Normal"/>
            </w:pPr>
            <w:r>
              <w:t xml:space="preserve">Four students met the expectations to exit the English Language Development program at the end of the 2025/2026 school year.</w:t>
            </w:r>
          </w:p>
        </w:tc>
      </w:tr>
    </w:tbl>
    <w:p>
      <w:pPr>
        <w:pStyle w:val="Heading2"/>
      </w:pPr>
      <w:r>
        <w:t xml:space="preserve">Students with Disabilities</w:t>
      </w:r>
    </w:p>
    <w:p>
      <w:pPr>
        <w:pStyle w:val="Normal"/>
      </w:pPr>
      <w:r>
        <w:rPr>
          <w:b/>
        </w:rPr>
        <w:t xml:space="preserve">True</w:t>
      </w:r>
      <w:r>
        <w:t xml:space="preserve"> This student group is not a focus in this plan.</w:t>
      </w:r>
    </w:p>
    <w:p>
      <w:pPr>
        <w:pStyle w:val="Heading2"/>
      </w:pPr>
      <w:r>
        <w:t xml:space="preserve">Students Considered Economically Disadvantaged</w:t>
      </w:r>
    </w:p>
    <w:p>
      <w:pPr>
        <w:pStyle w:val="Normal"/>
      </w:pPr>
      <w:r>
        <w:rPr>
          <w:b/>
        </w:rPr>
        <w:t xml:space="preserve">True</w:t>
      </w:r>
      <w:r>
        <w:t xml:space="preserve"> This student group is not a focus in this plan.</w:t>
      </w:r>
    </w:p>
    <w:p>
      <w:pPr>
        <w:pStyle w:val="Heading2"/>
      </w:pPr>
      <w:r>
        <w:t xml:space="preserve">Student Groups by Race/Ethnicity</w:t>
      </w:r>
    </w:p>
    <w:p>
      <w:pPr>
        <w:pStyle w:val="Normal"/>
      </w:pPr>
      <w:r>
        <w:rPr>
          <w:b/>
        </w:rPr>
        <w:t xml:space="preserve">False</w:t>
      </w:r>
      <w:r>
        <w:t xml:space="preserve"> This student group is not a focus in this plan.</w:t>
      </w:r>
    </w:p>
    <w:tbl>
      <w:tblPr>
        <w:tblStyle w:val="TableGrid"/>
        <w:tblW w:w="5000" w:type="pct"/>
      </w:tblPr>
      <w:tblGrid>
        <w:gridCol/>
        <w:gridCol/>
      </w:tblGrid>
      <w:tr>
        <w:trPr/>
        <w:tc>
          <w:tcPr>
            <w:vAlign w:val="center"/>
          </w:tcPr>
          <w:p>
            <w:pPr>
              <w:pStyle w:val="Normal"/>
            </w:pPr>
            <w:r>
              <w:t xml:space="preserve">Student Groups</w:t>
            </w:r>
          </w:p>
        </w:tc>
        <w:tc>
          <w:tcPr>
            <w:vAlign w:val="center"/>
          </w:tcPr>
          <w:p>
            <w:pPr>
              <w:pStyle w:val="Normal"/>
            </w:pPr>
            <w:r>
              <w:t xml:space="preserve">Comments/Notable Observations</w:t>
            </w:r>
          </w:p>
        </w:tc>
      </w:tr>
      <w:tr>
        <w:trPr/>
        <w:tc>
          <w:tcPr>
            <w:vAlign w:val="center"/>
          </w:tcPr>
          <w:p>
            <w:pPr>
              <w:pStyle w:val="Normal"/>
            </w:pPr>
            <w:r>
              <w:t xml:space="preserve">Hispanic</w:t>
            </w:r>
          </w:p>
        </w:tc>
        <w:tc>
          <w:tcPr>
            <w:vAlign w:val="center"/>
          </w:tcPr>
          <w:p>
            <w:pPr>
              <w:pStyle w:val="Normal"/>
            </w:pPr>
            <w:r>
              <w:t xml:space="preserve">60% of this student group met their Growth Goal on the English Language Arts MAP assessment.</w:t>
            </w:r>
          </w:p>
        </w:tc>
      </w:tr>
    </w:tbl>
    <w:p>
      <w:pPr>
        <w:pStyle w:val="Heading2"/>
      </w:pPr>
      <w:r>
        <w:t xml:space="preserve">Summary</w:t>
      </w:r>
    </w:p>
    <w:p>
      <w:pPr>
        <w:pStyle w:val="Heading3"/>
      </w:pPr>
      <w:r>
        <w:t xml:space="preserve">Strengths</w:t>
      </w:r>
    </w:p>
    <w:p>
      <w:pPr>
        <w:pStyle w:val="Normal"/>
      </w:pPr>
      <w:r>
        <w:t xml:space="preserve">Review the comments and notable observations listed previously and record the 2-5 strengths which have had the most impact in improving your most pressing challenges.</w:t>
      </w:r>
    </w:p>
    <w:tbl>
      <w:tblPr>
        <w:tblStyle w:val="TableGrid"/>
        <w:tblW w:w="5000" w:type="pct"/>
      </w:tblPr>
      <w:tblGrid>
        <w:gridCol/>
      </w:tblGrid>
      <w:tr>
        <w:trPr/>
        <w:tc>
          <w:tcPr>
            <w:tcW w:w="5000" w:type="pct"/>
            <w:vAlign w:val="center"/>
          </w:tcPr>
          <w:p>
            <w:pPr>
              <w:pStyle w:val="Normal"/>
            </w:pPr>
            <w:r>
              <w:t xml:space="preserve">Provisional WIDA scores indicate that ELLs are making progress in learning English.</w:t>
            </w:r>
          </w:p>
        </w:tc>
      </w:tr>
      <w:tr>
        <w:trPr/>
        <w:tc>
          <w:tcPr>
            <w:tcW w:w="5000" w:type="pct"/>
            <w:vAlign w:val="center"/>
          </w:tcPr>
          <w:p>
            <w:pPr>
              <w:pStyle w:val="Normal"/>
            </w:pPr>
            <w:r>
              <w:t xml:space="preserve">The overall building schedule allows dedicated time for intervention and enrichment for students in all grade levels.</w:t>
            </w:r>
          </w:p>
        </w:tc>
      </w:tr>
      <w:tr>
        <w:trPr/>
        <w:tc>
          <w:tcPr>
            <w:tcW w:w="5000" w:type="pct"/>
            <w:vAlign w:val="center"/>
          </w:tcPr>
          <w:p>
            <w:pPr>
              <w:pStyle w:val="Normal"/>
            </w:pPr>
            <w:r>
              <w:t xml:space="preserve">Four students exited the English Language Development program based on 2025/2026 WIDA scores.</w:t>
            </w:r>
          </w:p>
        </w:tc>
      </w:tr>
      <w:tr>
        <w:trPr/>
        <w:tc>
          <w:tcPr>
            <w:tcW w:w="5000" w:type="pct"/>
            <w:vAlign w:val="center"/>
          </w:tcPr>
          <w:p/>
        </w:tc>
      </w:tr>
      <w:tr>
        <w:trPr/>
        <w:tc>
          <w:tcPr>
            <w:tcW w:w="5000" w:type="pct"/>
            <w:vAlign w:val="center"/>
          </w:tcPr>
          <w:p/>
        </w:tc>
      </w:tr>
    </w:tbl>
    <w:p>
      <w:pPr>
        <w:pStyle w:val="Heading3"/>
      </w:pPr>
      <w:r>
        <w:t xml:space="preserve">Challenges</w:t>
      </w:r>
    </w:p>
    <w:p>
      <w:pPr>
        <w:pStyle w:val="Normal"/>
      </w:pPr>
      <w:r>
        <w:t xml:space="preserve">Review the comments and notable observations listed previously and record the 2-5 Challenges which if improved would have the most impact in achieving your Mission and Vision.</w:t>
      </w:r>
    </w:p>
    <w:tbl>
      <w:tblPr>
        <w:tblStyle w:val="TableGrid"/>
        <w:tblW w:w="5000" w:type="pct"/>
      </w:tblPr>
      <w:tblGrid>
        <w:gridCol/>
      </w:tblGrid>
      <w:tr>
        <w:trPr/>
        <w:tc>
          <w:tcPr>
            <w:tcW w:w="5000" w:type="pct"/>
            <w:vAlign w:val="center"/>
          </w:tcPr>
          <w:p>
            <w:pPr>
              <w:pStyle w:val="Normal"/>
            </w:pPr>
            <w:r>
              <w:t xml:space="preserve">Hispanic learners receive additional support in ELA from our English Language Development teacher. We do not have this level of support for Math.</w:t>
            </w:r>
          </w:p>
        </w:tc>
      </w:tr>
      <w:tr>
        <w:trPr/>
        <w:tc>
          <w:tcPr>
            <w:tcW w:w="5000" w:type="pct"/>
            <w:vAlign w:val="center"/>
          </w:tcPr>
          <w:p>
            <w:pPr>
              <w:pStyle w:val="Normal"/>
            </w:pPr>
            <w:r>
              <w:t xml:space="preserve">Our schedule does not allow sufficient time for math vocabulary development.</w:t>
            </w:r>
          </w:p>
        </w:tc>
      </w:tr>
      <w:tr>
        <w:trPr/>
        <w:tc>
          <w:tcPr>
            <w:tcW w:w="5000" w:type="pct"/>
            <w:vAlign w:val="center"/>
          </w:tcPr>
          <w:p>
            <w:pPr>
              <w:pStyle w:val="Normal"/>
            </w:pPr>
            <w:r>
              <w:t xml:space="preserve">Providing dedicated WIN times has been positive for adding additional support and enrichment for students, but creating this time shortened the amount of time available for Core instruction.</w:t>
            </w:r>
          </w:p>
        </w:tc>
      </w:tr>
      <w:tr>
        <w:trPr/>
        <w:tc>
          <w:tcPr>
            <w:tcW w:w="5000" w:type="pct"/>
            <w:vAlign w:val="center"/>
          </w:tcPr>
          <w:p/>
        </w:tc>
      </w:tr>
      <w:tr>
        <w:trPr/>
        <w:tc>
          <w:tcPr>
            <w:tcW w:w="5000" w:type="pct"/>
            <w:vAlign w:val="center"/>
          </w:tcPr>
          <w:p/>
        </w:tc>
      </w:tr>
    </w:tbl>
    <w:p>
      <w:pPr>
        <w:pStyle w:val="Normal"/>
      </w:pPr>
      <w:r>
        <w:br w:type="page"/>
      </w:r>
      <w:r>
        <w:lastRenderedPageBreak/>
      </w:r>
    </w:p>
    <w:p>
      <w:pPr>
        <w:pStyle w:val="Heading1"/>
      </w:pPr>
      <w:r>
        <w:t xml:space="preserve">Summary of Strengths and Challenges from the Needs Assessment</w:t>
      </w:r>
    </w:p>
    <w:p>
      <w:pPr>
        <w:pStyle w:val="Heading2"/>
      </w:pPr>
      <w:r>
        <w:t xml:space="preserve">Strengths</w:t>
      </w:r>
    </w:p>
    <w:p>
      <w:pPr>
        <w:pStyle w:val="Normal"/>
      </w:pPr>
      <w:r>
        <w:t xml:space="preserve">Examine the Summary of Strengths. Identify the strengths that are most positively contributing to achievement of your mission and vision. Check the box to the right of these identified strength(s).</w:t>
      </w:r>
    </w:p>
    <w:tbl>
      <w:tblPr>
        <w:tblStyle w:val="TableGrid"/>
        <w:tblW w:w="5000" w:type="pct"/>
      </w:tblPr>
      <w:tblGrid>
        <w:gridCol/>
        <w:gridCol/>
      </w:tblGrid>
      <w:tr>
        <w:trPr/>
        <w:tc>
          <w:tcPr>
            <w:tcW w:w="4000" w:type="pct"/>
            <w:vAlign w:val="center"/>
          </w:tcPr>
          <w:p>
            <w:pPr>
              <w:pStyle w:val="Normal"/>
            </w:pPr>
            <w:r>
              <w:t xml:space="preserve">Strength</w:t>
            </w:r>
          </w:p>
        </w:tc>
        <w:tc>
          <w:tcPr>
            <w:vAlign w:val="center"/>
          </w:tcPr>
          <w:p>
            <w:pPr>
              <w:pStyle w:val="Normal"/>
            </w:pPr>
            <w:r>
              <w:t xml:space="preserve">Check for Consideration in Plan</w:t>
            </w:r>
          </w:p>
        </w:tc>
      </w:tr>
      <w:tr>
        <w:trPr/>
        <w:tc>
          <w:tcPr>
            <w:vAlign w:val="center"/>
          </w:tcPr>
          <w:p>
            <w:pPr>
              <w:pStyle w:val="Normal"/>
            </w:pPr>
            <w:r>
              <w:t xml:space="preserve">100% of our students met compliance with Career Standards.</w:t>
            </w:r>
          </w:p>
        </w:tc>
        <w:tc>
          <w:tcPr>
            <w:vAlign w:val="center"/>
          </w:tcPr>
          <w:p>
            <w:pPr>
              <w:pStyle w:val="Normal"/>
            </w:pPr>
            <w:r>
              <w:t xml:space="preserve">False</w:t>
            </w:r>
          </w:p>
        </w:tc>
      </w:tr>
      <w:tr>
        <w:trPr/>
        <w:tc>
          <w:tcPr>
            <w:vAlign w:val="center"/>
          </w:tcPr>
          <w:p>
            <w:pPr>
              <w:pStyle w:val="Normal"/>
            </w:pPr>
            <w:r>
              <w:t xml:space="preserve">50.4% of white learners scored proficient or advanced on their ELA PSSA. This is above the school and statewide average.</w:t>
            </w:r>
          </w:p>
        </w:tc>
        <w:tc>
          <w:tcPr>
            <w:vAlign w:val="center"/>
          </w:tcPr>
          <w:p>
            <w:pPr>
              <w:pStyle w:val="Normal"/>
            </w:pPr>
            <w:r>
              <w:t xml:space="preserve">False</w:t>
            </w:r>
          </w:p>
        </w:tc>
      </w:tr>
      <w:tr>
        <w:trPr/>
        <w:tc>
          <w:tcPr>
            <w:vAlign w:val="center"/>
          </w:tcPr>
          <w:p>
            <w:pPr>
              <w:pStyle w:val="Normal"/>
            </w:pPr>
            <w:r>
              <w:t xml:space="preserve">There was a 6% increase in the number of Economically Disadvantaged students who scored Proficient and Advanced on the Mathematics PSSA from the 23/24 school year to the 24/25 school year.</w:t>
            </w:r>
          </w:p>
        </w:tc>
        <w:tc>
          <w:tcPr>
            <w:vAlign w:val="center"/>
          </w:tcPr>
          <w:p>
            <w:pPr>
              <w:pStyle w:val="Normal"/>
            </w:pPr>
            <w:r>
              <w:t xml:space="preserve">False</w:t>
            </w:r>
          </w:p>
        </w:tc>
      </w:tr>
      <w:tr>
        <w:trPr/>
        <w:tc>
          <w:tcPr>
            <w:vAlign w:val="center"/>
          </w:tcPr>
          <w:p>
            <w:pPr>
              <w:pStyle w:val="Normal"/>
            </w:pPr>
            <w:r>
              <w:t xml:space="preserve">Overall, the students met the standard for growth in Mathematics, with a score of 71.</w:t>
            </w:r>
          </w:p>
        </w:tc>
        <w:tc>
          <w:tcPr>
            <w:vAlign w:val="center"/>
          </w:tcPr>
          <w:p>
            <w:pPr>
              <w:pStyle w:val="Normal"/>
            </w:pPr>
            <w:r>
              <w:t xml:space="preserve">True</w:t>
            </w:r>
          </w:p>
        </w:tc>
      </w:tr>
      <w:tr>
        <w:trPr/>
        <w:tc>
          <w:tcPr>
            <w:vAlign w:val="center"/>
          </w:tcPr>
          <w:p>
            <w:pPr>
              <w:pStyle w:val="Normal"/>
            </w:pPr>
            <w:r>
              <w:t xml:space="preserve">The Economically Disadvantaged group met the growth goal on the ELA PSSA.</w:t>
            </w:r>
          </w:p>
        </w:tc>
        <w:tc>
          <w:tcPr>
            <w:vAlign w:val="center"/>
          </w:tcPr>
          <w:p>
            <w:pPr>
              <w:pStyle w:val="Normal"/>
            </w:pPr>
            <w:r>
              <w:t xml:space="preserve">False</w:t>
            </w:r>
          </w:p>
        </w:tc>
      </w:tr>
      <w:tr>
        <w:trPr/>
        <w:tc>
          <w:tcPr>
            <w:vAlign w:val="center"/>
          </w:tcPr>
          <w:p>
            <w:pPr>
              <w:pStyle w:val="Normal"/>
            </w:pPr>
            <w:r>
              <w:t xml:space="preserve">The Economically Disadvantaged subgroup met the goal for growth on the Mathematics PSSA.</w:t>
            </w:r>
          </w:p>
        </w:tc>
        <w:tc>
          <w:tcPr>
            <w:vAlign w:val="center"/>
          </w:tcPr>
          <w:p>
            <w:pPr>
              <w:pStyle w:val="Normal"/>
            </w:pPr>
            <w:r>
              <w:t xml:space="preserve">False</w:t>
            </w:r>
          </w:p>
        </w:tc>
      </w:tr>
      <w:tr>
        <w:trPr/>
        <w:tc>
          <w:tcPr>
            <w:vAlign w:val="center"/>
          </w:tcPr>
          <w:p>
            <w:pPr>
              <w:pStyle w:val="Normal"/>
            </w:pPr>
            <w:r>
              <w:t xml:space="preserve">The Students with Disabilities subgroup met the goal for growth on the Mathematics PSSA.</w:t>
            </w:r>
          </w:p>
        </w:tc>
        <w:tc>
          <w:tcPr>
            <w:vAlign w:val="center"/>
          </w:tcPr>
          <w:p>
            <w:pPr>
              <w:pStyle w:val="Normal"/>
            </w:pPr>
            <w:r>
              <w:t xml:space="preserve">False</w:t>
            </w:r>
          </w:p>
        </w:tc>
      </w:tr>
      <w:tr>
        <w:trPr/>
        <w:tc>
          <w:tcPr>
            <w:vAlign w:val="center"/>
          </w:tcPr>
          <w:p>
            <w:pPr>
              <w:pStyle w:val="Normal"/>
            </w:pPr>
            <w:r>
              <w:t xml:space="preserve">Attendance for the Hispanic population was 95.2%. This is an increase from the previous year.</w:t>
            </w:r>
          </w:p>
        </w:tc>
        <w:tc>
          <w:tcPr>
            <w:vAlign w:val="center"/>
          </w:tcPr>
          <w:p>
            <w:pPr>
              <w:pStyle w:val="Normal"/>
            </w:pPr>
            <w:r>
              <w:t xml:space="preserve">False</w:t>
            </w:r>
          </w:p>
        </w:tc>
      </w:tr>
      <w:tr>
        <w:trPr/>
        <w:tc>
          <w:tcPr>
            <w:vAlign w:val="center"/>
          </w:tcPr>
          <w:p>
            <w:pPr>
              <w:pStyle w:val="Normal"/>
            </w:pPr>
            <w:r>
              <w:t xml:space="preserve">Although attendance for Economically Disadvantaged subgroup was below the building average, there was an increase in 1.5% from the previous year.</w:t>
            </w:r>
          </w:p>
        </w:tc>
        <w:tc>
          <w:tcPr>
            <w:vAlign w:val="center"/>
          </w:tcPr>
          <w:p>
            <w:pPr>
              <w:pStyle w:val="Normal"/>
            </w:pPr>
            <w:r>
              <w:t xml:space="preserve">False</w:t>
            </w:r>
          </w:p>
        </w:tc>
      </w:tr>
      <w:tr>
        <w:trPr/>
        <w:tc>
          <w:tcPr>
            <w:vAlign w:val="center"/>
          </w:tcPr>
          <w:p>
            <w:pPr>
              <w:pStyle w:val="Normal"/>
            </w:pPr>
            <w:r>
              <w:t xml:space="preserve">The school counselor completes activities which support career readiness with all students .</w:t>
            </w:r>
          </w:p>
        </w:tc>
        <w:tc>
          <w:tcPr>
            <w:vAlign w:val="center"/>
          </w:tcPr>
          <w:p>
            <w:pPr>
              <w:pStyle w:val="Normal"/>
            </w:pPr>
            <w:r>
              <w:t xml:space="preserve">False</w:t>
            </w:r>
          </w:p>
        </w:tc>
      </w:tr>
      <w:tr>
        <w:trPr/>
        <w:tc>
          <w:tcPr>
            <w:vAlign w:val="center"/>
          </w:tcPr>
          <w:p>
            <w:pPr>
              <w:pStyle w:val="Normal"/>
            </w:pPr>
            <w:r>
              <w:t xml:space="preserve">Dedicated team of educators to focus on MTSS implementation, reviewing student data and analyzing individual student data to determine appropriate levels of academic support.</w:t>
            </w:r>
          </w:p>
        </w:tc>
        <w:tc>
          <w:tcPr>
            <w:vAlign w:val="center"/>
          </w:tcPr>
          <w:p>
            <w:pPr>
              <w:pStyle w:val="Normal"/>
            </w:pPr>
            <w:r>
              <w:t xml:space="preserve">True</w:t>
            </w:r>
          </w:p>
        </w:tc>
      </w:tr>
      <w:tr>
        <w:trPr/>
        <w:tc>
          <w:tcPr>
            <w:vAlign w:val="center"/>
          </w:tcPr>
          <w:p>
            <w:pPr>
              <w:pStyle w:val="Normal"/>
            </w:pPr>
            <w:r>
              <w:t xml:space="preserve">Dedicated team time for grade level planning of ELA instruction.</w:t>
            </w:r>
          </w:p>
        </w:tc>
        <w:tc>
          <w:tcPr>
            <w:vAlign w:val="center"/>
          </w:tcPr>
          <w:p>
            <w:pPr>
              <w:pStyle w:val="Normal"/>
            </w:pPr>
            <w:r>
              <w:t xml:space="preserve">False</w:t>
            </w:r>
          </w:p>
        </w:tc>
      </w:tr>
      <w:tr>
        <w:trPr/>
        <w:tc>
          <w:tcPr>
            <w:vAlign w:val="center"/>
          </w:tcPr>
          <w:p>
            <w:pPr>
              <w:pStyle w:val="Normal"/>
            </w:pPr>
            <w:r>
              <w:t xml:space="preserve">Opportunities for students to be grouped for skills instruction based on academic levels.</w:t>
            </w:r>
          </w:p>
        </w:tc>
        <w:tc>
          <w:tcPr>
            <w:vAlign w:val="center"/>
          </w:tcPr>
          <w:p>
            <w:pPr>
              <w:pStyle w:val="Normal"/>
            </w:pPr>
            <w:r>
              <w:t xml:space="preserve">False</w:t>
            </w:r>
          </w:p>
        </w:tc>
      </w:tr>
      <w:tr>
        <w:trPr/>
        <w:tc>
          <w:tcPr>
            <w:vAlign w:val="center"/>
          </w:tcPr>
          <w:p>
            <w:pPr>
              <w:pStyle w:val="Normal"/>
            </w:pPr>
            <w:r>
              <w:t xml:space="preserve">Continued implementation of a cohesive resource for ELA instruction K-6.</w:t>
            </w:r>
          </w:p>
        </w:tc>
        <w:tc>
          <w:tcPr>
            <w:vAlign w:val="center"/>
          </w:tcPr>
          <w:p>
            <w:pPr>
              <w:pStyle w:val="Normal"/>
            </w:pPr>
            <w:r>
              <w:t xml:space="preserve">True</w:t>
            </w:r>
          </w:p>
        </w:tc>
      </w:tr>
      <w:tr>
        <w:trPr/>
        <w:tc>
          <w:tcPr>
            <w:vAlign w:val="center"/>
          </w:tcPr>
          <w:p>
            <w:pPr>
              <w:pStyle w:val="Normal"/>
            </w:pPr>
            <w:r>
              <w:t xml:space="preserve">The White subgroup's growth score on the Mathematics PSSA was 73, which is above the building wide score.</w:t>
            </w:r>
          </w:p>
        </w:tc>
        <w:tc>
          <w:tcPr>
            <w:vAlign w:val="center"/>
          </w:tcPr>
          <w:p>
            <w:pPr>
              <w:pStyle w:val="Normal"/>
            </w:pPr>
            <w:r>
              <w:t xml:space="preserve">False</w:t>
            </w:r>
          </w:p>
        </w:tc>
      </w:tr>
      <w:tr>
        <w:trPr/>
        <w:tc>
          <w:tcPr>
            <w:vAlign w:val="center"/>
          </w:tcPr>
          <w:p>
            <w:pPr>
              <w:pStyle w:val="Normal"/>
            </w:pPr>
            <w:r>
              <w:t xml:space="preserve">Dedicated team of educators to focus on MTSS implementation.</w:t>
            </w:r>
          </w:p>
        </w:tc>
        <w:tc>
          <w:tcPr>
            <w:vAlign w:val="center"/>
          </w:tcPr>
          <w:p>
            <w:pPr>
              <w:pStyle w:val="Normal"/>
            </w:pPr>
            <w:r>
              <w:t xml:space="preserve">False</w:t>
            </w:r>
          </w:p>
        </w:tc>
      </w:tr>
      <w:tr>
        <w:trPr/>
        <w:tc>
          <w:tcPr>
            <w:vAlign w:val="center"/>
          </w:tcPr>
          <w:p>
            <w:pPr>
              <w:pStyle w:val="Normal"/>
            </w:pPr>
            <w:r>
              <w:t xml:space="preserve">Dedicated team time for grade level planning of Mathematics instruction.</w:t>
            </w:r>
          </w:p>
        </w:tc>
        <w:tc>
          <w:tcPr>
            <w:vAlign w:val="center"/>
          </w:tcPr>
          <w:p>
            <w:pPr>
              <w:pStyle w:val="Normal"/>
            </w:pPr>
            <w:r>
              <w:t xml:space="preserve">False</w:t>
            </w:r>
          </w:p>
        </w:tc>
      </w:tr>
      <w:tr>
        <w:trPr/>
        <w:tc>
          <w:tcPr>
            <w:vAlign w:val="center"/>
          </w:tcPr>
          <w:p>
            <w:pPr>
              <w:pStyle w:val="Normal"/>
            </w:pPr>
            <w:r>
              <w:t xml:space="preserve">Opportunities for students to to be grouped for Math instruction based on academic levels.</w:t>
            </w:r>
          </w:p>
        </w:tc>
        <w:tc>
          <w:tcPr>
            <w:vAlign w:val="center"/>
          </w:tcPr>
          <w:p>
            <w:pPr>
              <w:pStyle w:val="Normal"/>
            </w:pPr>
            <w:r>
              <w:t xml:space="preserve">False</w:t>
            </w:r>
          </w:p>
        </w:tc>
      </w:tr>
      <w:tr>
        <w:trPr/>
        <w:tc>
          <w:tcPr>
            <w:vAlign w:val="center"/>
          </w:tcPr>
          <w:p>
            <w:pPr>
              <w:pStyle w:val="Normal"/>
            </w:pPr>
            <w:r>
              <w:t xml:space="preserve">Implementation of a cohesive resource for Math instruction K-6.</w:t>
            </w:r>
          </w:p>
        </w:tc>
        <w:tc>
          <w:tcPr>
            <w:vAlign w:val="center"/>
          </w:tcPr>
          <w:p>
            <w:pPr>
              <w:pStyle w:val="Normal"/>
            </w:pPr>
            <w:r>
              <w:t xml:space="preserve">True</w:t>
            </w:r>
          </w:p>
        </w:tc>
      </w:tr>
      <w:tr>
        <w:trPr/>
        <w:tc>
          <w:tcPr>
            <w:vAlign w:val="center"/>
          </w:tcPr>
          <w:p>
            <w:pPr>
              <w:pStyle w:val="Normal"/>
            </w:pPr>
            <w:r>
              <w:t xml:space="preserve">Implementation of Science resource grades K-5 which aligns to PA STEELS.</w:t>
            </w:r>
          </w:p>
        </w:tc>
        <w:tc>
          <w:tcPr>
            <w:vAlign w:val="center"/>
          </w:tcPr>
          <w:p>
            <w:pPr>
              <w:pStyle w:val="Normal"/>
            </w:pPr>
            <w:r>
              <w:t xml:space="preserve">True</w:t>
            </w:r>
          </w:p>
        </w:tc>
      </w:tr>
      <w:tr>
        <w:trPr/>
        <w:tc>
          <w:tcPr>
            <w:vAlign w:val="center"/>
          </w:tcPr>
          <w:p>
            <w:pPr>
              <w:pStyle w:val="Normal"/>
            </w:pPr>
            <w:r>
              <w:t xml:space="preserve">Implementation of Science resource for grade 6 which aligns to PA STEELS and is consistent with the resource being used for grades 7 &amp; 8.</w:t>
            </w:r>
          </w:p>
        </w:tc>
        <w:tc>
          <w:tcPr>
            <w:vAlign w:val="center"/>
          </w:tcPr>
          <w:p>
            <w:pPr>
              <w:pStyle w:val="Normal"/>
            </w:pPr>
            <w:r>
              <w:t xml:space="preserve">True</w:t>
            </w:r>
          </w:p>
        </w:tc>
      </w:tr>
      <w:tr>
        <w:trPr/>
        <w:tc>
          <w:tcPr>
            <w:vAlign w:val="center"/>
          </w:tcPr>
          <w:p>
            <w:pPr>
              <w:pStyle w:val="Normal"/>
            </w:pPr>
            <w:r>
              <w:t xml:space="preserve">Content area teachers provided lessons and activities which support career readiness.</w:t>
            </w:r>
          </w:p>
        </w:tc>
        <w:tc>
          <w:tcPr>
            <w:vAlign w:val="center"/>
          </w:tcPr>
          <w:p>
            <w:pPr>
              <w:pStyle w:val="Normal"/>
            </w:pPr>
            <w:r>
              <w:t xml:space="preserve">False</w:t>
            </w:r>
          </w:p>
        </w:tc>
      </w:tr>
      <w:tr>
        <w:trPr/>
        <w:tc>
          <w:tcPr>
            <w:vAlign w:val="center"/>
          </w:tcPr>
          <w:p>
            <w:pPr>
              <w:pStyle w:val="Normal"/>
            </w:pPr>
            <w:r>
              <w:t xml:space="preserve">Virtual and in-person field experiences are provided to students which enhance their understanding of career opportunities.</w:t>
            </w:r>
          </w:p>
        </w:tc>
        <w:tc>
          <w:tcPr>
            <w:vAlign w:val="center"/>
          </w:tcPr>
          <w:p>
            <w:pPr>
              <w:pStyle w:val="Normal"/>
            </w:pPr>
            <w:r>
              <w:t xml:space="preserve">False</w:t>
            </w:r>
          </w:p>
        </w:tc>
      </w:tr>
      <w:tr>
        <w:trPr/>
        <w:tc>
          <w:tcPr>
            <w:vAlign w:val="center"/>
          </w:tcPr>
          <w:p>
            <w:pPr>
              <w:pStyle w:val="Normal"/>
            </w:pPr>
            <w:r>
              <w:t xml:space="preserve">Students in 5th and 6th grade participated in BizTown through Jr. Achievement to increase their knowledge of various careers.</w:t>
            </w:r>
          </w:p>
        </w:tc>
        <w:tc>
          <w:tcPr>
            <w:vAlign w:val="center"/>
          </w:tcPr>
          <w:p>
            <w:pPr>
              <w:pStyle w:val="Normal"/>
            </w:pPr>
            <w:r>
              <w:t xml:space="preserve">False</w:t>
            </w:r>
          </w:p>
        </w:tc>
      </w:tr>
      <w:tr>
        <w:trPr/>
        <w:tc>
          <w:tcPr>
            <w:vAlign w:val="center"/>
          </w:tcPr>
          <w:p>
            <w:pPr>
              <w:pStyle w:val="Normal"/>
            </w:pPr>
            <w:r>
              <w:t xml:space="preserve">Provisional WIDA scores indicate that ELLs are making progress in learning English.</w:t>
            </w:r>
          </w:p>
        </w:tc>
        <w:tc>
          <w:tcPr>
            <w:vAlign w:val="center"/>
          </w:tcPr>
          <w:p>
            <w:pPr>
              <w:pStyle w:val="Normal"/>
            </w:pPr>
            <w:r>
              <w:t xml:space="preserve">True</w:t>
            </w:r>
          </w:p>
        </w:tc>
      </w:tr>
      <w:tr>
        <w:trPr/>
        <w:tc>
          <w:tcPr>
            <w:vAlign w:val="center"/>
          </w:tcPr>
          <w:p>
            <w:pPr>
              <w:pStyle w:val="Normal"/>
            </w:pPr>
            <w:r>
              <w:t xml:space="preserve">The overall building schedule allows dedicated time for intervention and enrichment for students in all grade levels.</w:t>
            </w:r>
          </w:p>
        </w:tc>
        <w:tc>
          <w:tcPr>
            <w:vAlign w:val="center"/>
          </w:tcPr>
          <w:p>
            <w:pPr>
              <w:pStyle w:val="Normal"/>
            </w:pPr>
            <w:r>
              <w:t xml:space="preserve">True</w:t>
            </w:r>
          </w:p>
        </w:tc>
      </w:tr>
      <w:tr>
        <w:trPr/>
        <w:tc>
          <w:tcPr>
            <w:vAlign w:val="center"/>
          </w:tcPr>
          <w:p>
            <w:pPr>
              <w:pStyle w:val="Normal"/>
            </w:pPr>
            <w:r>
              <w:t xml:space="preserve">Four students exited the English Language Development program based on 2025/2026 WIDA scores.</w:t>
            </w:r>
          </w:p>
        </w:tc>
        <w:tc>
          <w:tcPr>
            <w:vAlign w:val="center"/>
          </w:tcPr>
          <w:p>
            <w:pPr>
              <w:pStyle w:val="Normal"/>
            </w:pPr>
            <w:r>
              <w:t xml:space="preserve">False</w:t>
            </w:r>
          </w:p>
        </w:tc>
      </w:tr>
      <w:tr>
        <w:trPr/>
        <w:tc>
          <w:tcPr>
            <w:vAlign w:val="center"/>
          </w:tcPr>
          <w:p>
            <w:pPr>
              <w:pStyle w:val="Normal"/>
            </w:pPr>
            <w:r>
              <w:t xml:space="preserve">Fostering high expectations for all</w:t>
            </w:r>
          </w:p>
        </w:tc>
        <w:tc>
          <w:tcPr>
            <w:vAlign w:val="center"/>
          </w:tcPr>
          <w:p>
            <w:pPr>
              <w:pStyle w:val="Normal"/>
            </w:pPr>
            <w:r>
              <w:t xml:space="preserve">True</w:t>
            </w:r>
          </w:p>
        </w:tc>
      </w:tr>
      <w:tr>
        <w:trPr/>
        <w:tc>
          <w:tcPr>
            <w:vAlign w:val="center"/>
          </w:tcPr>
          <w:p>
            <w:pPr>
              <w:pStyle w:val="Normal"/>
            </w:pPr>
            <w:r>
              <w:t xml:space="preserve">Use a variety of assessments (including diagnostic, formative, and summative) to monitor student learning and adjust programs and instructional practices</w:t>
            </w:r>
          </w:p>
        </w:tc>
        <w:tc>
          <w:tcPr>
            <w:vAlign w:val="center"/>
          </w:tcPr>
          <w:p>
            <w:pPr>
              <w:pStyle w:val="Normal"/>
            </w:pPr>
            <w:r>
              <w:t xml:space="preserve">False</w:t>
            </w:r>
          </w:p>
        </w:tc>
      </w:tr>
      <w:tr>
        <w:trPr/>
        <w:tc>
          <w:tcPr>
            <w:vAlign w:val="center"/>
          </w:tcPr>
          <w:p>
            <w:pPr>
              <w:pStyle w:val="Normal"/>
            </w:pPr>
            <w:r>
              <w:t xml:space="preserve">Identify and address individual student learning needs</w:t>
            </w:r>
          </w:p>
        </w:tc>
        <w:tc>
          <w:tcPr>
            <w:vAlign w:val="center"/>
          </w:tcPr>
          <w:p>
            <w:pPr>
              <w:pStyle w:val="Normal"/>
            </w:pPr>
            <w:r>
              <w:t xml:space="preserve">True</w:t>
            </w:r>
          </w:p>
        </w:tc>
      </w:tr>
      <w:tr>
        <w:trPr/>
        <w:tc>
          <w:tcPr>
            <w:vAlign w:val="center"/>
          </w:tcPr>
          <w:p>
            <w:pPr>
              <w:pStyle w:val="Normal"/>
            </w:pPr>
            <w:r>
              <w:t xml:space="preserve">Provide opportunities for staff members to self-select Professional Development based on their individual needs.</w:t>
            </w:r>
          </w:p>
        </w:tc>
        <w:tc>
          <w:tcPr>
            <w:vAlign w:val="center"/>
          </w:tcPr>
          <w:p>
            <w:pPr>
              <w:pStyle w:val="Normal"/>
            </w:pPr>
            <w:r>
              <w:t xml:space="preserve">False</w:t>
            </w:r>
          </w:p>
        </w:tc>
      </w:tr>
    </w:tbl>
    <w:p>
      <w:pPr>
        <w:pStyle w:val="Heading2"/>
      </w:pPr>
      <w:r>
        <w:t xml:space="preserve">Challenges</w:t>
      </w:r>
    </w:p>
    <w:p>
      <w:pPr>
        <w:pStyle w:val="Normal"/>
      </w:pPr>
      <w:r>
        <w:t xml:space="preserve">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Pr>
      <w:tblGrid>
        <w:gridCol/>
        <w:gridCol/>
      </w:tblGrid>
      <w:tr>
        <w:trPr/>
        <w:tc>
          <w:tcPr>
            <w:tcW w:w="4000" w:type="pct"/>
            <w:vAlign w:val="center"/>
          </w:tcPr>
          <w:p>
            <w:pPr>
              <w:pStyle w:val="Normal"/>
            </w:pPr>
            <w:r>
              <w:t xml:space="preserve">Strength</w:t>
            </w:r>
          </w:p>
        </w:tc>
        <w:tc>
          <w:tcPr>
            <w:vAlign w:val="center"/>
          </w:tcPr>
          <w:p>
            <w:pPr>
              <w:pStyle w:val="Normal"/>
            </w:pPr>
            <w:r>
              <w:t xml:space="preserve">Check for Consideration in Plan</w:t>
            </w:r>
          </w:p>
        </w:tc>
      </w:tr>
      <w:tr>
        <w:trPr/>
        <w:tc>
          <w:tcPr>
            <w:vAlign w:val="center"/>
          </w:tcPr>
          <w:p>
            <w:pPr>
              <w:pStyle w:val="Normal"/>
            </w:pPr>
            <w:r>
              <w:t xml:space="preserve">The academic growth score in English Language Arts/Literature was 68 which does not meet the standard for annual growth.This is also 11 points lower than the previous school year.</w:t>
            </w:r>
          </w:p>
        </w:tc>
        <w:tc>
          <w:tcPr>
            <w:vAlign w:val="center"/>
          </w:tcPr>
          <w:p>
            <w:pPr>
              <w:pStyle w:val="Normal"/>
            </w:pPr>
            <w:r>
              <w:t xml:space="preserve">False</w:t>
            </w:r>
          </w:p>
        </w:tc>
      </w:tr>
      <w:tr>
        <w:trPr/>
        <w:tc>
          <w:tcPr>
            <w:vAlign w:val="center"/>
          </w:tcPr>
          <w:p>
            <w:pPr>
              <w:pStyle w:val="Normal"/>
            </w:pPr>
            <w:r>
              <w:t xml:space="preserve">This group did not meet the growth goal. In 23/24, this group reflected a growth score of 87. Their growth score in 24/25 was 67.</w:t>
            </w:r>
          </w:p>
        </w:tc>
        <w:tc>
          <w:tcPr>
            <w:vAlign w:val="center"/>
          </w:tcPr>
          <w:p>
            <w:pPr>
              <w:pStyle w:val="Normal"/>
            </w:pPr>
            <w:r>
              <w:t xml:space="preserve">False</w:t>
            </w:r>
          </w:p>
        </w:tc>
      </w:tr>
      <w:tr>
        <w:trPr/>
        <w:tc>
          <w:tcPr>
            <w:vAlign w:val="center"/>
          </w:tcPr>
          <w:p>
            <w:pPr>
              <w:pStyle w:val="Normal"/>
            </w:pPr>
            <w:r>
              <w:t xml:space="preserve">This group did not meet the growth goal. In 23/24, this group reflected a growth score of 78. Their growth score in 24/25 was 61.</w:t>
            </w:r>
          </w:p>
        </w:tc>
        <w:tc>
          <w:tcPr>
            <w:vAlign w:val="center"/>
          </w:tcPr>
          <w:p>
            <w:pPr>
              <w:pStyle w:val="Normal"/>
            </w:pPr>
            <w:r>
              <w:t xml:space="preserve">False</w:t>
            </w:r>
          </w:p>
        </w:tc>
      </w:tr>
      <w:tr>
        <w:trPr/>
        <w:tc>
          <w:tcPr>
            <w:vAlign w:val="center"/>
          </w:tcPr>
          <w:p>
            <w:pPr>
              <w:pStyle w:val="Normal"/>
            </w:pPr>
            <w:r>
              <w:t xml:space="preserve">48.7% of students in grades 3 - 6 were Proficient or Advanced on the English Language Arts PSSA.</w:t>
            </w:r>
          </w:p>
        </w:tc>
        <w:tc>
          <w:tcPr>
            <w:vAlign w:val="center"/>
          </w:tcPr>
          <w:p>
            <w:pPr>
              <w:pStyle w:val="Normal"/>
            </w:pPr>
            <w:r>
              <w:t xml:space="preserve">True</w:t>
            </w:r>
          </w:p>
        </w:tc>
      </w:tr>
      <w:tr>
        <w:trPr/>
        <w:tc>
          <w:tcPr>
            <w:vAlign w:val="center"/>
          </w:tcPr>
          <w:p>
            <w:pPr>
              <w:pStyle w:val="Normal"/>
            </w:pPr>
            <w:r>
              <w:t xml:space="preserve">51.3% of students in grades 3 - 6 were Proficient or Advanced on the Math PSSA. This was 10% above the statewide average.</w:t>
            </w:r>
          </w:p>
        </w:tc>
        <w:tc>
          <w:tcPr>
            <w:vAlign w:val="center"/>
          </w:tcPr>
          <w:p>
            <w:pPr>
              <w:pStyle w:val="Normal"/>
            </w:pPr>
            <w:r>
              <w:t xml:space="preserve">True</w:t>
            </w:r>
          </w:p>
        </w:tc>
      </w:tr>
      <w:tr>
        <w:trPr/>
        <w:tc>
          <w:tcPr>
            <w:vAlign w:val="center"/>
          </w:tcPr>
          <w:p>
            <w:pPr>
              <w:pStyle w:val="Normal"/>
            </w:pPr>
            <w:r>
              <w:t xml:space="preserve">The Students with Disabilities subgroup did not meet the growth goal for the ELA PSSA. In 23/24, this group reflected a growth score of 87. Their growth score in 24/25 was 67.</w:t>
            </w:r>
          </w:p>
        </w:tc>
        <w:tc>
          <w:tcPr>
            <w:vAlign w:val="center"/>
          </w:tcPr>
          <w:p>
            <w:pPr>
              <w:pStyle w:val="Normal"/>
            </w:pPr>
            <w:r>
              <w:t xml:space="preserve">False</w:t>
            </w:r>
          </w:p>
        </w:tc>
      </w:tr>
      <w:tr>
        <w:trPr/>
        <w:tc>
          <w:tcPr>
            <w:vAlign w:val="center"/>
          </w:tcPr>
          <w:p>
            <w:pPr>
              <w:pStyle w:val="Normal"/>
            </w:pPr>
            <w:r>
              <w:t xml:space="preserve">The White subgroup did not meet the growth goal. In 23/24, this group reflected a growth score of 78. Their growth score in 24/25 was 61.</w:t>
            </w:r>
          </w:p>
        </w:tc>
        <w:tc>
          <w:tcPr>
            <w:vAlign w:val="center"/>
          </w:tcPr>
          <w:p>
            <w:pPr>
              <w:pStyle w:val="Normal"/>
            </w:pPr>
            <w:r>
              <w:t xml:space="preserve">False</w:t>
            </w:r>
          </w:p>
        </w:tc>
      </w:tr>
      <w:tr>
        <w:trPr/>
        <w:tc>
          <w:tcPr>
            <w:vAlign w:val="center"/>
          </w:tcPr>
          <w:p>
            <w:pPr>
              <w:pStyle w:val="Normal"/>
            </w:pPr>
            <w:r>
              <w:t xml:space="preserve">Attendance for the Students with Disabilities subgroup was 81.8% for the 24/25 school year. This was an 11% decrease from the previous year.</w:t>
            </w:r>
          </w:p>
        </w:tc>
        <w:tc>
          <w:tcPr>
            <w:vAlign w:val="center"/>
          </w:tcPr>
          <w:p>
            <w:pPr>
              <w:pStyle w:val="Normal"/>
            </w:pPr>
            <w:r>
              <w:t xml:space="preserve">False</w:t>
            </w:r>
          </w:p>
        </w:tc>
      </w:tr>
      <w:tr>
        <w:trPr/>
        <w:tc>
          <w:tcPr>
            <w:vAlign w:val="center"/>
          </w:tcPr>
          <w:p>
            <w:pPr>
              <w:pStyle w:val="Normal"/>
            </w:pPr>
            <w:r>
              <w:t xml:space="preserve">30.8% of Hispanic students were Proficient or Advanced on the Mathematics PSSA. This is 20.5% lower than the whole school population.</w:t>
            </w:r>
          </w:p>
        </w:tc>
        <w:tc>
          <w:tcPr>
            <w:vAlign w:val="center"/>
          </w:tcPr>
          <w:p>
            <w:pPr>
              <w:pStyle w:val="Normal"/>
            </w:pPr>
            <w:r>
              <w:t xml:space="preserve">False</w:t>
            </w:r>
          </w:p>
        </w:tc>
      </w:tr>
      <w:tr>
        <w:trPr/>
        <w:tc>
          <w:tcPr>
            <w:vAlign w:val="center"/>
          </w:tcPr>
          <w:p>
            <w:pPr>
              <w:pStyle w:val="Normal"/>
            </w:pPr>
            <w:r>
              <w:t xml:space="preserve">17.8% of students with Disabilities were Proficient or Advanced on the Mathematics PSSA.</w:t>
            </w:r>
          </w:p>
        </w:tc>
        <w:tc>
          <w:tcPr>
            <w:vAlign w:val="center"/>
          </w:tcPr>
          <w:p>
            <w:pPr>
              <w:pStyle w:val="Normal"/>
            </w:pPr>
            <w:r>
              <w:t xml:space="preserve">False</w:t>
            </w:r>
          </w:p>
        </w:tc>
      </w:tr>
      <w:tr>
        <w:trPr/>
        <w:tc>
          <w:tcPr>
            <w:vAlign w:val="center"/>
          </w:tcPr>
          <w:p>
            <w:pPr>
              <w:pStyle w:val="Normal"/>
            </w:pPr>
            <w:r>
              <w:t xml:space="preserve">There was an 8% decrease in the percentage of students with IEPs who were Proficient on the English Language Arts PSSA.</w:t>
            </w:r>
          </w:p>
        </w:tc>
        <w:tc>
          <w:tcPr>
            <w:vAlign w:val="center"/>
          </w:tcPr>
          <w:p>
            <w:pPr>
              <w:pStyle w:val="Normal"/>
            </w:pPr>
            <w:r>
              <w:t xml:space="preserve">False</w:t>
            </w:r>
          </w:p>
        </w:tc>
      </w:tr>
      <w:tr>
        <w:trPr/>
        <w:tc>
          <w:tcPr>
            <w:vAlign w:val="center"/>
          </w:tcPr>
          <w:p>
            <w:pPr>
              <w:pStyle w:val="Normal"/>
            </w:pPr>
            <w:r>
              <w:t xml:space="preserve">42.5% of economically disadvantaged students were proficient and advanced. This was a 4% decrease from the previous year.</w:t>
            </w:r>
          </w:p>
        </w:tc>
        <w:tc>
          <w:tcPr>
            <w:vAlign w:val="center"/>
          </w:tcPr>
          <w:p>
            <w:pPr>
              <w:pStyle w:val="Normal"/>
            </w:pPr>
            <w:r>
              <w:t xml:space="preserve">False</w:t>
            </w:r>
          </w:p>
        </w:tc>
      </w:tr>
      <w:tr>
        <w:trPr/>
        <w:tc>
          <w:tcPr>
            <w:vAlign w:val="center"/>
          </w:tcPr>
          <w:p>
            <w:pPr>
              <w:pStyle w:val="Normal"/>
            </w:pPr>
            <w:r>
              <w:t xml:space="preserve">The Students with Disabilities subgroup scored a growth score of 70. This score is consistent with the previous year's score.</w:t>
            </w:r>
          </w:p>
        </w:tc>
        <w:tc>
          <w:tcPr>
            <w:vAlign w:val="center"/>
          </w:tcPr>
          <w:p>
            <w:pPr>
              <w:pStyle w:val="Normal"/>
            </w:pPr>
            <w:r>
              <w:t xml:space="preserve">False</w:t>
            </w:r>
          </w:p>
        </w:tc>
      </w:tr>
      <w:tr>
        <w:trPr/>
        <w:tc>
          <w:tcPr>
            <w:vAlign w:val="center"/>
          </w:tcPr>
          <w:p>
            <w:pPr>
              <w:pStyle w:val="Normal"/>
            </w:pPr>
            <w:r>
              <w:t xml:space="preserve">Attendance for the Students with Disabilities subgroup was 81.8% for the 24/25 school year. This was an 11% decrease from the previous year.</w:t>
            </w:r>
          </w:p>
        </w:tc>
        <w:tc>
          <w:tcPr>
            <w:vAlign w:val="center"/>
          </w:tcPr>
          <w:p>
            <w:pPr>
              <w:pStyle w:val="Normal"/>
            </w:pPr>
            <w:r>
              <w:t xml:space="preserve">False</w:t>
            </w:r>
          </w:p>
        </w:tc>
      </w:tr>
      <w:tr>
        <w:trPr/>
        <w:tc>
          <w:tcPr>
            <w:vAlign w:val="center"/>
          </w:tcPr>
          <w:p>
            <w:pPr>
              <w:pStyle w:val="Normal"/>
            </w:pPr>
            <w:r>
              <w:t xml:space="preserve">Funding and time impede the amount of field experiences that we are able to offer to our learners to expand their understanding of career opportunities.</w:t>
            </w:r>
          </w:p>
        </w:tc>
        <w:tc>
          <w:tcPr>
            <w:vAlign w:val="center"/>
          </w:tcPr>
          <w:p>
            <w:pPr>
              <w:pStyle w:val="Normal"/>
            </w:pPr>
            <w:r>
              <w:t xml:space="preserve">False</w:t>
            </w:r>
          </w:p>
        </w:tc>
      </w:tr>
      <w:tr>
        <w:trPr/>
        <w:tc>
          <w:tcPr>
            <w:vAlign w:val="center"/>
          </w:tcPr>
          <w:p>
            <w:pPr>
              <w:pStyle w:val="Normal"/>
            </w:pPr>
            <w:r>
              <w:t xml:space="preserve">The correlation between students scoring at or above benchmark on local universal assessments, does not align with the percentage of students scoring Proficient or Advanced on the English Language Arts PSSA.</w:t>
            </w:r>
          </w:p>
        </w:tc>
        <w:tc>
          <w:tcPr>
            <w:vAlign w:val="center"/>
          </w:tcPr>
          <w:p>
            <w:pPr>
              <w:pStyle w:val="Normal"/>
            </w:pPr>
            <w:r>
              <w:t xml:space="preserve">False</w:t>
            </w:r>
          </w:p>
        </w:tc>
      </w:tr>
      <w:tr>
        <w:trPr/>
        <w:tc>
          <w:tcPr>
            <w:vAlign w:val="center"/>
          </w:tcPr>
          <w:p>
            <w:pPr>
              <w:pStyle w:val="Normal"/>
            </w:pPr>
            <w:r>
              <w:t xml:space="preserve">Hiring and scheduling Title 1 paraprofessionals to support learners with the greatest needs.</w:t>
            </w:r>
          </w:p>
        </w:tc>
        <w:tc>
          <w:tcPr>
            <w:vAlign w:val="center"/>
          </w:tcPr>
          <w:p>
            <w:pPr>
              <w:pStyle w:val="Normal"/>
            </w:pPr>
            <w:r>
              <w:t xml:space="preserve">False</w:t>
            </w:r>
          </w:p>
        </w:tc>
      </w:tr>
      <w:tr>
        <w:trPr/>
        <w:tc>
          <w:tcPr>
            <w:vAlign w:val="center"/>
          </w:tcPr>
          <w:p>
            <w:pPr>
              <w:pStyle w:val="Normal"/>
            </w:pPr>
            <w:r>
              <w:t xml:space="preserve">Providing additional dedicated time to meet students' at their individual academic levels.</w:t>
            </w:r>
          </w:p>
        </w:tc>
        <w:tc>
          <w:tcPr>
            <w:vAlign w:val="center"/>
          </w:tcPr>
          <w:p>
            <w:pPr>
              <w:pStyle w:val="Normal"/>
            </w:pPr>
            <w:r>
              <w:t xml:space="preserve">False</w:t>
            </w:r>
          </w:p>
        </w:tc>
      </w:tr>
      <w:tr>
        <w:trPr/>
        <w:tc>
          <w:tcPr>
            <w:vAlign w:val="center"/>
          </w:tcPr>
          <w:p>
            <w:pPr>
              <w:pStyle w:val="Normal"/>
            </w:pPr>
            <w:r>
              <w:t xml:space="preserve">Continued use of high quality Reading intervention systems to target instruction to learners' individual academic needs - currently in year 4 of implementation.</w:t>
            </w:r>
          </w:p>
        </w:tc>
        <w:tc>
          <w:tcPr>
            <w:vAlign w:val="center"/>
          </w:tcPr>
          <w:p>
            <w:pPr>
              <w:pStyle w:val="Normal"/>
            </w:pPr>
            <w:r>
              <w:t xml:space="preserve">False</w:t>
            </w:r>
          </w:p>
        </w:tc>
      </w:tr>
      <w:tr>
        <w:trPr/>
        <w:tc>
          <w:tcPr>
            <w:vAlign w:val="center"/>
          </w:tcPr>
          <w:p>
            <w:pPr>
              <w:pStyle w:val="Normal"/>
            </w:pPr>
            <w:r>
              <w:t xml:space="preserve">Continued use of high quality Mathematics intervention systems to target instruction to learners' individual academic needs - currently in year 3 of implementation.</w:t>
            </w:r>
          </w:p>
        </w:tc>
        <w:tc>
          <w:tcPr>
            <w:vAlign w:val="center"/>
          </w:tcPr>
          <w:p>
            <w:pPr>
              <w:pStyle w:val="Normal"/>
            </w:pPr>
            <w:r>
              <w:t xml:space="preserve">False</w:t>
            </w:r>
          </w:p>
        </w:tc>
      </w:tr>
      <w:tr>
        <w:trPr/>
        <w:tc>
          <w:tcPr>
            <w:vAlign w:val="center"/>
          </w:tcPr>
          <w:p>
            <w:pPr>
              <w:pStyle w:val="Normal"/>
            </w:pPr>
            <w:r>
              <w:t xml:space="preserve">Scheduling Title 1 paraprofessionals to support learners with the greatest needs.</w:t>
            </w:r>
          </w:p>
        </w:tc>
        <w:tc>
          <w:tcPr>
            <w:vAlign w:val="center"/>
          </w:tcPr>
          <w:p>
            <w:pPr>
              <w:pStyle w:val="Normal"/>
            </w:pPr>
            <w:r>
              <w:t xml:space="preserve">False</w:t>
            </w:r>
          </w:p>
        </w:tc>
      </w:tr>
      <w:tr>
        <w:trPr/>
        <w:tc>
          <w:tcPr>
            <w:vAlign w:val="center"/>
          </w:tcPr>
          <w:p>
            <w:pPr>
              <w:pStyle w:val="Normal"/>
            </w:pPr>
            <w:r>
              <w:t xml:space="preserve">Systematic assessment for identifying math fluency needs.</w:t>
            </w:r>
          </w:p>
        </w:tc>
        <w:tc>
          <w:tcPr>
            <w:vAlign w:val="center"/>
          </w:tcPr>
          <w:p>
            <w:pPr>
              <w:pStyle w:val="Normal"/>
            </w:pPr>
            <w:r>
              <w:t xml:space="preserve">False</w:t>
            </w:r>
          </w:p>
        </w:tc>
      </w:tr>
      <w:tr>
        <w:trPr/>
        <w:tc>
          <w:tcPr>
            <w:vAlign w:val="center"/>
          </w:tcPr>
          <w:p>
            <w:pPr>
              <w:pStyle w:val="Normal"/>
            </w:pPr>
            <w:r>
              <w:t xml:space="preserve">When students move into our building late in the school year, it can be difficult to compile the needed artifacts if their previous school has not shared any artifacts.</w:t>
            </w:r>
          </w:p>
        </w:tc>
        <w:tc>
          <w:tcPr>
            <w:vAlign w:val="center"/>
          </w:tcPr>
          <w:p>
            <w:pPr>
              <w:pStyle w:val="Normal"/>
            </w:pPr>
            <w:r>
              <w:t xml:space="preserve">False</w:t>
            </w:r>
          </w:p>
        </w:tc>
      </w:tr>
      <w:tr>
        <w:trPr/>
        <w:tc>
          <w:tcPr>
            <w:vAlign w:val="center"/>
          </w:tcPr>
          <w:p>
            <w:pPr>
              <w:pStyle w:val="Normal"/>
            </w:pPr>
            <w:r>
              <w:t xml:space="preserve">Limited time for Tier 2 Math interventions.</w:t>
            </w:r>
          </w:p>
        </w:tc>
        <w:tc>
          <w:tcPr>
            <w:vAlign w:val="center"/>
          </w:tcPr>
          <w:p>
            <w:pPr>
              <w:pStyle w:val="Normal"/>
            </w:pPr>
            <w:r>
              <w:t xml:space="preserve">False</w:t>
            </w:r>
          </w:p>
        </w:tc>
      </w:tr>
      <w:tr>
        <w:trPr/>
        <w:tc>
          <w:tcPr>
            <w:vAlign w:val="center"/>
          </w:tcPr>
          <w:p>
            <w:pPr>
              <w:pStyle w:val="Normal"/>
            </w:pPr>
            <w:r>
              <w:t xml:space="preserve">Scheduling to allow adequate time to Science instruction.</w:t>
            </w:r>
          </w:p>
        </w:tc>
        <w:tc>
          <w:tcPr>
            <w:vAlign w:val="center"/>
          </w:tcPr>
          <w:p>
            <w:pPr>
              <w:pStyle w:val="Normal"/>
            </w:pPr>
            <w:r>
              <w:t xml:space="preserve">False</w:t>
            </w:r>
          </w:p>
        </w:tc>
      </w:tr>
      <w:tr>
        <w:trPr/>
        <w:tc>
          <w:tcPr>
            <w:vAlign w:val="center"/>
          </w:tcPr>
          <w:p>
            <w:pPr>
              <w:pStyle w:val="Normal"/>
            </w:pPr>
            <w:r>
              <w:t xml:space="preserve">Hispanic learners receive additional support in ELA from our English Language Development teacher. We do not have this level of support for Math.</w:t>
            </w:r>
          </w:p>
        </w:tc>
        <w:tc>
          <w:tcPr>
            <w:vAlign w:val="center"/>
          </w:tcPr>
          <w:p>
            <w:pPr>
              <w:pStyle w:val="Normal"/>
            </w:pPr>
            <w:r>
              <w:t xml:space="preserve">False</w:t>
            </w:r>
          </w:p>
        </w:tc>
      </w:tr>
      <w:tr>
        <w:trPr/>
        <w:tc>
          <w:tcPr>
            <w:vAlign w:val="center"/>
          </w:tcPr>
          <w:p>
            <w:pPr>
              <w:pStyle w:val="Normal"/>
            </w:pPr>
            <w:r>
              <w:t xml:space="preserve">Our schedule does not allow sufficient time for math vocabulary development.</w:t>
            </w:r>
          </w:p>
        </w:tc>
        <w:tc>
          <w:tcPr>
            <w:vAlign w:val="center"/>
          </w:tcPr>
          <w:p>
            <w:pPr>
              <w:pStyle w:val="Normal"/>
            </w:pPr>
            <w:r>
              <w:t xml:space="preserve">False</w:t>
            </w:r>
          </w:p>
        </w:tc>
      </w:tr>
      <w:tr>
        <w:trPr/>
        <w:tc>
          <w:tcPr>
            <w:vAlign w:val="center"/>
          </w:tcPr>
          <w:p>
            <w:pPr>
              <w:pStyle w:val="Normal"/>
            </w:pPr>
            <w:r>
              <w:t xml:space="preserve">Providing dedicated WIN times has been positive for adding additional support and enrichment for students, but creating this time shortened the amount of time available for Core instruction.</w:t>
            </w:r>
          </w:p>
        </w:tc>
        <w:tc>
          <w:tcPr>
            <w:vAlign w:val="center"/>
          </w:tcPr>
          <w:p>
            <w:pPr>
              <w:pStyle w:val="Normal"/>
            </w:pPr>
            <w:r>
              <w:t xml:space="preserve">False</w:t>
            </w:r>
          </w:p>
        </w:tc>
      </w:tr>
      <w:tr>
        <w:trPr/>
        <w:tc>
          <w:tcPr>
            <w:vAlign w:val="center"/>
          </w:tcPr>
          <w:p>
            <w:pPr>
              <w:pStyle w:val="Normal"/>
            </w:pPr>
            <w:r>
              <w:t xml:space="preserve">Timely feedback on instructional strategies</w:t>
            </w:r>
          </w:p>
        </w:tc>
        <w:tc>
          <w:tcPr>
            <w:vAlign w:val="center"/>
          </w:tcPr>
          <w:p>
            <w:pPr>
              <w:pStyle w:val="Normal"/>
            </w:pPr>
            <w:r>
              <w:t xml:space="preserve">False</w:t>
            </w:r>
          </w:p>
        </w:tc>
      </w:tr>
      <w:tr>
        <w:trPr/>
        <w:tc>
          <w:tcPr>
            <w:vAlign w:val="center"/>
          </w:tcPr>
          <w:p>
            <w:pPr>
              <w:pStyle w:val="Normal"/>
            </w:pPr>
            <w:r>
              <w:t xml:space="preserve">Increased family engagement</w:t>
            </w:r>
          </w:p>
        </w:tc>
        <w:tc>
          <w:tcPr>
            <w:vAlign w:val="center"/>
          </w:tcPr>
          <w:p>
            <w:pPr>
              <w:pStyle w:val="Normal"/>
            </w:pPr>
            <w:r>
              <w:t xml:space="preserve">True</w:t>
            </w:r>
          </w:p>
        </w:tc>
      </w:tr>
      <w:tr>
        <w:trPr/>
        <w:tc>
          <w:tcPr>
            <w:vAlign w:val="center"/>
          </w:tcPr>
          <w:p>
            <w:pPr>
              <w:pStyle w:val="Normal"/>
            </w:pPr>
            <w:r>
              <w:t xml:space="preserve">Implement evidence-based strategies to engage families to support learning</w:t>
            </w:r>
          </w:p>
        </w:tc>
        <w:tc>
          <w:tcPr>
            <w:vAlign w:val="center"/>
          </w:tcPr>
          <w:p>
            <w:pPr>
              <w:pStyle w:val="Normal"/>
            </w:pPr>
            <w:r>
              <w:t xml:space="preserve">False</w:t>
            </w:r>
          </w:p>
        </w:tc>
      </w:tr>
    </w:tbl>
    <w:p>
      <w:pPr>
        <w:pStyle w:val="Heading2"/>
      </w:pPr>
      <w:r>
        <w:t xml:space="preserve">Most Notable Observations/Patterns</w:t>
      </w:r>
    </w:p>
    <w:p>
      <w:pPr>
        <w:pStyle w:val="Normal"/>
      </w:pPr>
      <w:r>
        <w:t xml:space="preserve">In the space provided, record any of the comments and notable observations made as your team worked through the needs assessment that stand out as important to the challenge(s) you checked for consideration in your comprehensive plan.</w:t>
      </w:r>
    </w:p>
    <w:p>
      <w:pPr>
        <w:pStyle w:val="Normal"/>
      </w:pPr>
      <w:r>
        <w:t xml:space="preserve">As a school, we must continue to focus on ELA and math instruction, ensuring that all students receive high quality, rigorous Tier 1 instruction, supplemented by interventions and enrichment. Engaging families in school events and encouraging academic support at home will help students show increases in academic performance on ELA and Math assessments.</w:t>
      </w:r>
    </w:p>
    <w:p>
      <w:pPr>
        <w:pStyle w:val="Normal"/>
      </w:pPr>
      <w:r>
        <w:br w:type="page"/>
      </w:r>
      <w:r>
        <w:lastRenderedPageBreak/>
      </w:r>
    </w:p>
    <w:p>
      <w:pPr>
        <w:pStyle w:val="Heading1"/>
      </w:pPr>
      <w:r>
        <w:t xml:space="preserve">Analyzing (Strengths and Challenges)</w:t>
      </w:r>
    </w:p>
    <w:p>
      <w:pPr>
        <w:pStyle w:val="Heading2"/>
      </w:pPr>
      <w:r>
        <w:t xml:space="preserve">Analyzing Challenges</w:t>
      </w:r>
    </w:p>
    <w:tbl>
      <w:tblPr>
        <w:tblStyle w:val="TableGrid"/>
        <w:tblW w:w="5000" w:type="pct"/>
      </w:tblPr>
      <w:tblGrid>
        <w:gridCol/>
        <w:gridCol/>
        <w:gridCol/>
      </w:tblGrid>
      <w:tr>
        <w:trPr/>
        <w:tc>
          <w:tcPr>
            <w:vAlign w:val="center"/>
          </w:tcPr>
          <w:p>
            <w:pPr>
              <w:pStyle w:val="Normal"/>
            </w:pPr>
            <w:r>
              <w:rPr>
                <w:b/>
              </w:rPr>
              <w:t xml:space="preserve">Analyzing Challenges</w:t>
            </w:r>
          </w:p>
        </w:tc>
        <w:tc>
          <w:tcPr>
            <w:vAlign w:val="center"/>
          </w:tcPr>
          <w:p>
            <w:pPr>
              <w:pStyle w:val="Normal"/>
            </w:pPr>
            <w:r>
              <w:rPr>
                <w:b/>
              </w:rPr>
              <w:t xml:space="preserve">Discussion Points</w:t>
            </w:r>
          </w:p>
        </w:tc>
        <w:tc>
          <w:tcPr>
            <w:vAlign w:val="center"/>
          </w:tcPr>
          <w:p>
            <w:pPr>
              <w:pStyle w:val="Normal"/>
            </w:pPr>
            <w:r>
              <w:rPr>
                <w:b/>
              </w:rPr>
              <w:t xml:space="preserve">Check for Priority</w:t>
            </w:r>
          </w:p>
        </w:tc>
      </w:tr>
      <w:tr>
        <w:trPr/>
        <w:tc>
          <w:tcPr>
            <w:vAlign w:val="center"/>
          </w:tcPr>
          <w:p>
            <w:pPr>
              <w:pStyle w:val="Normal"/>
            </w:pPr>
            <w:r>
              <w:t xml:space="preserve">Increased family engagement</w:t>
            </w:r>
          </w:p>
        </w:tc>
        <w:tc>
          <w:tcPr>
            <w:vAlign w:val="center"/>
          </w:tcPr>
          <w:p>
            <w:pPr>
              <w:pStyle w:val="Normal"/>
            </w:pPr>
            <w:r>
              <w:t xml:space="preserve">Families are increasingly busy and meet barriers with sports schedules, transportation, and parents' work schedules. Since COVID, it's been a challenge to get families back into the building.</w:t>
            </w:r>
          </w:p>
        </w:tc>
        <w:tc>
          <w:tcPr>
            <w:vAlign w:val="center"/>
          </w:tcPr>
          <w:p>
            <w:pPr>
              <w:pStyle w:val="Normal"/>
            </w:pPr>
            <w:r>
              <w:t xml:space="preserve">True</w:t>
            </w:r>
          </w:p>
        </w:tc>
      </w:tr>
      <w:tr>
        <w:trPr/>
        <w:tc>
          <w:tcPr>
            <w:vAlign w:val="center"/>
          </w:tcPr>
          <w:p>
            <w:pPr>
              <w:pStyle w:val="Normal"/>
            </w:pPr>
            <w:r>
              <w:t xml:space="preserve">48.7% of students in grades 3 - 6 were Proficient or Advanced on the English Language Arts PSSA.</w:t>
            </w:r>
          </w:p>
        </w:tc>
        <w:tc>
          <w:tcPr>
            <w:vAlign w:val="center"/>
          </w:tcPr>
          <w:p>
            <w:pPr>
              <w:pStyle w:val="Normal"/>
            </w:pPr>
            <w:r>
              <w:t xml:space="preserve">Students with IEPs are not meeting their growth targets and continuing to perform below grade level. Students with advanced academics may not be achieving a year's worth of growth. As a building, we need to continue to focus on these two groups to ensure instruction is targeting their needs.</w:t>
            </w:r>
          </w:p>
        </w:tc>
        <w:tc>
          <w:tcPr>
            <w:vAlign w:val="center"/>
          </w:tcPr>
          <w:p>
            <w:pPr>
              <w:pStyle w:val="Normal"/>
            </w:pPr>
            <w:r>
              <w:t xml:space="preserve">True</w:t>
            </w:r>
          </w:p>
        </w:tc>
      </w:tr>
      <w:tr>
        <w:trPr/>
        <w:tc>
          <w:tcPr>
            <w:vAlign w:val="center"/>
          </w:tcPr>
          <w:p>
            <w:pPr>
              <w:pStyle w:val="Normal"/>
            </w:pPr>
            <w:r>
              <w:t xml:space="preserve">51.3% of students in grades 3 - 6 were Proficient or Advanced on the Math PSSA. This was 10% above the statewide average.</w:t>
            </w:r>
          </w:p>
        </w:tc>
        <w:tc>
          <w:tcPr>
            <w:vAlign w:val="center"/>
          </w:tcPr>
          <w:p>
            <w:pPr>
              <w:pStyle w:val="Normal"/>
            </w:pPr>
            <w:r>
              <w:t xml:space="preserve">Although our percentage of students scoring Proficient or Advanced on the Math PSSA is above the state average, there is still significant room for growth. Many of our students do not know their math facts fluently, which could be causing them to use significant cognitive load to solve basic math facts, which then distracts from their ability to comprehend and solve more complex portions of math problems.</w:t>
            </w:r>
          </w:p>
        </w:tc>
        <w:tc>
          <w:tcPr>
            <w:vAlign w:val="center"/>
          </w:tcPr>
          <w:p>
            <w:pPr>
              <w:pStyle w:val="Normal"/>
            </w:pPr>
            <w:r>
              <w:t xml:space="preserve">True</w:t>
            </w:r>
          </w:p>
        </w:tc>
      </w:tr>
    </w:tbl>
    <w:p>
      <w:pPr>
        <w:pStyle w:val="Heading2"/>
      </w:pPr>
      <w:r>
        <w:t xml:space="preserve">Analyzing Strengths</w:t>
      </w:r>
    </w:p>
    <w:tbl>
      <w:tblPr>
        <w:tblStyle w:val="TableGrid"/>
        <w:tblW w:w="5000" w:type="pct"/>
      </w:tblPr>
      <w:tblGrid>
        <w:gridCol/>
        <w:gridCol/>
      </w:tblGrid>
      <w:tr>
        <w:trPr/>
        <w:tc>
          <w:tcPr>
            <w:vAlign w:val="center"/>
          </w:tcPr>
          <w:p>
            <w:pPr>
              <w:pStyle w:val="Normal"/>
            </w:pPr>
            <w:r>
              <w:t xml:space="preserve">Analyzing Strengths</w:t>
            </w:r>
          </w:p>
        </w:tc>
        <w:tc>
          <w:tcPr>
            <w:vAlign w:val="center"/>
          </w:tcPr>
          <w:p>
            <w:pPr>
              <w:pStyle w:val="Normal"/>
            </w:pPr>
            <w:r>
              <w:t xml:space="preserve">Discussion Points</w:t>
            </w:r>
          </w:p>
        </w:tc>
      </w:tr>
      <w:tr>
        <w:trPr/>
        <w:tc>
          <w:tcPr>
            <w:vAlign w:val="center"/>
          </w:tcPr>
          <w:p>
            <w:pPr>
              <w:pStyle w:val="Normal"/>
            </w:pPr>
            <w:r>
              <w:t xml:space="preserve">Dedicated team of educators to focus on MTSS implementation, reviewing student data and analyzing individual student data to determine appropriate levels of academic support.</w:t>
            </w:r>
          </w:p>
        </w:tc>
        <w:tc>
          <w:tcPr>
            <w:vAlign w:val="center"/>
          </w:tcPr>
          <w:p>
            <w:pPr>
              <w:pStyle w:val="Normal"/>
            </w:pPr>
            <w:r>
              <w:t xml:space="preserve">This team meets on a weekly basis to analyze student needs. Strategic decisions are made to benefit each student. When needed, additional members are added to the team to ensure students' needs are being met. This team communicates regularly with the classroom teacher, adding them to the team as necessary.</w:t>
            </w:r>
          </w:p>
        </w:tc>
      </w:tr>
      <w:tr>
        <w:trPr/>
        <w:tc>
          <w:tcPr>
            <w:vAlign w:val="center"/>
          </w:tcPr>
          <w:p>
            <w:pPr>
              <w:pStyle w:val="Normal"/>
            </w:pPr>
            <w:r>
              <w:t xml:space="preserve">Continued implementation of a cohesive resource for ELA instruction K-6.</w:t>
            </w:r>
          </w:p>
        </w:tc>
        <w:tc>
          <w:tcPr>
            <w:vAlign w:val="center"/>
          </w:tcPr>
          <w:p>
            <w:pPr>
              <w:pStyle w:val="Normal"/>
            </w:pPr>
            <w:r>
              <w:t xml:space="preserve">We are continuing to implement a consistent cohesive resource for K-6. We have added UFLI to teach and reinforce early reading skills and updated to the newest edition available for grades 3-5.</w:t>
            </w:r>
          </w:p>
        </w:tc>
      </w:tr>
      <w:tr>
        <w:trPr/>
        <w:tc>
          <w:tcPr>
            <w:vAlign w:val="center"/>
          </w:tcPr>
          <w:p>
            <w:pPr>
              <w:pStyle w:val="Normal"/>
            </w:pPr>
            <w:r>
              <w:t xml:space="preserve">Implementation of a cohesive resource for Math instruction K-6.</w:t>
            </w:r>
          </w:p>
        </w:tc>
        <w:tc>
          <w:tcPr>
            <w:vAlign w:val="center"/>
          </w:tcPr>
          <w:p>
            <w:pPr>
              <w:pStyle w:val="Normal"/>
            </w:pPr>
            <w:r>
              <w:t xml:space="preserve">We are continuing to implement a consistent cohesive resource for K-6. Adding intervention tools has benefited students with additional mathematics needs.</w:t>
            </w:r>
          </w:p>
        </w:tc>
      </w:tr>
      <w:tr>
        <w:trPr/>
        <w:tc>
          <w:tcPr>
            <w:vAlign w:val="center"/>
          </w:tcPr>
          <w:p>
            <w:pPr>
              <w:pStyle w:val="Normal"/>
            </w:pPr>
            <w:r>
              <w:t xml:space="preserve">Implementation of Science resource grades K-5 which aligns to PA STEELS.</w:t>
            </w:r>
          </w:p>
        </w:tc>
        <w:tc>
          <w:tcPr>
            <w:vAlign w:val="center"/>
          </w:tcPr>
          <w:p>
            <w:pPr>
              <w:pStyle w:val="Normal"/>
            </w:pPr>
            <w:r>
              <w:t xml:space="preserve">We are continuing to implement a consistent cohesive resource for K-5.</w:t>
            </w:r>
          </w:p>
        </w:tc>
      </w:tr>
      <w:tr>
        <w:trPr/>
        <w:tc>
          <w:tcPr>
            <w:vAlign w:val="center"/>
          </w:tcPr>
          <w:p>
            <w:pPr>
              <w:pStyle w:val="Normal"/>
            </w:pPr>
            <w:r>
              <w:t xml:space="preserve">Implementation of Science resource for grade 6 which aligns to PA STEELS and is consistent with the resource being used for grades 7 &amp; 8.</w:t>
            </w:r>
          </w:p>
        </w:tc>
        <w:tc>
          <w:tcPr>
            <w:vAlign w:val="center"/>
          </w:tcPr>
          <w:p>
            <w:pPr>
              <w:pStyle w:val="Normal"/>
            </w:pPr>
            <w:r>
              <w:t xml:space="preserve">Aligning with Grades 7-8 will help our students have a smoother transition as they move to the Secondary school and continue their Science education.</w:t>
            </w:r>
          </w:p>
        </w:tc>
      </w:tr>
      <w:tr>
        <w:trPr/>
        <w:tc>
          <w:tcPr>
            <w:vAlign w:val="center"/>
          </w:tcPr>
          <w:p>
            <w:pPr>
              <w:pStyle w:val="Normal"/>
            </w:pPr>
            <w:r>
              <w:t xml:space="preserve">Provisional WIDA scores indicate that ELLs are making progress in learning English.</w:t>
            </w:r>
          </w:p>
        </w:tc>
        <w:tc>
          <w:tcPr>
            <w:vAlign w:val="center"/>
          </w:tcPr>
          <w:p>
            <w:pPr>
              <w:pStyle w:val="Normal"/>
            </w:pPr>
            <w:r>
              <w:t xml:space="preserve">Making progress in learning English will help these students have a better understanding of the instruction that is being presented to them. This in turn should help them to perform better on local and statewide assessments.</w:t>
            </w:r>
          </w:p>
        </w:tc>
      </w:tr>
      <w:tr>
        <w:trPr/>
        <w:tc>
          <w:tcPr>
            <w:vAlign w:val="center"/>
          </w:tcPr>
          <w:p>
            <w:pPr>
              <w:pStyle w:val="Normal"/>
            </w:pPr>
            <w:r>
              <w:t xml:space="preserve">The overall building schedule allows dedicated time for intervention and enrichment for students in all grade levels.</w:t>
            </w:r>
          </w:p>
        </w:tc>
        <w:tc>
          <w:tcPr>
            <w:vAlign w:val="center"/>
          </w:tcPr>
          <w:p>
            <w:pPr>
              <w:pStyle w:val="Normal"/>
            </w:pPr>
            <w:r>
              <w:t xml:space="preserve">The building schedule prioritizes instructional time and we strive to create uninterrupted instruction for students.</w:t>
            </w:r>
          </w:p>
        </w:tc>
      </w:tr>
      <w:tr>
        <w:trPr/>
        <w:tc>
          <w:tcPr>
            <w:vAlign w:val="center"/>
          </w:tcPr>
          <w:p>
            <w:pPr>
              <w:pStyle w:val="Normal"/>
            </w:pPr>
            <w:r>
              <w:t xml:space="preserve">Fostering high expectations for all</w:t>
            </w:r>
          </w:p>
        </w:tc>
        <w:tc>
          <w:tcPr>
            <w:vAlign w:val="center"/>
          </w:tcPr>
          <w:p>
            <w:pPr>
              <w:pStyle w:val="Normal"/>
            </w:pPr>
            <w:r>
              <w:t xml:space="preserve">All students can be successful and we strive to help all students feel successful in their learning.</w:t>
            </w:r>
          </w:p>
        </w:tc>
      </w:tr>
      <w:tr>
        <w:trPr/>
        <w:tc>
          <w:tcPr>
            <w:vAlign w:val="center"/>
          </w:tcPr>
          <w:p>
            <w:pPr>
              <w:pStyle w:val="Normal"/>
            </w:pPr>
            <w:r>
              <w:t xml:space="preserve">Identify and address individual student learning needs</w:t>
            </w:r>
          </w:p>
        </w:tc>
        <w:tc>
          <w:tcPr>
            <w:vAlign w:val="center"/>
          </w:tcPr>
          <w:p>
            <w:pPr>
              <w:pStyle w:val="Normal"/>
            </w:pPr>
            <w:r>
              <w:t xml:space="preserve">Dedicated time for academic intervention groups is provided for each grade level. Intervention groups for Social Emotional needs are also provided to students who show a need through universal assessments.</w:t>
            </w:r>
          </w:p>
        </w:tc>
      </w:tr>
      <w:tr>
        <w:trPr/>
        <w:tc>
          <w:tcPr>
            <w:vAlign w:val="center"/>
          </w:tcPr>
          <w:p>
            <w:pPr>
              <w:pStyle w:val="Normal"/>
            </w:pPr>
            <w:r>
              <w:t xml:space="preserve">Overall, the students met the standard for growth in Mathematics, with a score of 71.</w:t>
            </w:r>
          </w:p>
        </w:tc>
        <w:tc>
          <w:tcPr>
            <w:vAlign w:val="center"/>
          </w:tcPr>
          <w:p>
            <w:pPr>
              <w:pStyle w:val="Normal"/>
            </w:pPr>
            <w:r>
              <w:t xml:space="preserve">This is a positive reflection of student growth in Mathematics.</w:t>
            </w:r>
          </w:p>
        </w:tc>
      </w:tr>
    </w:tbl>
    <w:p>
      <w:pPr>
        <w:pStyle w:val="Heading2"/>
      </w:pPr>
      <w:r>
        <w:t xml:space="preserve">Priority Challenges</w:t>
      </w:r>
    </w:p>
    <w:tbl>
      <w:tblPr>
        <w:tblStyle w:val="TableGrid"/>
        <w:tblW w:w="5000" w:type="pct"/>
      </w:tblPr>
      <w:tblGrid>
        <w:gridCol/>
        <w:gridCol/>
      </w:tblGrid>
      <w:tr>
        <w:trPr/>
        <w:tc>
          <w:tcPr>
            <w:vAlign w:val="center"/>
          </w:tcPr>
          <w:p>
            <w:pPr>
              <w:pStyle w:val="Normal"/>
            </w:pPr>
            <w:r>
              <w:t xml:space="preserve">Analyzing Priority Challenges</w:t>
            </w:r>
          </w:p>
        </w:tc>
        <w:tc>
          <w:tcPr>
            <w:vAlign w:val="center"/>
          </w:tcPr>
          <w:p>
            <w:pPr>
              <w:pStyle w:val="Normal"/>
            </w:pPr>
            <w:r>
              <w:t xml:space="preserve">Priority Statements</w:t>
            </w:r>
          </w:p>
        </w:tc>
      </w:tr>
      <w:tr>
        <w:trPr/>
        <w:tc>
          <w:tcPr>
            <w:vAlign w:val="center"/>
          </w:tcPr>
          <w:p/>
        </w:tc>
        <w:tc>
          <w:tcPr>
            <w:vAlign w:val="center"/>
          </w:tcPr>
          <w:p>
            <w:pPr>
              <w:pStyle w:val="Normal"/>
            </w:pPr>
            <w:r>
              <w:t xml:space="preserve">Establish flexible, accessible family-engagement systems—such as varied meeting times, virtual options, transportation-aware scheduling, and purposeful outreach—to reduce participation barriers and rebuild consistent family connections to the school.</w:t>
            </w:r>
          </w:p>
        </w:tc>
      </w:tr>
      <w:tr>
        <w:trPr/>
        <w:tc>
          <w:tcPr>
            <w:vAlign w:val="center"/>
          </w:tcPr>
          <w:p/>
        </w:tc>
        <w:tc>
          <w:tcPr>
            <w:vAlign w:val="center"/>
          </w:tcPr>
          <w:p>
            <w:pPr>
              <w:pStyle w:val="Normal"/>
            </w:pPr>
            <w:r>
              <w:t xml:space="preserve">Strengthen the building’s systems for using student growth data to plan, deliver, and monitor differentiated instruction so that students with IEPs and students receiving targeted support toward grade-level progress receive appropriate instruction that promotes at least one year of growth. More targeted instruction for these groups of students will help to see an increase in the percentage of students who are proficient or advanced on the English Language Arts/Literature PSSA.</w:t>
            </w:r>
          </w:p>
        </w:tc>
      </w:tr>
      <w:tr>
        <w:trPr/>
        <w:tc>
          <w:tcPr>
            <w:vAlign w:val="center"/>
          </w:tcPr>
          <w:p/>
        </w:tc>
        <w:tc>
          <w:tcPr>
            <w:vAlign w:val="center"/>
          </w:tcPr>
          <w:p>
            <w:pPr>
              <w:pStyle w:val="Normal"/>
            </w:pPr>
            <w:r>
              <w:t xml:space="preserve">Implement a consistent, schoolwide system for explicit math-fact fluency instruction, practice, progress monitoring, and family communication so students build automaticity with foundational facts and can devote more cognitive effort to solving complex mathematical problems.</w:t>
            </w:r>
          </w:p>
        </w:tc>
      </w:tr>
    </w:tbl>
    <w:p>
      <w:pPr>
        <w:pStyle w:val="Normal"/>
      </w:pPr>
      <w:r>
        <w:br w:type="page"/>
      </w:r>
      <w:r>
        <w:lastRenderedPageBreak/>
      </w:r>
    </w:p>
    <w:p>
      <w:pPr>
        <w:pStyle w:val="Heading1"/>
      </w:pPr>
      <w:r>
        <w:t xml:space="preserve">Goal Setting</w:t>
      </w:r>
    </w:p>
    <w:p>
      <w:pPr>
        <w:pStyle w:val="Heading2"/>
      </w:pPr>
      <w:r>
        <w:t xml:space="preserve">Priority: Establish flexible, accessible family-engagement systems—such as varied meeting times, virtual options, transportation-aware scheduling, and purposeful outreach—to reduce participation barriers and rebuild consistent family connections to the school.</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Parent and family engagement</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the school will increase the percentage of families participating in at least one school-based engagement opportunity by 10 percentage points from the 2025–2026 baseline, as measured through event sign-in records and virtual participation data, by offering flexible meeting times, virtual participation options, transportation-aware scheduling, and targeted family outreach.</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Family Engagement</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Family Engagement Opportunities presented during the First Quarter include: Sneak a Peek Kindergarten Open House Read Under the Lights Donuts with Grown-ups Trunk or Treat Family Event during Book Fair Parent Teacher Conferences Analyze and compare event sign-in records between the 2025-2026 school year and the 2026-2027 school year.</w:t>
            </w:r>
          </w:p>
        </w:tc>
        <w:tc>
          <w:tcPr>
            <w:vAlign w:val="center"/>
          </w:tcPr>
          <w:p>
            <w:pPr>
              <w:pStyle w:val="Normal"/>
            </w:pPr>
            <w:r>
              <w:t xml:space="preserve">Family Engagement Opportunities presented during the Second Quarter include: This period of time does not offer opportunities for Parents to join in activities at school. We need to prioritize at least one activity during this time period.</w:t>
            </w:r>
          </w:p>
        </w:tc>
        <w:tc>
          <w:tcPr>
            <w:vAlign w:val="center"/>
          </w:tcPr>
          <w:p>
            <w:pPr>
              <w:pStyle w:val="Normal"/>
            </w:pPr>
            <w:r>
              <w:t xml:space="preserve">Family Engagement Opportunities presented during the Third Quarter include: Family Event during Book Fair - StarBooks Cafe Parent Teacher Conferences Analyze and compare event sign-in records between the 2025-2026 school year and the 2026-2027 school year.</w:t>
            </w:r>
          </w:p>
        </w:tc>
        <w:tc>
          <w:tcPr>
            <w:vAlign w:val="center"/>
          </w:tcPr>
          <w:p>
            <w:pPr>
              <w:pStyle w:val="Normal"/>
            </w:pPr>
            <w:r>
              <w:t xml:space="preserve">STEAM Night Field Day Analyze and compare event sign-in records between the 2025-2026 school year and the 2026-2027 school year.</w:t>
            </w:r>
          </w:p>
        </w:tc>
      </w:tr>
    </w:tbl>
    <w:p>
      <w:pPr>
        <w:pStyle w:val="Heading2"/>
      </w:pPr>
      <w:r>
        <w:t xml:space="preserve">Priority: Strengthen the building’s systems for using student growth data to plan, deliver, and monitor differentiated instruction so that students with IEPs and students receiving targeted support toward grade-level progress receive appropriate instruction that promotes at least one year of growth. More targeted instruction for these groups of students will help to see an increase in the percentage of students who are proficient or advanced on the English Language Arts/Literature PSSA.</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English Language Arts</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students with IEPs and students receiving targeted ELA support will demonstrate at least one year of growth on the building’s identified progress-monitoring assessment, and the percentage of these students scoring Proficient or Advanced on the 2027 ELA/Literature PSSA will increase by at least 5 percentage points from the 2026 baseline, as measured through PSSA and student growth data.</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English Language Arts/Literature Growth</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Identify students in need of Tiered intervention in English Language Arts based on universal assessments and needs previously identified through IEPs. Determine if these students will receive their intervention via Learning Support (identified through an IEP) or General Education, Tier 3 instruction.</w:t>
            </w:r>
          </w:p>
        </w:tc>
        <w:tc>
          <w:tcPr>
            <w:vAlign w:val="center"/>
          </w:tcPr>
          <w:p>
            <w:pPr>
              <w:pStyle w:val="Normal"/>
            </w:pPr>
            <w:r>
              <w:t xml:space="preserve">Monitor and adjust instruction based on consistent progress monitoring probes.</w:t>
            </w:r>
          </w:p>
        </w:tc>
        <w:tc>
          <w:tcPr>
            <w:vAlign w:val="center"/>
          </w:tcPr>
          <w:p>
            <w:pPr>
              <w:pStyle w:val="Normal"/>
            </w:pPr>
            <w:r>
              <w:t xml:space="preserve">Adjust instruction and groups based on mid-year universal assessments and progress towards goals.</w:t>
            </w:r>
          </w:p>
        </w:tc>
        <w:tc>
          <w:tcPr>
            <w:vAlign w:val="center"/>
          </w:tcPr>
          <w:p>
            <w:pPr>
              <w:pStyle w:val="Normal"/>
            </w:pPr>
            <w:r>
              <w:t xml:space="preserve">Continue to adjust instruction and groups based progress towards goals. After administration of end of year Universal assessments, analyze data to determine growth over the course of the school-year.</w:t>
            </w:r>
          </w:p>
        </w:tc>
      </w:tr>
    </w:tbl>
    <w:p>
      <w:pPr>
        <w:pStyle w:val="Heading2"/>
      </w:pPr>
      <w:r>
        <w:t xml:space="preserve">Priority: Implement a consistent, schoolwide system for explicit math-fact fluency instruction, practice, progress monitoring, and family communication so students build automaticity with foundational facts and can devote more cognitive effort to solving complex mathematical problems.</w:t>
      </w:r>
    </w:p>
    <w:tbl>
      <w:tblPr>
        <w:tblStyle w:val="TableGrid"/>
        <w:tblW w:w="5000" w:type="pct"/>
      </w:tblPr>
      <w:tblGrid>
        <w:gridCol/>
        <w:gridCol/>
        <w:gridCol/>
        <w:gridCol/>
      </w:tblGrid>
      <w:tr>
        <w:trPr/>
        <w:tc>
          <w:tcPr>
            <w:gridSpan w:val="4"/>
            <w:vAlign w:val="center"/>
          </w:tcPr>
          <w:p>
            <w:pPr>
              <w:pStyle w:val="Normal"/>
            </w:pPr>
            <w:r>
              <w:rPr>
                <w:b/>
              </w:rPr>
              <w:t xml:space="preserve">Outcome Category</w:t>
            </w:r>
          </w:p>
        </w:tc>
      </w:tr>
      <w:tr>
        <w:trPr/>
        <w:tc>
          <w:tcPr>
            <w:gridSpan w:val="4"/>
            <w:vAlign w:val="center"/>
          </w:tcPr>
          <w:p>
            <w:pPr>
              <w:pStyle w:val="Normal"/>
            </w:pPr>
            <w:r>
              <w:t xml:space="preserve">Mathematics</w:t>
            </w:r>
          </w:p>
        </w:tc>
      </w:tr>
      <w:tr>
        <w:trPr/>
        <w:tc>
          <w:tcPr>
            <w:gridSpan w:val="4"/>
            <w:vAlign w:val="center"/>
          </w:tcPr>
          <w:p>
            <w:pPr>
              <w:pStyle w:val="Normal"/>
            </w:pPr>
            <w:r>
              <w:rPr>
                <w:b/>
              </w:rPr>
              <w:t xml:space="preserve">Measurable Goal Statement (Smart Goal)</w:t>
            </w:r>
          </w:p>
        </w:tc>
      </w:tr>
      <w:tr>
        <w:trPr/>
        <w:tc>
          <w:tcPr>
            <w:gridSpan w:val="4"/>
            <w:vAlign w:val="center"/>
          </w:tcPr>
          <w:p>
            <w:pPr>
              <w:pStyle w:val="Normal"/>
            </w:pPr>
            <w:r>
              <w:t xml:space="preserve">By June 2027, at least 75% of students in grades K–6 will show growth on their mathematics universal assessments due to focusing on math fact fluency throughout the school year. Consistent explicit instruction, daily practice, progress monitoring, intervention, and family communication will be encouraged.</w:t>
            </w:r>
          </w:p>
        </w:tc>
      </w:tr>
      <w:tr>
        <w:trPr/>
        <w:tc>
          <w:tcPr>
            <w:gridSpan w:val="4"/>
            <w:vAlign w:val="center"/>
          </w:tcPr>
          <w:p>
            <w:pPr>
              <w:pStyle w:val="Normal"/>
            </w:pPr>
            <w:r>
              <w:rPr>
                <w:b/>
              </w:rPr>
              <w:t xml:space="preserve">Measurable Goal Nickname (35 Character Max)</w:t>
            </w:r>
          </w:p>
        </w:tc>
      </w:tr>
      <w:tr>
        <w:trPr/>
        <w:tc>
          <w:tcPr>
            <w:gridSpan w:val="4"/>
            <w:vAlign w:val="center"/>
          </w:tcPr>
          <w:p>
            <w:pPr>
              <w:pStyle w:val="Normal"/>
            </w:pPr>
            <w:r>
              <w:t xml:space="preserve">Mathematics Growth</w:t>
            </w:r>
          </w:p>
        </w:tc>
      </w:tr>
      <w:tr>
        <w:trPr/>
        <w:tc>
          <w:tcPr>
            <w:vAlign w:val="center"/>
          </w:tcPr>
          <w:p>
            <w:pPr>
              <w:pStyle w:val="Normal"/>
            </w:pPr>
            <w:r>
              <w:rPr>
                <w:b/>
              </w:rPr>
              <w:t xml:space="preserve">Target 1st Quarter</w:t>
            </w:r>
          </w:p>
        </w:tc>
        <w:tc>
          <w:tcPr>
            <w:vAlign w:val="center"/>
          </w:tcPr>
          <w:p>
            <w:pPr>
              <w:pStyle w:val="Normal"/>
            </w:pPr>
            <w:r>
              <w:rPr>
                <w:b/>
              </w:rPr>
              <w:t xml:space="preserve">Target 2nd Quarter</w:t>
            </w:r>
          </w:p>
        </w:tc>
        <w:tc>
          <w:tcPr>
            <w:vAlign w:val="center"/>
          </w:tcPr>
          <w:p>
            <w:pPr>
              <w:pStyle w:val="Normal"/>
            </w:pPr>
            <w:r>
              <w:rPr>
                <w:b/>
              </w:rPr>
              <w:t xml:space="preserve">Target 3rd Quarter</w:t>
            </w:r>
          </w:p>
        </w:tc>
        <w:tc>
          <w:tcPr>
            <w:vAlign w:val="center"/>
          </w:tcPr>
          <w:p>
            <w:pPr>
              <w:pStyle w:val="Normal"/>
            </w:pPr>
            <w:r>
              <w:rPr>
                <w:b/>
              </w:rPr>
              <w:t xml:space="preserve">Target 4th Quarter</w:t>
            </w:r>
          </w:p>
        </w:tc>
      </w:tr>
      <w:tr>
        <w:trPr/>
        <w:tc>
          <w:tcPr>
            <w:vAlign w:val="center"/>
          </w:tcPr>
          <w:p>
            <w:pPr>
              <w:pStyle w:val="Normal"/>
            </w:pPr>
            <w:r>
              <w:t xml:space="preserve">Create and share information with families regarding the importance of math fact fluency.</w:t>
            </w:r>
          </w:p>
        </w:tc>
        <w:tc>
          <w:tcPr>
            <w:vAlign w:val="center"/>
          </w:tcPr>
          <w:p>
            <w:pPr>
              <w:pStyle w:val="Normal"/>
            </w:pPr>
            <w:r>
              <w:t xml:space="preserve">Math fact fluency instruction and practice, including progress monitoring, interventions, and ongoing family communication.</w:t>
            </w:r>
          </w:p>
        </w:tc>
        <w:tc>
          <w:tcPr>
            <w:vAlign w:val="center"/>
          </w:tcPr>
          <w:p>
            <w:pPr>
              <w:pStyle w:val="Normal"/>
            </w:pPr>
            <w:r>
              <w:t xml:space="preserve">Math fact fluency instruction and practice, including progress monitoring, interventions, and ongoing family communication.</w:t>
            </w:r>
          </w:p>
        </w:tc>
        <w:tc>
          <w:tcPr>
            <w:vAlign w:val="center"/>
          </w:tcPr>
          <w:p>
            <w:pPr>
              <w:pStyle w:val="Normal"/>
            </w:pPr>
            <w:r>
              <w:t xml:space="preserve">Math fact fluency instruction and practice, including progress monitoring, interventions, and ongoing family communication. Growth on end of year universal assessments will be evident. Fact fluency will allow students to focus their cognitive load on more complex areas of mathematics.</w:t>
            </w:r>
          </w:p>
        </w:tc>
      </w:tr>
    </w:tbl>
    <w:p>
      <w:pPr>
        <w:pStyle w:val="Normal"/>
      </w:pPr>
      <w:r>
        <w:br w:type="page"/>
      </w:r>
      <w:r>
        <w:lastRenderedPageBreak/>
      </w:r>
    </w:p>
    <w:p>
      <w:pPr>
        <w:pStyle w:val="Heading1"/>
      </w:pPr>
      <w:r>
        <w:t xml:space="preserve">Action Plan</w:t>
      </w:r>
    </w:p>
    <w:p>
      <w:pPr>
        <w:pStyle w:val="Heading2"/>
      </w:pPr>
      <w:r>
        <w:t xml:space="preserve">Measurable Goals</w:t>
      </w:r>
    </w:p>
    <w:tbl>
      <w:tblPr>
        <w:tblStyle w:val="TableGrid"/>
        <w:tblW w:w="5000" w:type="pct"/>
      </w:tblPr>
      <w:tblGrid>
        <w:gridCol/>
        <w:gridCol/>
      </w:tblGrid>
      <w:tr>
        <w:trPr/>
        <w:tc>
          <w:tcPr>
            <w:vAlign w:val="center"/>
          </w:tcPr>
          <w:p>
            <w:pPr>
              <w:pStyle w:val="Normal"/>
            </w:pPr>
            <w:r>
              <w:t xml:space="preserve">Family Engagement</w:t>
            </w:r>
          </w:p>
        </w:tc>
        <w:tc>
          <w:tcPr>
            <w:vAlign w:val="center"/>
          </w:tcPr>
          <w:p>
            <w:pPr>
              <w:pStyle w:val="Normal"/>
            </w:pPr>
            <w:r>
              <w:t xml:space="preserve">English Language Arts/Literature Growth</w:t>
            </w:r>
          </w:p>
        </w:tc>
      </w:tr>
      <w:tr>
        <w:trPr/>
        <w:tc>
          <w:tcPr>
            <w:vAlign w:val="center"/>
          </w:tcPr>
          <w:p>
            <w:pPr>
              <w:pStyle w:val="Normal"/>
            </w:pPr>
            <w:r>
              <w:t xml:space="preserve">Mathematics Growth</w:t>
            </w:r>
          </w:p>
        </w:tc>
        <w:tc>
          <w:tcPr>
            <w:tcW w:w="0"/>
          </w:tcPr>
          <w:p/>
        </w:tc>
      </w:tr>
    </w:tbl>
    <w:p>
      <w:pPr>
        <w:pStyle w:val="Heading2"/>
      </w:pPr>
      <w:r>
        <w:t xml:space="preserve">Action Plan For: Family Engagement</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the school will increase the percentage of families participating in at least one school-based engagement opportunity by 10 percentage points from the 2025–2026 baseline, as measured through event sign-in records and virtual participation data, by offering flexible meeting times, virtual participation options, transportation-aware scheduling, and targeted family outreach.</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Establish baseline and engagement measures by reviewing 2025–2026 event sign-in records and virtual participation data; identify the percentage of families who participated in at least one school-based opportunity; create a consistent system for tracking unique family participation.</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Valerie Kauffman/Administrative Assistant</w:t>
            </w:r>
          </w:p>
        </w:tc>
        <w:tc>
          <w:tcPr>
            <w:vAlign w:val="center"/>
          </w:tcPr>
          <w:p>
            <w:pPr>
              <w:pStyle w:val="Normal"/>
            </w:pPr>
            <w:r>
              <w:t xml:space="preserve">Participation data from 2025-2026 school year.</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Identify family needs and barriers by surveying families in accessible formats to identify preferred event topics, dates, times, communication methods, transportation needs, and barriers to participation. Review results by grade level and student group.</w:t>
            </w:r>
          </w:p>
        </w:tc>
        <w:tc>
          <w:tcPr>
            <w:vAlign w:val="center"/>
          </w:tcPr>
          <w:p>
            <w:pPr>
              <w:pStyle w:val="Normal"/>
            </w:pPr>
            <w:r>
              <w:t xml:space="preserve">2026-09-15</w:t>
            </w:r>
          </w:p>
        </w:tc>
        <w:tc>
          <w:tcPr>
            <w:vAlign w:val="center"/>
          </w:tcPr>
          <w:p>
            <w:pPr>
              <w:pStyle w:val="Normal"/>
            </w:pPr>
            <w:r>
              <w:t xml:space="preserve">2026-10-14</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Gates/Dean of Students Valerie Kauffman/Administrative Assistant Classroom Teachers, English Language Development Teacher</w:t>
            </w:r>
          </w:p>
        </w:tc>
        <w:tc>
          <w:tcPr>
            <w:vAlign w:val="center"/>
          </w:tcPr>
          <w:p>
            <w:pPr>
              <w:pStyle w:val="Normal"/>
            </w:pPr>
            <w:r>
              <w:t xml:space="preserve">Electronic communication systems: Class Dojo, email Paper Flyers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When at all possible, family events will be offered free of charge to reduce the barrier for families with financial difficulties.</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Salisbury PTC</w:t>
            </w:r>
          </w:p>
        </w:tc>
        <w:tc>
          <w:tcPr>
            <w:vAlign w:val="center"/>
          </w:tcPr>
          <w:p>
            <w:pPr>
              <w:pStyle w:val="Normal"/>
            </w:pPr>
            <w:r>
              <w:t xml:space="preserve">Funding of events through PVSD funds, PVEF funds, and PTC funds.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Offer flexible engagement opportunities to families. Provide a balanced calendar of school-based opportunities, including daytime, evening, and virtual options. Offer at least one virtual or hybrid option for major family events when feasible. When possible, share resources electronically or via paper copy for families who were unable to attend the event.</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Gates/Dean of Students Valerie Kauffman/Administrative Assistant Salisbury PTC</w:t>
            </w:r>
          </w:p>
        </w:tc>
        <w:tc>
          <w:tcPr>
            <w:vAlign w:val="center"/>
          </w:tcPr>
          <w:p>
            <w:pPr>
              <w:pStyle w:val="Normal"/>
            </w:pPr>
            <w:r>
              <w:t xml:space="preserve">Electronic and paper copies of resources provided at in-person events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Plan events with scheduling in mind. Avoid predictable conflicts when possible, coordinate with other schools in the district, offer events adjacent to student activities or conferences, and communicate dates well in advance. Communicate events through multiple methods, including email, text, flyers, school website, social media, and personal invitations from staff. Follow up with families who have not yet participated.</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Valerie Kauffman/Administrative Assistant Professional and Support Staff</w:t>
            </w:r>
          </w:p>
        </w:tc>
        <w:tc>
          <w:tcPr>
            <w:vAlign w:val="center"/>
          </w:tcPr>
          <w:p>
            <w:pPr>
              <w:pStyle w:val="Normal"/>
            </w:pPr>
            <w:r>
              <w:t xml:space="preserve">Flyers Electronic Communication methods Personal Invitations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Build staff capacity and shared responsibility by clarifying staff roles for welcoming families, conducting outreach, collecting attendance, and facilitating meaningful engagement opportunities. Provide staff with common talking points and communication templates.</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Valerie Kauffman/Administrative Assistant Professional and Support Staff</w:t>
            </w:r>
          </w:p>
        </w:tc>
        <w:tc>
          <w:tcPr>
            <w:vAlign w:val="center"/>
          </w:tcPr>
          <w:p>
            <w:pPr>
              <w:pStyle w:val="Normal"/>
            </w:pPr>
            <w:r>
              <w:t xml:space="preserve">Method for collecting and recording attendance; common talking points; communication templates.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Monitor progress and make adjustments by reviewing unique family participation data after each event and formally at the end of each trimester. Identify grade levels or groups with lower participation and adjust outreach, timing, format, or event topics.</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Gates/Dean of Students Valerie Kauffman/Administrative Assistant</w:t>
            </w:r>
          </w:p>
        </w:tc>
        <w:tc>
          <w:tcPr>
            <w:vAlign w:val="center"/>
          </w:tcPr>
          <w:p>
            <w:pPr>
              <w:pStyle w:val="Normal"/>
            </w:pPr>
            <w:r>
              <w:t xml:space="preserve">Data from Family Engagement events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Evaluate outcomes by comparing the percentage of families participating in at least one engagement opportunity during 2026–2027 with the 2025–2026 baseline. Gather family feedback to inform the next year’s plan.</w:t>
            </w:r>
          </w:p>
        </w:tc>
        <w:tc>
          <w:tcPr>
            <w:vAlign w:val="center"/>
          </w:tcPr>
          <w:p>
            <w:pPr>
              <w:pStyle w:val="Normal"/>
            </w:pPr>
            <w:r>
              <w:t xml:space="preserve">2027-06-02</w:t>
            </w:r>
          </w:p>
        </w:tc>
        <w:tc>
          <w:tcPr>
            <w:vAlign w:val="center"/>
          </w:tcPr>
          <w:p>
            <w:pPr>
              <w:pStyle w:val="Normal"/>
            </w:pPr>
            <w:r>
              <w:t xml:space="preserve">2027-06-30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Gates/Dean of Students Valerie Kauffman/Administrative Assistant</w:t>
            </w:r>
          </w:p>
        </w:tc>
        <w:tc>
          <w:tcPr>
            <w:vAlign w:val="center"/>
          </w:tcPr>
          <w:p>
            <w:pPr>
              <w:pStyle w:val="Normal"/>
            </w:pPr>
            <w:r>
              <w:t xml:space="preserve">Data from participation in family engagement events from 2026-2027 and 2025 - 2026.</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pPr>
              <w:pStyle w:val="Normal"/>
            </w:pPr>
            <w:r>
              <w:t xml:space="preserve">Increase of at least 10% in the the percentage of families participating in at least one school-based engagement opportunity from the 2025–2026 baseline.</w:t>
            </w:r>
          </w:p>
        </w:tc>
        <w:tc>
          <w:tcPr>
            <w:vAlign w:val="center"/>
          </w:tcPr>
          <w:p>
            <w:pPr>
              <w:pStyle w:val="Normal"/>
            </w:pPr>
            <w:r>
              <w:t xml:space="preserve">Sheri McGowan/Principal Kayley Gates/Dean of Students Valerie Kauffman/Administrative Assistant Frequency: attendance records from each event will be compared with attendance records from the 2025-2026 school year. Comparisons will be calculated electronically or via paper/pencil calculations.</w:t>
            </w:r>
          </w:p>
        </w:tc>
      </w:tr>
    </w:tbl>
    <w:p>
      <w:pPr>
        <w:pStyle w:val="Heading2"/>
      </w:pPr>
      <w:r>
        <w:t xml:space="preserve">Action Plan For: Literacy Growth</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students with IEPs and students receiving targeted ELA support will demonstrate at least one year of growth on the building’s identified progress-monitoring assessment, and the percentage of these students scoring Proficient or Advanced on the 2027 ELA/Literature PSSA will increase by at least 5 percentage points from the 2026 baseline, as measured through PSSA and student growth data.</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Establish baseline data using universal assessments at the beginning of the school year. Identify students with IEPs and students receiving targeted ELA support; compile 2026 PSSA, benchmark, diagnostic, IEP, and classroom data; establish an individual growth goal for each student.</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Interventionists, Special Education Teachers, Classroom Teachers</w:t>
            </w:r>
          </w:p>
        </w:tc>
        <w:tc>
          <w:tcPr>
            <w:vAlign w:val="center"/>
          </w:tcPr>
          <w:p>
            <w:pPr>
              <w:pStyle w:val="Normal"/>
            </w:pPr>
            <w:r>
              <w:t xml:space="preserve">Universal Assessment data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Continue use of established data-review structure. Schedule grade-level/data-team meetings at least every six weeks to review progress-monitoring results, identify skill needs, and adjust instruction, intervention groups, or supports.</w:t>
            </w:r>
          </w:p>
        </w:tc>
        <w:tc>
          <w:tcPr>
            <w:vAlign w:val="center"/>
          </w:tcPr>
          <w:p>
            <w:pPr>
              <w:pStyle w:val="Normal"/>
            </w:pPr>
            <w:r>
              <w:t xml:space="preserve">2026-09-16</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instructional coach, grade-level teams, Special Education Consultant, Assistant Superintendent</w:t>
            </w:r>
          </w:p>
        </w:tc>
        <w:tc>
          <w:tcPr>
            <w:vAlign w:val="center"/>
          </w:tcPr>
          <w:p>
            <w:pPr>
              <w:pStyle w:val="Normal"/>
            </w:pPr>
            <w:r>
              <w:t xml:space="preserve">Data from universal assessments and progress monitoring probes.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Provide targeted, explicit, differentiated ELA instruction. Use assessment data to provide explicit, standards-aligned small-group instruction in foundational skills, reading fluency, vocabulary, comprehension, and written response; ensure IEP accommodations and specially designed instruction are consistently implemented.</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Classroom teachers, Special Education Teachers, Interventionists Kayley Gates/MTSS Coordinator Sheri McGowan/Principal Cathy Koenig/Director of Special Education</w:t>
            </w:r>
          </w:p>
        </w:tc>
        <w:tc>
          <w:tcPr>
            <w:vAlign w:val="center"/>
          </w:tcPr>
          <w:p>
            <w:pPr>
              <w:pStyle w:val="Normal"/>
            </w:pPr>
            <w:r>
              <w:t xml:space="preserve">English Language Arts resources for core instruction and intervention.</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Monitor intervention effectiveness by administering the identified universal assessments at least three times per year, with more frequent progress monitoring for students not on track; use results to intensify, revise, or fade supports.</w:t>
            </w:r>
          </w:p>
        </w:tc>
        <w:tc>
          <w:tcPr>
            <w:vAlign w:val="center"/>
          </w:tcPr>
          <w:p>
            <w:pPr>
              <w:pStyle w:val="Normal"/>
            </w:pPr>
            <w:r>
              <w:t xml:space="preserve">2026-09-22</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Kayley Gates/MTSS Coordinator Interventionist, Special Education Teachers, Classroom Teachers</w:t>
            </w:r>
          </w:p>
        </w:tc>
        <w:tc>
          <w:tcPr>
            <w:vAlign w:val="center"/>
          </w:tcPr>
          <w:p>
            <w:pPr>
              <w:pStyle w:val="Normal"/>
            </w:pPr>
            <w:r>
              <w:t xml:space="preserve">Progress Monitoring data and universal screening data (updated as the year progresses)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Build educator capacity through Professional Development opportunities which may include, but are not limited to: writing instruction, Phonics instruction professional learning, interpreting student growth data, differentiating core instruction, delivering evidence-based interventions, implementing SDI, writing TDAs based on resources being used at PV, and using ELA PSSA item-analysis data.</w:t>
            </w:r>
          </w:p>
        </w:tc>
        <w:tc>
          <w:tcPr>
            <w:vAlign w:val="center"/>
          </w:tcPr>
          <w:p>
            <w:pPr>
              <w:pStyle w:val="Normal"/>
            </w:pPr>
            <w:r>
              <w:t xml:space="preserve">2026-07-20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Gates/Dean of Students Rich Eby/Assistant Superintendent Contracted consultants and specialists</w:t>
            </w:r>
          </w:p>
        </w:tc>
        <w:tc>
          <w:tcPr>
            <w:vAlign w:val="center"/>
          </w:tcPr>
          <w:p>
            <w:pPr>
              <w:pStyle w:val="Normal"/>
            </w:pPr>
            <w:r>
              <w:t xml:space="preserve">Dependent on specific Professional Learning being provided</w:t>
            </w:r>
          </w:p>
        </w:tc>
        <w:tc>
          <w:tcPr>
            <w:vAlign w:val="center"/>
          </w:tcPr>
          <w:p>
            <w:pPr>
              <w:pStyle w:val="Normal"/>
            </w:pPr>
            <w:r>
              <w:t xml:space="preserve">Yes</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Engage families in students’ literacy growth by providing information on Universal assessments, individualized instruction, and growth towards individual goals.</w:t>
            </w:r>
          </w:p>
        </w:tc>
        <w:tc>
          <w:tcPr>
            <w:vAlign w:val="center"/>
          </w:tcPr>
          <w:p>
            <w:pPr>
              <w:pStyle w:val="Normal"/>
            </w:pPr>
            <w:r>
              <w:t xml:space="preserve">2026-10-21</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Kayley Gates/MTSS Coordinator Interventionist, Classroom Teachers, Special Education Teachers</w:t>
            </w:r>
          </w:p>
        </w:tc>
        <w:tc>
          <w:tcPr>
            <w:vAlign w:val="center"/>
          </w:tcPr>
          <w:p>
            <w:pPr>
              <w:pStyle w:val="Normal"/>
            </w:pPr>
            <w:r>
              <w:t xml:space="preserve">Letters generated via Branching Minds, NWEA MAP, Progress Reports, Report Cards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Evaluate outcomes and plan next steps by comparing spring progress-monitoring and 2027 ELA/Literature PSSA results with the 2026 baseline; identify successful practices and students or groups needing continued support</w:t>
            </w:r>
          </w:p>
        </w:tc>
        <w:tc>
          <w:tcPr>
            <w:vAlign w:val="center"/>
          </w:tcPr>
          <w:p>
            <w:pPr>
              <w:pStyle w:val="Normal"/>
            </w:pPr>
            <w:r>
              <w:t xml:space="preserve">2027-05-25</w:t>
            </w:r>
          </w:p>
        </w:tc>
        <w:tc>
          <w:tcPr>
            <w:vAlign w:val="center"/>
          </w:tcPr>
          <w:p>
            <w:pPr>
              <w:pStyle w:val="Normal"/>
            </w:pPr>
            <w:r>
              <w:t xml:space="preserve">2027-06-30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Interventionist, Classroom Teachers, Special Education Teachers</w:t>
            </w:r>
          </w:p>
        </w:tc>
        <w:tc>
          <w:tcPr>
            <w:vAlign w:val="center"/>
          </w:tcPr>
          <w:p>
            <w:pPr>
              <w:pStyle w:val="Normal"/>
            </w:pPr>
            <w:r>
              <w:t xml:space="preserve">Data from universal screenings, progress monitoring, and PSSA.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pPr>
              <w:pStyle w:val="Normal"/>
            </w:pPr>
            <w:r>
              <w:t xml:space="preserve">Students participating in intervention groups and those with IEPs for English Language Arts will show a 5% increase in their PSSA scores from 2025-2026.</w:t>
            </w:r>
          </w:p>
        </w:tc>
        <w:tc>
          <w:tcPr>
            <w:vAlign w:val="center"/>
          </w:tcPr>
          <w:p>
            <w:pPr>
              <w:pStyle w:val="Normal"/>
            </w:pPr>
            <w:r>
              <w:t xml:space="preserve">Review implementation and student-growth data during monthly leadership or grade-level meetings. At year’s end, compare spring universal-assessment results to fall baseline data and identify next steps.</w:t>
            </w:r>
          </w:p>
        </w:tc>
      </w:tr>
    </w:tbl>
    <w:p>
      <w:pPr>
        <w:pStyle w:val="Heading2"/>
      </w:pPr>
      <w:r>
        <w:t xml:space="preserve">Action Plan For: Mathematics Growth</w:t>
      </w:r>
    </w:p>
    <w:tbl>
      <w:tblPr>
        <w:tblStyle w:val="TableGrid"/>
        <w:tblW w:w="5000" w:type="pct"/>
      </w:tblPr>
      <w:tblGrid>
        <w:gridCol/>
        <w:gridCol/>
        <w:gridCol/>
        <w:gridCol/>
      </w:tblGrid>
      <w:tr>
        <w:trPr/>
        <w:tc>
          <w:tcPr>
            <w:gridSpan w:val="4"/>
            <w:vAlign w:val="center"/>
          </w:tcPr>
          <w:p>
            <w:pPr>
              <w:pStyle w:val="Normal"/>
            </w:pPr>
            <w:r>
              <w:rPr>
                <w:b/>
              </w:rPr>
              <w:t xml:space="preserve">Measurable Goals:</w:t>
            </w:r>
          </w:p>
        </w:tc>
      </w:tr>
      <w:tr>
        <w:trPr/>
        <w:tc>
          <w:tcPr>
            <w:gridSpan w:val="4"/>
            <w:vAlign w:val="center"/>
          </w:tcPr>
          <w:p>
            <w:pPr>
              <w:pStyle w:val="ListParagraph"/>
              <w:numPr>
                <w:ilvl w:val="0"/>
                <w:numId w:val="2"/>
              </w:numPr>
            </w:pPr>
            <w:r>
              <w:t xml:space="preserve">By June 2027, at least 75% of students in grades K–6 will show growth on their mathematics universal assessments due to focusing on math fact fluency throughout the school year. Consistent explicit instruction, daily practice, progress monitoring, intervention, and family communication will be encouraged.</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Establish baseline data and grade-level expectations through administration of fall mathematics universal assessments; identify students needing additional support with math facts and math concepts.</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Interventionists, Special Education Teachers, Classroom Teachers</w:t>
            </w:r>
          </w:p>
        </w:tc>
        <w:tc>
          <w:tcPr>
            <w:vAlign w:val="center"/>
          </w:tcPr>
          <w:p>
            <w:pPr>
              <w:pStyle w:val="Normal"/>
            </w:pPr>
            <w:r>
              <w:t xml:space="preserve">Universal Assessments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Implement consistent explicit, grade-appropriate instruction in efficient strategies, number relationships, and automaticity. Ensure instruction emphasizes understanding and strategy use before memorization.</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Classroom Teachers, Special Education Teachers, Interventionist</w:t>
            </w:r>
          </w:p>
        </w:tc>
        <w:tc>
          <w:tcPr>
            <w:vAlign w:val="center"/>
          </w:tcPr>
          <w:p>
            <w:pPr>
              <w:pStyle w:val="Normal"/>
            </w:pPr>
            <w:r>
              <w:t xml:space="preserve">Mathematics resources for core instruction and differentiated instruction through Tier 3 and/or Special Education</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Daily practice opportunities will be embeded. Students will be provided with brief, engaging opportunities to practice math facts through games, routines, partner practice, digital tools, and teacher-led review. Differentiate practice based on student need. Students will also have daily opportunities to practice and refine math skills through explicit instruction and spiral review.</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Classroom Teachers, Special Education Teachers, Interventionists Kayley Gates/MTSS Coordinator</w:t>
            </w:r>
          </w:p>
        </w:tc>
        <w:tc>
          <w:tcPr>
            <w:vAlign w:val="center"/>
          </w:tcPr>
          <w:p>
            <w:pPr>
              <w:pStyle w:val="Normal"/>
            </w:pPr>
            <w:r>
              <w:t xml:space="preserve">Math resources iPads/laptops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Classroom teachers will use formative and summative assessment to guide classroom instruction. Interventionists and Learning Support teachers will use progress monitoring data to guide and adjust instruction. Universal-assessment data will be reviewed three times per year.Results to regroup students, adjust instructional strategies, and identify students needing intervention.</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Classroom Teachers, Special Education Teachers, Interventionists Kayley Gates/MTSS Coordinator Sheri McGowan/Principal Rich Eby/Assistant Superintendent</w:t>
            </w:r>
          </w:p>
        </w:tc>
        <w:tc>
          <w:tcPr>
            <w:vAlign w:val="center"/>
          </w:tcPr>
          <w:p>
            <w:pPr>
              <w:pStyle w:val="Normal"/>
            </w:pPr>
            <w:r>
              <w:t xml:space="preserve">Classroom data Universal Assessment data Progress Monitoring data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Provide targeted intervention and enrichment as needs are identified through formative and summative assessments. Provide small-group or individual intervention for students not meeting expectations. Offer enrichment and complex problem-solving opportunities for students who demonstrate mastery.</w:t>
            </w:r>
          </w:p>
        </w:tc>
        <w:tc>
          <w:tcPr>
            <w:vAlign w:val="center"/>
          </w:tcPr>
          <w:p>
            <w:pPr>
              <w:pStyle w:val="Normal"/>
            </w:pPr>
            <w:r>
              <w:t xml:space="preserve">2026-09-30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Kayley Gates/MTSS Coordinator Interventionists, Classroom teachers, Learning Support Teachers Sheri McGowan/Principal</w:t>
            </w:r>
          </w:p>
        </w:tc>
        <w:tc>
          <w:tcPr>
            <w:vAlign w:val="center"/>
          </w:tcPr>
          <w:p>
            <w:pPr>
              <w:pStyle w:val="Normal"/>
            </w:pPr>
            <w:r>
              <w:t xml:space="preserve">Data Intervention resources ipads/laptops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Build staff capacity and consistency by providing professional learning on effective math instruction, use of common assessments, differentiation, and interpreting student growth data on an as needed basis. Develop shared grade-level routines and resources.</w:t>
            </w:r>
          </w:p>
        </w:tc>
        <w:tc>
          <w:tcPr>
            <w:vAlign w:val="center"/>
          </w:tcPr>
          <w:p>
            <w:pPr>
              <w:pStyle w:val="Normal"/>
            </w:pPr>
            <w:r>
              <w:t xml:space="preserve">2026-09-30</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Kayley Gates/MTSS Coordinator Sheri McGowan/Principal Rich Eby/Assistant Superintendent</w:t>
            </w:r>
          </w:p>
        </w:tc>
        <w:tc>
          <w:tcPr>
            <w:vAlign w:val="center"/>
          </w:tcPr>
          <w:p>
            <w:pPr>
              <w:pStyle w:val="Normal"/>
            </w:pPr>
            <w:r>
              <w:t xml:space="preserve">Materials needed for individual Professional Learning sessions</w:t>
            </w:r>
          </w:p>
        </w:tc>
        <w:tc>
          <w:tcPr>
            <w:vAlign w:val="center"/>
          </w:tcPr>
          <w:p>
            <w:pPr>
              <w:pStyle w:val="Normal"/>
            </w:pPr>
            <w:r>
              <w:t xml:space="preserve">Yes</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Communicate with families by sharing grade-level expectations, students’ individual goals, and simple at-home practice ideas. Provide updates on progress and celebrate student growth. Provide topics of learning for each grade level.</w:t>
            </w:r>
          </w:p>
        </w:tc>
        <w:tc>
          <w:tcPr>
            <w:vAlign w:val="center"/>
          </w:tcPr>
          <w:p>
            <w:pPr>
              <w:pStyle w:val="Normal"/>
            </w:pPr>
            <w:r>
              <w:t xml:space="preserve">2026-09-16</w:t>
            </w:r>
          </w:p>
        </w:tc>
        <w:tc>
          <w:tcPr>
            <w:vAlign w:val="center"/>
          </w:tcPr>
          <w:p>
            <w:pPr>
              <w:pStyle w:val="Normal"/>
            </w:pPr>
            <w:r>
              <w:t xml:space="preserve">2027-06-02</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Kayley Gates/MTSS Coordinator Interventionists, Classroom Teachers, Learning Support Teachers</w:t>
            </w:r>
          </w:p>
        </w:tc>
        <w:tc>
          <w:tcPr>
            <w:vAlign w:val="center"/>
          </w:tcPr>
          <w:p>
            <w:pPr>
              <w:pStyle w:val="Normal"/>
            </w:pPr>
            <w:r>
              <w:t xml:space="preserve">Letters generated via Branching Minds, NWEA MAP, Progress Reports, Report Cards, Infograms for each grade level informing families of Mathematics topics covered in each grade level.</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 xml:space="preserve">Action Step</w:t>
            </w:r>
          </w:p>
        </w:tc>
        <w:tc>
          <w:tcPr>
            <w:vAlign w:val="center"/>
          </w:tcPr>
          <w:p>
            <w:pPr>
              <w:pStyle w:val="Normal"/>
            </w:pPr>
            <w:r>
              <w:rPr>
                <w:b/>
              </w:rPr>
              <w:t xml:space="preserve">Anticipated Start Date</w:t>
            </w:r>
          </w:p>
        </w:tc>
        <w:tc>
          <w:tcPr>
            <w:vAlign w:val="center"/>
          </w:tcPr>
          <w:p>
            <w:pPr>
              <w:pStyle w:val="Normal"/>
            </w:pPr>
            <w:r>
              <w:rPr>
                <w:b/>
              </w:rPr>
              <w:t xml:space="preserve">Anticipated Completion Date</w:t>
            </w:r>
          </w:p>
        </w:tc>
      </w:tr>
      <w:tr>
        <w:trPr/>
        <w:tc>
          <w:tcPr>
            <w:gridSpan w:val="2"/>
            <w:vAlign w:val="center"/>
          </w:tcPr>
          <w:p>
            <w:pPr>
              <w:pStyle w:val="Normal"/>
            </w:pPr>
            <w:r>
              <w:t xml:space="preserve">Evaluate outcomes and plan next steps by comparing spring progress-monitoring and 2027 Mathematics PSSA results with the 2026 baseline; identify successful practices and students or groups needing continued support</w:t>
            </w:r>
          </w:p>
        </w:tc>
        <w:tc>
          <w:tcPr>
            <w:vAlign w:val="center"/>
          </w:tcPr>
          <w:p>
            <w:pPr>
              <w:pStyle w:val="Normal"/>
            </w:pPr>
            <w:r>
              <w:t xml:space="preserve">2027-05-22</w:t>
            </w:r>
          </w:p>
        </w:tc>
        <w:tc>
          <w:tcPr>
            <w:vAlign w:val="center"/>
          </w:tcPr>
          <w:p>
            <w:pPr>
              <w:pStyle w:val="Normal"/>
            </w:pPr>
            <w:r>
              <w:t xml:space="preserve">2027-06-30</w:t>
            </w:r>
          </w:p>
        </w:tc>
      </w:tr>
      <w:tr>
        <w:trPr/>
        <w:tc>
          <w:tcPr>
            <w:vAlign w:val="center"/>
          </w:tcPr>
          <w:p>
            <w:pPr>
              <w:pStyle w:val="Normal"/>
            </w:pPr>
            <w:r>
              <w:rPr>
                <w:b/>
              </w:rPr>
              <w:t xml:space="preserve">Lead Person/Position</w:t>
            </w:r>
          </w:p>
        </w:tc>
        <w:tc>
          <w:tcPr>
            <w:vAlign w:val="center"/>
          </w:tcPr>
          <w:p>
            <w:pPr>
              <w:pStyle w:val="Normal"/>
            </w:pPr>
            <w:r>
              <w:rPr>
                <w:b/>
              </w:rPr>
              <w:t xml:space="preserve">Material/Resources/Supports Needed</w:t>
            </w:r>
          </w:p>
        </w:tc>
        <w:tc>
          <w:tcPr>
            <w:vAlign w:val="center"/>
          </w:tcPr>
          <w:p>
            <w:pPr>
              <w:pStyle w:val="Normal"/>
            </w:pPr>
            <w:r>
              <w:rPr>
                <w:b/>
              </w:rPr>
              <w:t xml:space="preserve">PD Step?</w:t>
            </w:r>
          </w:p>
        </w:tc>
        <w:tc>
          <w:tcPr>
            <w:vAlign w:val="center"/>
          </w:tcPr>
          <w:p/>
        </w:tc>
      </w:tr>
      <w:tr>
        <w:trPr/>
        <w:tc>
          <w:tcPr>
            <w:vAlign w:val="center"/>
          </w:tcPr>
          <w:p>
            <w:pPr>
              <w:pStyle w:val="Normal"/>
            </w:pPr>
            <w:r>
              <w:t xml:space="preserve">Sheri McGowan/Principal Kayley Gates/MTSS Coordinator Interventionist, Classroom Teachers, Special Education Teachers</w:t>
            </w:r>
          </w:p>
        </w:tc>
        <w:tc>
          <w:tcPr>
            <w:vAlign w:val="center"/>
          </w:tcPr>
          <w:p>
            <w:pPr>
              <w:pStyle w:val="Normal"/>
            </w:pPr>
            <w:r>
              <w:t xml:space="preserve">Data from universal assessments, progress monitoring and Mathematics PSSA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 xml:space="preserve">Anticipated Output</w:t>
            </w:r>
          </w:p>
        </w:tc>
        <w:tc>
          <w:tcPr>
            <w:vAlign w:val="center"/>
          </w:tcPr>
          <w:p>
            <w:pPr>
              <w:pStyle w:val="Normal"/>
            </w:pPr>
            <w:r>
              <w:rPr>
                <w:b/>
              </w:rPr>
              <w:t xml:space="preserve">Monitoring/Evaluation (People, Frequency, and Method)</w:t>
            </w:r>
          </w:p>
        </w:tc>
      </w:tr>
      <w:tr>
        <w:trPr/>
        <w:tc>
          <w:tcPr>
            <w:vAlign w:val="center"/>
          </w:tcPr>
          <w:p>
            <w:pPr>
              <w:pStyle w:val="Normal"/>
            </w:pPr>
            <w:r>
              <w:t xml:space="preserve">At least 75% of students in grades K–6 demonstrate growth on mathematics universal assessments; findings inform the 2027–2028 plan.</w:t>
            </w:r>
          </w:p>
        </w:tc>
        <w:tc>
          <w:tcPr>
            <w:vAlign w:val="center"/>
          </w:tcPr>
          <w:p>
            <w:pPr>
              <w:pStyle w:val="Normal"/>
            </w:pPr>
            <w:r>
              <w:t xml:space="preserve">Review implementation and student-growth data during monthly leadership or grade-level meetings. At year’s end, compare spring universal-assessment results to fall baseline data and identify next steps.</w:t>
            </w:r>
          </w:p>
        </w:tc>
      </w:tr>
    </w:tbl>
    <w:p>
      <w:pPr>
        <w:pStyle w:val="Normal"/>
      </w:pPr>
      <w:r>
        <w:br w:type="page"/>
      </w:r>
      <w:r>
        <w:lastRenderedPageBreak/>
      </w:r>
    </w:p>
    <w:p>
      <w:pPr>
        <w:pStyle w:val="Heading1"/>
      </w:pPr>
      <w:r>
        <w:t xml:space="preserve">Expenditure Tables</w:t>
      </w:r>
    </w:p>
    <w:p>
      <w:pPr>
        <w:pStyle w:val="Heading2"/>
      </w:pPr>
      <w:r>
        <w:t xml:space="preserve">School Improvement Set Aside Grant</w:t>
      </w:r>
    </w:p>
    <w:p>
      <w:pPr>
        <w:pStyle w:val="Normal"/>
      </w:pPr>
      <w:r>
        <w:rPr>
          <w:b/>
        </w:rPr>
        <w:t xml:space="preserve">True </w:t>
      </w:r>
      <w:r>
        <w:t xml:space="preserve">School does not receive School Improvement Set Aside Grant.</w:t>
      </w:r>
    </w:p>
    <w:p>
      <w:pPr>
        <w:pStyle w:val="Heading2"/>
      </w:pPr>
      <w:r>
        <w:t xml:space="preserve">Schoolwide Title 1 Funding Allocation</w:t>
      </w:r>
    </w:p>
    <w:p>
      <w:pPr>
        <w:pStyle w:val="Normal"/>
      </w:pPr>
      <w:r>
        <w:rPr>
          <w:b/>
        </w:rPr>
        <w:t xml:space="preserve">False </w:t>
      </w:r>
      <w:r>
        <w:t xml:space="preserve">School does not receive Schoolwide Title 1 funding.</w:t>
      </w:r>
    </w:p>
    <w:tbl>
      <w:tblPr>
        <w:tblStyle w:val="TableGrid"/>
        <w:tblW w:w="5000" w:type="pct"/>
      </w:tblPr>
      <w:tblGrid>
        <w:gridCol/>
        <w:gridCol/>
        <w:gridCol/>
        <w:gridCol/>
        <w:gridCol/>
      </w:tblGrid>
      <w:tr>
        <w:trPr/>
        <w:tc>
          <w:tcPr>
            <w:tcW w:w="1500" w:type="pct"/>
            <w:vAlign w:val="center"/>
          </w:tcPr>
          <w:p>
            <w:pPr>
              <w:pStyle w:val="Normal"/>
            </w:pPr>
            <w:r>
              <w:rPr>
                <w:b/>
              </w:rPr>
              <w:t xml:space="preserve">eGgrant Budget Category (Schoolwide Funding)</w:t>
            </w:r>
          </w:p>
        </w:tc>
        <w:tc>
          <w:tcPr>
            <w:tcW w:w="1000" w:type="pct"/>
            <w:vAlign w:val="center"/>
          </w:tcPr>
          <w:p>
            <w:pPr>
              <w:pStyle w:val="Normal"/>
            </w:pPr>
            <w:r>
              <w:rPr>
                <w:b/>
              </w:rPr>
              <w:t xml:space="preserve">Action Plan(s)</w:t>
            </w:r>
          </w:p>
        </w:tc>
        <w:tc>
          <w:tcPr>
            <w:tcW w:w="1000" w:type="pct"/>
            <w:vAlign w:val="center"/>
          </w:tcPr>
          <w:p>
            <w:pPr>
              <w:pStyle w:val="Normal"/>
            </w:pPr>
            <w:r>
              <w:rPr>
                <w:b/>
              </w:rPr>
              <w:t xml:space="preserve">Expenditure Description</w:t>
            </w:r>
          </w:p>
        </w:tc>
        <w:tc>
          <w:tcPr>
            <w:tcW w:w="500" w:type="pct"/>
            <w:vAlign w:val="center"/>
          </w:tcPr>
          <w:p>
            <w:pPr>
              <w:pStyle w:val="Normal"/>
            </w:pPr>
            <w:r>
              <w:rPr>
                <w:b/>
              </w:rPr>
              <w:t xml:space="preserve">Amount</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Family Engagement</w:t>
            </w:r>
          </w:p>
          <w:p>
            <w:pPr>
              <w:pStyle w:val="ListParagraph"/>
              <w:numPr>
                <w:ilvl w:val="0"/>
                <w:numId w:val="2"/>
              </w:numPr>
            </w:pPr>
            <w:r>
              <w:t xml:space="preserve">Literacy Growth</w:t>
            </w:r>
          </w:p>
          <w:p>
            <w:pPr>
              <w:pStyle w:val="ListParagraph"/>
              <w:numPr>
                <w:ilvl w:val="0"/>
                <w:numId w:val="2"/>
              </w:numPr>
            </w:pPr>
            <w:r>
              <w:t xml:space="preserve">Mathematics Growth</w:t>
            </w:r>
          </w:p>
        </w:tc>
        <w:tc>
          <w:tcPr>
            <w:vAlign w:val="center"/>
          </w:tcPr>
          <w:p>
            <w:pPr>
              <w:pStyle w:val="Normal"/>
            </w:pPr>
            <w:r>
              <w:t xml:space="preserve">Salaries for the MTSS Tier III Intervention instructional staff.</w:t>
            </w:r>
          </w:p>
        </w:tc>
        <w:tc>
          <w:tcPr>
            <w:vAlign w:val="center"/>
          </w:tcPr>
          <w:p>
            <w:pPr>
              <w:pStyle w:val="Normal"/>
            </w:pPr>
            <w:r>
              <w:t xml:space="preserve">$202, 144</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Family Engagement</w:t>
            </w:r>
          </w:p>
          <w:p>
            <w:pPr>
              <w:pStyle w:val="ListParagraph"/>
              <w:numPr>
                <w:ilvl w:val="0"/>
                <w:numId w:val="2"/>
              </w:numPr>
            </w:pPr>
            <w:r>
              <w:t xml:space="preserve">Literacy Growth</w:t>
            </w:r>
          </w:p>
          <w:p>
            <w:pPr>
              <w:pStyle w:val="ListParagraph"/>
              <w:numPr>
                <w:ilvl w:val="0"/>
                <w:numId w:val="2"/>
              </w:numPr>
            </w:pPr>
            <w:r>
              <w:t xml:space="preserve">Mathematics Growth</w:t>
            </w:r>
          </w:p>
        </w:tc>
        <w:tc>
          <w:tcPr>
            <w:vAlign w:val="center"/>
          </w:tcPr>
          <w:p>
            <w:pPr>
              <w:pStyle w:val="Normal"/>
            </w:pPr>
            <w:r>
              <w:t xml:space="preserve">Benefits for the MTSS Tier III Intervention instructional staff.</w:t>
            </w:r>
          </w:p>
        </w:tc>
        <w:tc>
          <w:tcPr>
            <w:vAlign w:val="center"/>
          </w:tcPr>
          <w:p>
            <w:pPr>
              <w:pStyle w:val="Normal"/>
            </w:pPr>
            <w:r>
              <w:t xml:space="preserve">$90, 357</w:t>
            </w:r>
          </w:p>
        </w:tc>
        <w:tc>
          <w:tcPr>
            <w:tcW w:w="0"/>
          </w:tcPr>
          <w:p/>
        </w:tc>
      </w:tr>
      <w:tr>
        <w:trPr/>
        <w:tc>
          <w:tcPr>
            <w:vAlign w:val="center"/>
          </w:tcPr>
          <w:p>
            <w:pPr>
              <w:pStyle w:val="Normal"/>
            </w:pPr>
            <w:r>
              <w:t xml:space="preserve">Instruction</w:t>
            </w:r>
          </w:p>
        </w:tc>
        <w:tc>
          <w:tcPr>
            <w:vAlign w:val="center"/>
          </w:tcPr>
          <w:p>
            <w:pPr>
              <w:pStyle w:val="ListParagraph"/>
              <w:numPr>
                <w:ilvl w:val="0"/>
                <w:numId w:val="2"/>
              </w:numPr>
            </w:pPr>
            <w:r>
              <w:t xml:space="preserve">Literacy Growth</w:t>
            </w:r>
          </w:p>
          <w:p>
            <w:pPr>
              <w:pStyle w:val="ListParagraph"/>
              <w:numPr>
                <w:ilvl w:val="0"/>
                <w:numId w:val="2"/>
              </w:numPr>
            </w:pPr>
            <w:r>
              <w:t xml:space="preserve">Mathematics Growth</w:t>
            </w:r>
          </w:p>
        </w:tc>
        <w:tc>
          <w:tcPr>
            <w:vAlign w:val="center"/>
          </w:tcPr>
          <w:p>
            <w:pPr>
              <w:pStyle w:val="Normal"/>
            </w:pPr>
            <w:r>
              <w:t xml:space="preserve">STS - MTSS Tier III Paraeducator support compensation</w:t>
            </w:r>
          </w:p>
        </w:tc>
        <w:tc>
          <w:tcPr>
            <w:vAlign w:val="center"/>
          </w:tcPr>
          <w:p>
            <w:pPr>
              <w:pStyle w:val="Normal"/>
            </w:pPr>
            <w:r>
              <w:t xml:space="preserve">$71.974</w:t>
            </w:r>
          </w:p>
        </w:tc>
        <w:tc>
          <w:tcPr>
            <w:tcW w:w="0"/>
          </w:tcPr>
          <w:p/>
        </w:tc>
      </w:tr>
      <w:tr>
        <w:trPr/>
        <w:tc>
          <w:tcPr>
            <w:vAlign w:val="center"/>
          </w:tcPr>
          <w:p>
            <w:pPr>
              <w:pStyle w:val="Normal"/>
            </w:pPr>
            <w:r>
              <w:t xml:space="preserve">Equipment</w:t>
            </w:r>
          </w:p>
        </w:tc>
        <w:tc>
          <w:tcPr>
            <w:vAlign w:val="center"/>
          </w:tcPr>
          <w:p>
            <w:pPr>
              <w:pStyle w:val="ListParagraph"/>
              <w:numPr>
                <w:ilvl w:val="0"/>
                <w:numId w:val="2"/>
              </w:numPr>
            </w:pPr>
            <w:r>
              <w:t xml:space="preserve">Family Engagement</w:t>
            </w:r>
          </w:p>
          <w:p>
            <w:pPr>
              <w:pStyle w:val="ListParagraph"/>
              <w:numPr>
                <w:ilvl w:val="0"/>
                <w:numId w:val="2"/>
              </w:numPr>
            </w:pPr>
            <w:r>
              <w:t xml:space="preserve">Literacy Growth</w:t>
            </w:r>
          </w:p>
          <w:p>
            <w:pPr>
              <w:pStyle w:val="ListParagraph"/>
              <w:numPr>
                <w:ilvl w:val="0"/>
                <w:numId w:val="2"/>
              </w:numPr>
            </w:pPr>
            <w:r>
              <w:t xml:space="preserve">Mathematics Growth</w:t>
            </w:r>
          </w:p>
        </w:tc>
        <w:tc>
          <w:tcPr>
            <w:vAlign w:val="center"/>
          </w:tcPr>
          <w:p>
            <w:pPr>
              <w:pStyle w:val="Normal"/>
            </w:pPr>
            <w:r>
              <w:t xml:space="preserve">Supplies</w:t>
            </w:r>
          </w:p>
        </w:tc>
        <w:tc>
          <w:tcPr>
            <w:vAlign w:val="center"/>
          </w:tcPr>
          <w:p>
            <w:pPr>
              <w:pStyle w:val="Normal"/>
            </w:pPr>
            <w:r>
              <w:t xml:space="preserve">$2,500</w:t>
            </w:r>
          </w:p>
        </w:tc>
        <w:tc>
          <w:tcPr>
            <w:tcW w:w="0"/>
          </w:tcPr>
          <w:p/>
        </w:tc>
      </w:tr>
      <w:tr>
        <w:trPr/>
        <w:tc>
          <w:tcPr>
            <w:vAlign w:val="center"/>
          </w:tcPr>
          <w:p>
            <w:pPr>
              <w:pStyle w:val="Normal"/>
            </w:pPr>
            <w:r>
              <w:t xml:space="preserve">Other Expenditures</w:t>
            </w:r>
          </w:p>
        </w:tc>
        <w:tc>
          <w:tcPr>
            <w:vAlign w:val="center"/>
          </w:tcPr>
          <w:p>
            <w:pPr>
              <w:pStyle w:val="ListParagraph"/>
              <w:numPr>
                <w:ilvl w:val="0"/>
                <w:numId w:val="2"/>
              </w:numPr>
            </w:pPr>
            <w:r>
              <w:t xml:space="preserve">Family Engagement</w:t>
            </w:r>
          </w:p>
        </w:tc>
        <w:tc>
          <w:tcPr>
            <w:vAlign w:val="center"/>
          </w:tcPr>
          <w:p>
            <w:pPr>
              <w:pStyle w:val="Normal"/>
            </w:pPr>
            <w:r>
              <w:t xml:space="preserve">Family Engagement events and supplies</w:t>
            </w:r>
          </w:p>
        </w:tc>
        <w:tc>
          <w:tcPr>
            <w:vAlign w:val="center"/>
          </w:tcPr>
          <w:p>
            <w:pPr>
              <w:pStyle w:val="Normal"/>
            </w:pPr>
            <w:r>
              <w:t xml:space="preserve">$5,370.05</w:t>
            </w:r>
          </w:p>
        </w:tc>
        <w:tc>
          <w:tcPr>
            <w:tcW w:w="0"/>
          </w:tcPr>
          <w:p/>
        </w:tc>
      </w:tr>
      <w:tr>
        <w:trPr/>
        <w:tc>
          <w:tcPr>
            <w:gridSpan w:val="4"/>
            <w:vAlign w:val="center"/>
          </w:tcPr>
          <w:p>
            <w:pPr>
              <w:pStyle w:val="Normal"/>
            </w:pPr>
            <w:r>
              <w:t xml:space="preserve">Total Expenditures</w:t>
            </w:r>
          </w:p>
        </w:tc>
        <w:tc>
          <w:tcPr>
            <w:vAlign w:val="center"/>
          </w:tcPr>
          <w:p>
            <w:pPr>
              <w:pStyle w:val="Normal"/>
            </w:pPr>
            <w:r>
              <w:t xml:space="preserve">0</w:t>
            </w:r>
          </w:p>
        </w:tc>
      </w:tr>
    </w:tbl>
    <w:sectPr>
      <w:footerReference xmlns:r="http://schemas.openxmlformats.org/officeDocument/2006/relationships" w:type="default" r:id="R6dfb6c0c7f8c4a49"/>
      <w:pgSz w:w="12240" w:h="15840" w:orient="landscape"/>
      <w:pgMar w:top="720" w:right="720" w:bottom="720" w:left="720"/>
    </w:sectPr>
  </w:body>
</w:document>
</file>

<file path=word/footer1.xml><?xml version="1.0" encoding="utf-8"?>
<w:ftr xmlns:w="http://schemas.openxmlformats.org/wordprocessingml/2006/main">
  <w:p>
    <w:pPr>
      <w:jc w:val="right"/>
    </w:pP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style xmlns:w="http://schemas.openxmlformats.org/wordprocessingml/2006/main" w:type="paragraph" w:styleId="Normal" w:default="1">
    <w:name w:val="Normal"/>
    <w:qFormat/>
  </w:style>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ListParagraph">
    <w:name w:val="List Paragraph"/>
    <w:next w:val="List Paragraph"/>
    <w:pPr>
      <w:keepNext w:val="0"/>
      <w:keepLines w:val="0"/>
      <w:spacing w:before="0" w:after="0" w:line="240" w:lineRule="auto"/>
      <w:ind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0c452d110582444d" /><Relationship Type="http://schemas.openxmlformats.org/officeDocument/2006/relationships/settings" Target="/word/settings.xml" Id="R6d6a4aa8dba64239" /><Relationship Type="http://schemas.openxmlformats.org/officeDocument/2006/relationships/numbering" Target="/word/numbering.xml" Id="Rdcca29be1bb14878" /><Relationship Type="http://schemas.openxmlformats.org/officeDocument/2006/relationships/footer" Target="/word/footer1.xml" Id="R6dfb6c0c7f8c4a49" /></Relationships>
</file>