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8146E" w14:textId="77777777" w:rsidR="00697499" w:rsidRDefault="00697499" w:rsidP="00697499">
      <w:pPr>
        <w:pStyle w:val="Title"/>
        <w:rPr>
          <w:sz w:val="60"/>
          <w:szCs w:val="60"/>
        </w:rPr>
      </w:pPr>
      <w:bookmarkStart w:id="0" w:name="_Toc291846940"/>
    </w:p>
    <w:p w14:paraId="7C35E63F" w14:textId="221F6DE8" w:rsidR="004B4F8F" w:rsidRPr="00A84AAB" w:rsidRDefault="00697499" w:rsidP="00697499">
      <w:pPr>
        <w:pStyle w:val="Title"/>
        <w:rPr>
          <w:sz w:val="60"/>
          <w:szCs w:val="60"/>
        </w:rPr>
      </w:pPr>
      <w:r>
        <w:rPr>
          <w:noProof/>
        </w:rPr>
        <w:drawing>
          <wp:inline distT="0" distB="0" distL="0" distR="0" wp14:anchorId="10380CEA" wp14:editId="4C94A3A0">
            <wp:extent cx="4759325" cy="800100"/>
            <wp:effectExtent l="0" t="0" r="3175" b="0"/>
            <wp:docPr id="1366834924"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34924" name="Picture 1" descr="Colorado Department of Education Logo"/>
                    <pic:cNvPicPr>
                      <a:picLocks noChangeAspect="1"/>
                    </pic:cNvPicPr>
                  </pic:nvPicPr>
                  <pic:blipFill>
                    <a:blip r:embed="rId8"/>
                    <a:stretch>
                      <a:fillRect/>
                    </a:stretch>
                  </pic:blipFill>
                  <pic:spPr>
                    <a:xfrm>
                      <a:off x="0" y="0"/>
                      <a:ext cx="4766321" cy="801276"/>
                    </a:xfrm>
                    <a:prstGeom prst="rect">
                      <a:avLst/>
                    </a:prstGeom>
                  </pic:spPr>
                </pic:pic>
              </a:graphicData>
            </a:graphic>
          </wp:inline>
        </w:drawing>
      </w:r>
    </w:p>
    <w:p w14:paraId="4A8A3B75" w14:textId="3417DC22" w:rsidR="00595B69" w:rsidRDefault="00595B69" w:rsidP="000135B2">
      <w:pPr>
        <w:jc w:val="center"/>
        <w:rPr>
          <w:noProof/>
          <w:sz w:val="50"/>
          <w:szCs w:val="50"/>
        </w:rPr>
      </w:pPr>
    </w:p>
    <w:p w14:paraId="1264DC05" w14:textId="77777777" w:rsidR="00595B69" w:rsidRDefault="00595B69" w:rsidP="000135B2">
      <w:pPr>
        <w:jc w:val="center"/>
        <w:rPr>
          <w:noProof/>
          <w:sz w:val="50"/>
          <w:szCs w:val="50"/>
        </w:rPr>
      </w:pPr>
    </w:p>
    <w:p w14:paraId="6188AE74" w14:textId="7B785C34" w:rsidR="000135B2" w:rsidRPr="0056608C" w:rsidRDefault="000135B2" w:rsidP="004B4F8F">
      <w:pPr>
        <w:jc w:val="center"/>
        <w:rPr>
          <w:rFonts w:asciiTheme="majorHAnsi" w:hAnsiTheme="majorHAnsi" w:cstheme="majorHAnsi"/>
          <w:sz w:val="48"/>
          <w:szCs w:val="48"/>
        </w:rPr>
      </w:pPr>
      <w:r w:rsidRPr="0056608C">
        <w:rPr>
          <w:rFonts w:asciiTheme="majorHAnsi" w:hAnsiTheme="majorHAnsi" w:cstheme="majorHAnsi"/>
          <w:sz w:val="48"/>
          <w:szCs w:val="48"/>
        </w:rPr>
        <w:t>Mill Levy Override Revenue Report</w:t>
      </w:r>
    </w:p>
    <w:p w14:paraId="46522D6E" w14:textId="77777777" w:rsidR="00387242" w:rsidRPr="0056608C" w:rsidRDefault="00387242" w:rsidP="004B4F8F">
      <w:pPr>
        <w:jc w:val="center"/>
        <w:rPr>
          <w:rFonts w:asciiTheme="majorHAnsi" w:hAnsiTheme="majorHAnsi" w:cstheme="majorHAnsi"/>
          <w:sz w:val="48"/>
          <w:szCs w:val="48"/>
        </w:rPr>
      </w:pPr>
      <w:r w:rsidRPr="0056608C">
        <w:rPr>
          <w:rFonts w:asciiTheme="majorHAnsi" w:hAnsiTheme="majorHAnsi" w:cstheme="majorHAnsi"/>
          <w:sz w:val="48"/>
          <w:szCs w:val="48"/>
        </w:rPr>
        <w:t>Pu</w:t>
      </w:r>
      <w:r w:rsidR="000135B2" w:rsidRPr="0056608C">
        <w:rPr>
          <w:rFonts w:asciiTheme="majorHAnsi" w:hAnsiTheme="majorHAnsi" w:cstheme="majorHAnsi"/>
          <w:sz w:val="48"/>
          <w:szCs w:val="48"/>
        </w:rPr>
        <w:t>r</w:t>
      </w:r>
      <w:r w:rsidRPr="0056608C">
        <w:rPr>
          <w:rFonts w:asciiTheme="majorHAnsi" w:hAnsiTheme="majorHAnsi" w:cstheme="majorHAnsi"/>
          <w:sz w:val="48"/>
          <w:szCs w:val="48"/>
        </w:rPr>
        <w:t>suant to</w:t>
      </w:r>
      <w:r w:rsidR="000135B2" w:rsidRPr="0056608C">
        <w:rPr>
          <w:rFonts w:asciiTheme="majorHAnsi" w:hAnsiTheme="majorHAnsi" w:cstheme="majorHAnsi"/>
          <w:sz w:val="48"/>
          <w:szCs w:val="48"/>
        </w:rPr>
        <w:t xml:space="preserve"> </w:t>
      </w:r>
    </w:p>
    <w:p w14:paraId="5399725A" w14:textId="5F3768B4" w:rsidR="000135B2" w:rsidRPr="0056608C" w:rsidRDefault="00387242" w:rsidP="004B4F8F">
      <w:pPr>
        <w:jc w:val="center"/>
        <w:rPr>
          <w:rFonts w:asciiTheme="majorHAnsi" w:hAnsiTheme="majorHAnsi" w:cstheme="majorHAnsi"/>
          <w:sz w:val="48"/>
          <w:szCs w:val="48"/>
        </w:rPr>
      </w:pPr>
      <w:r w:rsidRPr="0056608C">
        <w:rPr>
          <w:rFonts w:asciiTheme="majorHAnsi" w:hAnsiTheme="majorHAnsi" w:cstheme="majorHAnsi"/>
          <w:sz w:val="48"/>
          <w:szCs w:val="48"/>
        </w:rPr>
        <w:t xml:space="preserve">Section </w:t>
      </w:r>
      <w:r w:rsidR="000135B2" w:rsidRPr="0056608C">
        <w:rPr>
          <w:rFonts w:asciiTheme="majorHAnsi" w:hAnsiTheme="majorHAnsi" w:cstheme="majorHAnsi"/>
          <w:sz w:val="48"/>
          <w:szCs w:val="48"/>
        </w:rPr>
        <w:t>22-2-113.8</w:t>
      </w:r>
      <w:r w:rsidRPr="0056608C">
        <w:rPr>
          <w:rFonts w:asciiTheme="majorHAnsi" w:hAnsiTheme="majorHAnsi" w:cstheme="majorHAnsi"/>
          <w:sz w:val="48"/>
          <w:szCs w:val="48"/>
        </w:rPr>
        <w:t>, C.R.S.</w:t>
      </w:r>
    </w:p>
    <w:p w14:paraId="0FB81CE9" w14:textId="269BB244" w:rsidR="000135B2" w:rsidRPr="0056608C" w:rsidRDefault="00783D60" w:rsidP="004B4F8F">
      <w:pPr>
        <w:jc w:val="center"/>
        <w:rPr>
          <w:rFonts w:asciiTheme="majorHAnsi" w:hAnsiTheme="majorHAnsi" w:cstheme="majorHAnsi"/>
          <w:sz w:val="48"/>
          <w:szCs w:val="48"/>
        </w:rPr>
      </w:pPr>
      <w:r w:rsidRPr="0056608C">
        <w:rPr>
          <w:rFonts w:asciiTheme="majorHAnsi" w:hAnsiTheme="majorHAnsi" w:cstheme="majorHAnsi"/>
          <w:sz w:val="48"/>
          <w:szCs w:val="48"/>
        </w:rPr>
        <w:t>Fiscal Year: 20</w:t>
      </w:r>
      <w:r w:rsidR="000E58F8" w:rsidRPr="0056608C">
        <w:rPr>
          <w:rFonts w:asciiTheme="majorHAnsi" w:hAnsiTheme="majorHAnsi" w:cstheme="majorHAnsi"/>
          <w:sz w:val="48"/>
          <w:szCs w:val="48"/>
        </w:rPr>
        <w:t>2</w:t>
      </w:r>
      <w:r w:rsidR="00697499">
        <w:rPr>
          <w:rFonts w:asciiTheme="majorHAnsi" w:hAnsiTheme="majorHAnsi" w:cstheme="majorHAnsi"/>
          <w:sz w:val="48"/>
          <w:szCs w:val="48"/>
        </w:rPr>
        <w:t>4</w:t>
      </w:r>
      <w:r w:rsidRPr="0056608C">
        <w:rPr>
          <w:rFonts w:asciiTheme="majorHAnsi" w:hAnsiTheme="majorHAnsi" w:cstheme="majorHAnsi"/>
          <w:sz w:val="48"/>
          <w:szCs w:val="48"/>
        </w:rPr>
        <w:t>-20</w:t>
      </w:r>
      <w:r w:rsidR="00F5690C" w:rsidRPr="0056608C">
        <w:rPr>
          <w:rFonts w:asciiTheme="majorHAnsi" w:hAnsiTheme="majorHAnsi" w:cstheme="majorHAnsi"/>
          <w:sz w:val="48"/>
          <w:szCs w:val="48"/>
        </w:rPr>
        <w:t>2</w:t>
      </w:r>
      <w:r w:rsidR="00697499">
        <w:rPr>
          <w:rFonts w:asciiTheme="majorHAnsi" w:hAnsiTheme="majorHAnsi" w:cstheme="majorHAnsi"/>
          <w:sz w:val="48"/>
          <w:szCs w:val="48"/>
        </w:rPr>
        <w:t>5</w:t>
      </w:r>
    </w:p>
    <w:p w14:paraId="6536B2CA" w14:textId="77777777" w:rsidR="00FE5743" w:rsidRPr="0056608C" w:rsidRDefault="00FE5743" w:rsidP="000135B2">
      <w:pPr>
        <w:rPr>
          <w:rFonts w:asciiTheme="majorHAnsi" w:hAnsiTheme="majorHAnsi" w:cstheme="majorHAnsi"/>
          <w:szCs w:val="22"/>
        </w:rPr>
      </w:pPr>
    </w:p>
    <w:p w14:paraId="027DE3F7" w14:textId="53DEBE3A" w:rsidR="00FE5743" w:rsidRPr="0056608C" w:rsidRDefault="00FE5743" w:rsidP="004B4F8F">
      <w:pPr>
        <w:jc w:val="center"/>
        <w:rPr>
          <w:rFonts w:asciiTheme="majorHAnsi" w:hAnsiTheme="majorHAnsi" w:cstheme="majorHAnsi"/>
          <w:szCs w:val="22"/>
        </w:rPr>
      </w:pPr>
    </w:p>
    <w:p w14:paraId="23349914" w14:textId="33E15E39" w:rsidR="00595B69" w:rsidRPr="0056608C" w:rsidRDefault="00595B69" w:rsidP="004B4F8F">
      <w:pPr>
        <w:jc w:val="center"/>
        <w:rPr>
          <w:rFonts w:asciiTheme="majorHAnsi" w:hAnsiTheme="majorHAnsi" w:cstheme="majorHAnsi"/>
          <w:szCs w:val="22"/>
        </w:rPr>
      </w:pPr>
    </w:p>
    <w:p w14:paraId="67E86EE5" w14:textId="5AF33E40" w:rsidR="00595B69" w:rsidRPr="0056608C" w:rsidRDefault="00595B69" w:rsidP="004B4F8F">
      <w:pPr>
        <w:jc w:val="center"/>
        <w:rPr>
          <w:rFonts w:asciiTheme="majorHAnsi" w:hAnsiTheme="majorHAnsi" w:cstheme="majorHAnsi"/>
          <w:szCs w:val="22"/>
        </w:rPr>
      </w:pPr>
    </w:p>
    <w:p w14:paraId="40A80F24" w14:textId="0A59B584" w:rsidR="00595B69" w:rsidRPr="0056608C" w:rsidRDefault="00595B69" w:rsidP="004B4F8F">
      <w:pPr>
        <w:jc w:val="center"/>
        <w:rPr>
          <w:rFonts w:asciiTheme="majorHAnsi" w:hAnsiTheme="majorHAnsi" w:cstheme="majorHAnsi"/>
          <w:szCs w:val="22"/>
        </w:rPr>
      </w:pPr>
    </w:p>
    <w:p w14:paraId="63ED56EC" w14:textId="232C7E44" w:rsidR="00595B69" w:rsidRPr="0056608C" w:rsidRDefault="00595B69" w:rsidP="004B4F8F">
      <w:pPr>
        <w:jc w:val="center"/>
        <w:rPr>
          <w:rFonts w:asciiTheme="majorHAnsi" w:hAnsiTheme="majorHAnsi" w:cstheme="majorHAnsi"/>
          <w:szCs w:val="22"/>
        </w:rPr>
      </w:pPr>
    </w:p>
    <w:p w14:paraId="7CF4CB12" w14:textId="561F5F9C" w:rsidR="00595B69" w:rsidRPr="0056608C" w:rsidRDefault="00595B69" w:rsidP="004B4F8F">
      <w:pPr>
        <w:jc w:val="center"/>
        <w:rPr>
          <w:rFonts w:asciiTheme="majorHAnsi" w:hAnsiTheme="majorHAnsi" w:cstheme="majorHAnsi"/>
          <w:szCs w:val="22"/>
        </w:rPr>
      </w:pPr>
    </w:p>
    <w:p w14:paraId="0CA3B712" w14:textId="7FB2E761" w:rsidR="00595B69" w:rsidRPr="0056608C" w:rsidRDefault="00595B69" w:rsidP="004B4F8F">
      <w:pPr>
        <w:jc w:val="center"/>
        <w:rPr>
          <w:rFonts w:asciiTheme="majorHAnsi" w:hAnsiTheme="majorHAnsi" w:cstheme="majorHAnsi"/>
          <w:szCs w:val="22"/>
        </w:rPr>
      </w:pPr>
    </w:p>
    <w:p w14:paraId="0D637D23" w14:textId="3CC455CC" w:rsidR="00595B69" w:rsidRPr="0056608C" w:rsidRDefault="00595B69" w:rsidP="004B4F8F">
      <w:pPr>
        <w:jc w:val="center"/>
        <w:rPr>
          <w:rFonts w:asciiTheme="majorHAnsi" w:hAnsiTheme="majorHAnsi" w:cstheme="majorHAnsi"/>
          <w:szCs w:val="22"/>
        </w:rPr>
      </w:pPr>
    </w:p>
    <w:p w14:paraId="531C41C9" w14:textId="7E148B37" w:rsidR="00595B69" w:rsidRPr="0056608C" w:rsidRDefault="00595B69" w:rsidP="004B4F8F">
      <w:pPr>
        <w:jc w:val="center"/>
        <w:rPr>
          <w:rFonts w:asciiTheme="majorHAnsi" w:hAnsiTheme="majorHAnsi" w:cstheme="majorHAnsi"/>
          <w:szCs w:val="22"/>
        </w:rPr>
      </w:pPr>
    </w:p>
    <w:p w14:paraId="752DBCF4" w14:textId="76B6E622" w:rsidR="00595B69" w:rsidRPr="0056608C" w:rsidRDefault="00595B69" w:rsidP="004B4F8F">
      <w:pPr>
        <w:jc w:val="center"/>
        <w:rPr>
          <w:rFonts w:asciiTheme="majorHAnsi" w:hAnsiTheme="majorHAnsi" w:cstheme="majorHAnsi"/>
          <w:szCs w:val="22"/>
        </w:rPr>
      </w:pPr>
    </w:p>
    <w:p w14:paraId="61A78C2D" w14:textId="73B994DA" w:rsidR="00595B69" w:rsidRPr="0056608C" w:rsidRDefault="00595B69" w:rsidP="004B4F8F">
      <w:pPr>
        <w:jc w:val="center"/>
        <w:rPr>
          <w:rFonts w:asciiTheme="majorHAnsi" w:hAnsiTheme="majorHAnsi" w:cstheme="majorHAnsi"/>
          <w:szCs w:val="22"/>
        </w:rPr>
      </w:pPr>
    </w:p>
    <w:p w14:paraId="31906EB9" w14:textId="77777777" w:rsidR="00595B69" w:rsidRPr="0056608C" w:rsidRDefault="00595B69" w:rsidP="004B4F8F">
      <w:pPr>
        <w:jc w:val="center"/>
        <w:rPr>
          <w:rFonts w:asciiTheme="majorHAnsi" w:hAnsiTheme="majorHAnsi" w:cstheme="majorHAnsi"/>
          <w:szCs w:val="22"/>
        </w:rPr>
      </w:pPr>
    </w:p>
    <w:p w14:paraId="21DEA05C" w14:textId="7CF71A8C" w:rsidR="00FE5743" w:rsidRPr="0056608C" w:rsidRDefault="00FE5743" w:rsidP="000135B2">
      <w:pPr>
        <w:rPr>
          <w:rFonts w:asciiTheme="majorHAnsi" w:hAnsiTheme="majorHAnsi" w:cstheme="majorHAnsi"/>
          <w:szCs w:val="22"/>
        </w:rPr>
      </w:pPr>
    </w:p>
    <w:p w14:paraId="2EC2590F" w14:textId="70DF5303" w:rsidR="00595B69" w:rsidRPr="0056608C" w:rsidRDefault="00595B69" w:rsidP="000135B2">
      <w:pPr>
        <w:rPr>
          <w:rFonts w:asciiTheme="majorHAnsi" w:hAnsiTheme="majorHAnsi" w:cstheme="majorHAnsi"/>
          <w:szCs w:val="22"/>
        </w:rPr>
      </w:pPr>
    </w:p>
    <w:p w14:paraId="42808DA1" w14:textId="58C636EC" w:rsidR="00595B69" w:rsidRPr="0056608C" w:rsidRDefault="00595B69" w:rsidP="000135B2">
      <w:pPr>
        <w:rPr>
          <w:rFonts w:asciiTheme="majorHAnsi" w:hAnsiTheme="majorHAnsi" w:cstheme="majorHAnsi"/>
          <w:szCs w:val="22"/>
        </w:rPr>
      </w:pPr>
    </w:p>
    <w:p w14:paraId="4735E8FB" w14:textId="7A37B893" w:rsidR="00595B69" w:rsidRPr="0056608C" w:rsidRDefault="00595B69" w:rsidP="000135B2">
      <w:pPr>
        <w:rPr>
          <w:rFonts w:asciiTheme="majorHAnsi" w:hAnsiTheme="majorHAnsi" w:cstheme="majorHAnsi"/>
          <w:szCs w:val="22"/>
        </w:rPr>
      </w:pPr>
    </w:p>
    <w:p w14:paraId="46B0E5F9" w14:textId="77777777" w:rsidR="00595B69" w:rsidRPr="0056608C" w:rsidRDefault="00595B69" w:rsidP="000135B2">
      <w:pPr>
        <w:rPr>
          <w:rFonts w:asciiTheme="majorHAnsi" w:hAnsiTheme="majorHAnsi" w:cstheme="majorHAnsi"/>
          <w:szCs w:val="22"/>
        </w:rPr>
      </w:pPr>
    </w:p>
    <w:p w14:paraId="731DE486" w14:textId="2CF76568" w:rsidR="00567165" w:rsidRPr="0056608C" w:rsidRDefault="00241FE1" w:rsidP="004B4F8F">
      <w:pPr>
        <w:jc w:val="center"/>
        <w:rPr>
          <w:rFonts w:asciiTheme="majorHAnsi" w:hAnsiTheme="majorHAnsi" w:cstheme="majorHAnsi"/>
          <w:szCs w:val="22"/>
        </w:rPr>
      </w:pPr>
      <w:r w:rsidRPr="0056608C">
        <w:rPr>
          <w:rFonts w:asciiTheme="majorHAnsi" w:hAnsiTheme="majorHAnsi" w:cstheme="majorHAnsi"/>
          <w:szCs w:val="22"/>
        </w:rPr>
        <w:t>Prepared b</w:t>
      </w:r>
      <w:r w:rsidR="00BE42C3" w:rsidRPr="0056608C">
        <w:rPr>
          <w:rFonts w:asciiTheme="majorHAnsi" w:hAnsiTheme="majorHAnsi" w:cstheme="majorHAnsi"/>
          <w:szCs w:val="22"/>
        </w:rPr>
        <w:t>y:</w:t>
      </w:r>
    </w:p>
    <w:p w14:paraId="48A5E80E" w14:textId="548C36CE" w:rsidR="00F8591D" w:rsidRPr="0056608C" w:rsidRDefault="000135B2" w:rsidP="00F8591D">
      <w:pPr>
        <w:tabs>
          <w:tab w:val="left" w:pos="2250"/>
        </w:tabs>
        <w:jc w:val="center"/>
        <w:rPr>
          <w:rFonts w:asciiTheme="majorHAnsi" w:hAnsiTheme="majorHAnsi" w:cstheme="majorHAnsi"/>
          <w:b/>
        </w:rPr>
      </w:pPr>
      <w:r w:rsidRPr="0056608C">
        <w:rPr>
          <w:rFonts w:asciiTheme="majorHAnsi" w:hAnsiTheme="majorHAnsi" w:cstheme="majorHAnsi"/>
          <w:b/>
        </w:rPr>
        <w:t xml:space="preserve">School Finance </w:t>
      </w:r>
      <w:r w:rsidR="00697499">
        <w:rPr>
          <w:rFonts w:asciiTheme="majorHAnsi" w:hAnsiTheme="majorHAnsi" w:cstheme="majorHAnsi"/>
          <w:b/>
        </w:rPr>
        <w:t>Unit</w:t>
      </w:r>
    </w:p>
    <w:p w14:paraId="1D2058B0" w14:textId="77777777" w:rsidR="00595B69" w:rsidRPr="0056608C" w:rsidRDefault="00595B69" w:rsidP="00E67DE9">
      <w:pPr>
        <w:tabs>
          <w:tab w:val="left" w:pos="2250"/>
        </w:tabs>
        <w:jc w:val="center"/>
        <w:rPr>
          <w:rFonts w:asciiTheme="majorHAnsi" w:hAnsiTheme="majorHAnsi" w:cstheme="majorHAnsi"/>
        </w:rPr>
      </w:pPr>
    </w:p>
    <w:p w14:paraId="44C6B26D" w14:textId="58C48DCF" w:rsidR="007228B7" w:rsidRPr="0056608C" w:rsidRDefault="00697499" w:rsidP="00697499">
      <w:pPr>
        <w:tabs>
          <w:tab w:val="left" w:pos="2250"/>
        </w:tabs>
        <w:jc w:val="center"/>
        <w:rPr>
          <w:rFonts w:asciiTheme="majorHAnsi" w:hAnsiTheme="majorHAnsi" w:cstheme="majorHAnsi"/>
        </w:rPr>
      </w:pPr>
      <w:r>
        <w:rPr>
          <w:rFonts w:asciiTheme="majorHAnsi" w:hAnsiTheme="majorHAnsi" w:cstheme="majorHAnsi"/>
        </w:rPr>
        <w:t>August 25</w:t>
      </w:r>
      <w:r w:rsidR="00C36BDB">
        <w:rPr>
          <w:rFonts w:asciiTheme="majorHAnsi" w:hAnsiTheme="majorHAnsi" w:cstheme="majorHAnsi"/>
        </w:rPr>
        <w:t>, 2025</w:t>
      </w:r>
    </w:p>
    <w:p w14:paraId="2128B345" w14:textId="77777777" w:rsidR="007228B7" w:rsidRPr="0056608C" w:rsidRDefault="007228B7" w:rsidP="00E67DE9">
      <w:pPr>
        <w:tabs>
          <w:tab w:val="left" w:pos="2250"/>
        </w:tabs>
        <w:jc w:val="center"/>
        <w:rPr>
          <w:rFonts w:asciiTheme="majorHAnsi" w:hAnsiTheme="majorHAnsi" w:cstheme="majorHAnsi"/>
        </w:rPr>
        <w:sectPr w:rsidR="007228B7" w:rsidRPr="0056608C" w:rsidSect="00105684">
          <w:headerReference w:type="even" r:id="rId9"/>
          <w:headerReference w:type="default" r:id="rId10"/>
          <w:pgSz w:w="12240" w:h="15840"/>
          <w:pgMar w:top="344" w:right="1080" w:bottom="792" w:left="1080" w:header="0" w:footer="720" w:gutter="0"/>
          <w:cols w:space="720"/>
          <w:titlePg/>
          <w:docGrid w:linePitch="360"/>
        </w:sectPr>
      </w:pPr>
    </w:p>
    <w:p w14:paraId="0D57982E" w14:textId="7475DEB8" w:rsidR="00DE2217" w:rsidRPr="0056608C" w:rsidRDefault="00CF6BFB" w:rsidP="00963908">
      <w:pPr>
        <w:pStyle w:val="TableofContentsTitle"/>
        <w:rPr>
          <w:rFonts w:asciiTheme="majorHAnsi" w:hAnsiTheme="majorHAnsi" w:cstheme="majorHAnsi"/>
          <w:color w:val="auto"/>
        </w:rPr>
      </w:pPr>
      <w:r w:rsidRPr="0056608C">
        <w:rPr>
          <w:rStyle w:val="apple-style-span"/>
          <w:rFonts w:asciiTheme="majorHAnsi" w:hAnsiTheme="majorHAnsi" w:cstheme="majorHAnsi"/>
          <w:color w:val="auto"/>
        </w:rPr>
        <w:lastRenderedPageBreak/>
        <w:t>Table of Contents</w:t>
      </w:r>
    </w:p>
    <w:p w14:paraId="629D65A4" w14:textId="7DB18218" w:rsidR="00CF6BFB" w:rsidRPr="0056608C" w:rsidRDefault="00F8591D" w:rsidP="001C0152">
      <w:pPr>
        <w:pStyle w:val="TOC1"/>
        <w:rPr>
          <w:rFonts w:asciiTheme="majorHAnsi" w:hAnsiTheme="majorHAnsi" w:cstheme="majorHAnsi"/>
          <w:color w:val="auto"/>
        </w:rPr>
      </w:pPr>
      <w:r w:rsidRPr="0056608C">
        <w:rPr>
          <w:rFonts w:asciiTheme="majorHAnsi" w:hAnsiTheme="majorHAnsi" w:cstheme="majorHAnsi"/>
          <w:color w:val="auto"/>
        </w:rPr>
        <w:t>Executive Summary</w:t>
      </w:r>
      <w:r w:rsidRPr="0056608C">
        <w:rPr>
          <w:rFonts w:asciiTheme="majorHAnsi" w:hAnsiTheme="majorHAnsi" w:cstheme="majorHAnsi"/>
          <w:color w:val="auto"/>
        </w:rPr>
        <w:tab/>
      </w:r>
      <w:r w:rsidRPr="0056608C">
        <w:rPr>
          <w:rFonts w:asciiTheme="majorHAnsi" w:hAnsiTheme="majorHAnsi" w:cstheme="majorHAnsi"/>
          <w:color w:val="auto"/>
        </w:rPr>
        <w:tab/>
      </w:r>
      <w:r w:rsidR="00CF6BFB" w:rsidRPr="0056608C">
        <w:rPr>
          <w:rFonts w:asciiTheme="majorHAnsi" w:hAnsiTheme="majorHAnsi" w:cstheme="majorHAnsi"/>
          <w:color w:val="auto"/>
        </w:rPr>
        <w:tab/>
      </w:r>
      <w:r w:rsidR="00B44863" w:rsidRPr="0056608C">
        <w:rPr>
          <w:rFonts w:asciiTheme="majorHAnsi" w:hAnsiTheme="majorHAnsi" w:cstheme="majorHAnsi"/>
          <w:color w:val="auto"/>
        </w:rPr>
        <w:tab/>
      </w:r>
      <w:r w:rsidRPr="0056608C">
        <w:rPr>
          <w:rFonts w:asciiTheme="majorHAnsi" w:hAnsiTheme="majorHAnsi" w:cstheme="majorHAnsi"/>
          <w:color w:val="auto"/>
        </w:rPr>
        <w:t>3</w:t>
      </w:r>
    </w:p>
    <w:p w14:paraId="70DA9E97" w14:textId="26C8A783" w:rsidR="00B839FE" w:rsidRPr="0056608C" w:rsidRDefault="00F8591D" w:rsidP="001C0152">
      <w:pPr>
        <w:pStyle w:val="TOC1"/>
        <w:rPr>
          <w:rFonts w:asciiTheme="majorHAnsi" w:hAnsiTheme="majorHAnsi" w:cstheme="majorHAnsi"/>
          <w:color w:val="auto"/>
        </w:rPr>
      </w:pPr>
      <w:r w:rsidRPr="0056608C">
        <w:rPr>
          <w:rFonts w:asciiTheme="majorHAnsi" w:hAnsiTheme="majorHAnsi" w:cstheme="majorHAnsi"/>
          <w:color w:val="auto"/>
        </w:rPr>
        <w:t xml:space="preserve">Section 1 </w:t>
      </w:r>
      <w:r w:rsidR="000135B2" w:rsidRPr="0056608C">
        <w:rPr>
          <w:rFonts w:asciiTheme="majorHAnsi" w:hAnsiTheme="majorHAnsi" w:cstheme="majorHAnsi"/>
          <w:color w:val="auto"/>
        </w:rPr>
        <w:t>-</w:t>
      </w:r>
      <w:r w:rsidRPr="0056608C">
        <w:rPr>
          <w:rFonts w:asciiTheme="majorHAnsi" w:hAnsiTheme="majorHAnsi" w:cstheme="majorHAnsi"/>
          <w:color w:val="auto"/>
        </w:rPr>
        <w:t xml:space="preserve"> </w:t>
      </w:r>
      <w:r w:rsidR="000135B2" w:rsidRPr="0056608C">
        <w:rPr>
          <w:rFonts w:asciiTheme="majorHAnsi" w:hAnsiTheme="majorHAnsi" w:cstheme="majorHAnsi"/>
          <w:color w:val="auto"/>
        </w:rPr>
        <w:t>Mill Levy Override Revenue Report</w:t>
      </w:r>
      <w:r w:rsidR="00DE2217" w:rsidRPr="0056608C">
        <w:rPr>
          <w:rFonts w:asciiTheme="majorHAnsi" w:hAnsiTheme="majorHAnsi" w:cstheme="majorHAnsi"/>
          <w:color w:val="auto"/>
        </w:rPr>
        <w:tab/>
      </w:r>
      <w:r w:rsidR="00B44863" w:rsidRPr="0056608C">
        <w:rPr>
          <w:rFonts w:asciiTheme="majorHAnsi" w:hAnsiTheme="majorHAnsi" w:cstheme="majorHAnsi"/>
          <w:color w:val="auto"/>
        </w:rPr>
        <w:tab/>
      </w:r>
      <w:r w:rsidR="000135B2" w:rsidRPr="0056608C">
        <w:rPr>
          <w:rFonts w:asciiTheme="majorHAnsi" w:hAnsiTheme="majorHAnsi" w:cstheme="majorHAnsi"/>
          <w:color w:val="auto"/>
        </w:rPr>
        <w:tab/>
      </w:r>
      <w:r w:rsidR="000135B2" w:rsidRPr="0056608C">
        <w:rPr>
          <w:rFonts w:asciiTheme="majorHAnsi" w:hAnsiTheme="majorHAnsi" w:cstheme="majorHAnsi"/>
          <w:color w:val="auto"/>
        </w:rPr>
        <w:tab/>
      </w:r>
      <w:r w:rsidR="00896684" w:rsidRPr="0056608C">
        <w:rPr>
          <w:rFonts w:asciiTheme="majorHAnsi" w:hAnsiTheme="majorHAnsi" w:cstheme="majorHAnsi"/>
          <w:color w:val="auto"/>
        </w:rPr>
        <w:t>4</w:t>
      </w:r>
      <w:r w:rsidR="000D6581" w:rsidRPr="0056608C">
        <w:rPr>
          <w:rFonts w:asciiTheme="majorHAnsi" w:hAnsiTheme="majorHAnsi" w:cstheme="majorHAnsi"/>
          <w:color w:val="auto"/>
        </w:rPr>
        <w:t>-</w:t>
      </w:r>
      <w:r w:rsidR="004323A7" w:rsidRPr="0056608C">
        <w:rPr>
          <w:rFonts w:asciiTheme="majorHAnsi" w:hAnsiTheme="majorHAnsi" w:cstheme="majorHAnsi"/>
          <w:color w:val="auto"/>
        </w:rPr>
        <w:t>7</w:t>
      </w:r>
    </w:p>
    <w:p w14:paraId="78B13C9D" w14:textId="3F0D1911" w:rsidR="00205C70" w:rsidRPr="0056608C" w:rsidRDefault="00B839FE" w:rsidP="001C0152">
      <w:pPr>
        <w:pStyle w:val="TOC1"/>
        <w:rPr>
          <w:rFonts w:asciiTheme="majorHAnsi" w:hAnsiTheme="majorHAnsi" w:cstheme="majorHAnsi"/>
          <w:color w:val="auto"/>
        </w:rPr>
      </w:pPr>
      <w:r w:rsidRPr="0056608C">
        <w:rPr>
          <w:rFonts w:asciiTheme="majorHAnsi" w:hAnsiTheme="majorHAnsi" w:cstheme="majorHAnsi"/>
          <w:color w:val="auto"/>
        </w:rPr>
        <w:t>Section 2 – Addendums</w:t>
      </w:r>
      <w:r w:rsidRPr="0056608C">
        <w:rPr>
          <w:rFonts w:asciiTheme="majorHAnsi" w:hAnsiTheme="majorHAnsi" w:cstheme="majorHAnsi"/>
          <w:color w:val="auto"/>
        </w:rPr>
        <w:tab/>
      </w:r>
      <w:r w:rsidRPr="0056608C">
        <w:rPr>
          <w:rFonts w:asciiTheme="majorHAnsi" w:hAnsiTheme="majorHAnsi" w:cstheme="majorHAnsi"/>
          <w:color w:val="auto"/>
        </w:rPr>
        <w:tab/>
      </w:r>
      <w:r w:rsidRPr="0056608C">
        <w:rPr>
          <w:rFonts w:asciiTheme="majorHAnsi" w:hAnsiTheme="majorHAnsi" w:cstheme="majorHAnsi"/>
          <w:color w:val="auto"/>
        </w:rPr>
        <w:tab/>
      </w:r>
      <w:r w:rsidRPr="0056608C">
        <w:rPr>
          <w:rFonts w:asciiTheme="majorHAnsi" w:hAnsiTheme="majorHAnsi" w:cstheme="majorHAnsi"/>
          <w:color w:val="auto"/>
        </w:rPr>
        <w:tab/>
      </w:r>
      <w:r w:rsidR="00CA52AE" w:rsidRPr="0056608C">
        <w:rPr>
          <w:rFonts w:asciiTheme="majorHAnsi" w:hAnsiTheme="majorHAnsi" w:cstheme="majorHAnsi"/>
          <w:color w:val="auto"/>
        </w:rPr>
        <w:t>8</w:t>
      </w:r>
      <w:r w:rsidR="00205C70" w:rsidRPr="0056608C">
        <w:rPr>
          <w:rFonts w:asciiTheme="majorHAnsi" w:hAnsiTheme="majorHAnsi" w:cstheme="majorHAnsi"/>
          <w:color w:val="auto"/>
        </w:rPr>
        <w:tab/>
      </w:r>
    </w:p>
    <w:p w14:paraId="5CDF798F" w14:textId="77777777" w:rsidR="00B839FE" w:rsidRPr="0056608C" w:rsidRDefault="00B839FE" w:rsidP="00B839FE">
      <w:pPr>
        <w:pStyle w:val="SubheadTrebuchet"/>
        <w:rPr>
          <w:rFonts w:asciiTheme="majorHAnsi" w:hAnsiTheme="majorHAnsi" w:cstheme="majorHAnsi"/>
        </w:rPr>
      </w:pPr>
    </w:p>
    <w:p w14:paraId="65D67F32" w14:textId="77777777" w:rsidR="00B839FE" w:rsidRPr="0056608C" w:rsidRDefault="00B839FE" w:rsidP="00B839FE">
      <w:pPr>
        <w:rPr>
          <w:rFonts w:asciiTheme="majorHAnsi" w:hAnsiTheme="majorHAnsi" w:cstheme="majorHAnsi"/>
        </w:rPr>
        <w:sectPr w:rsidR="00B839FE" w:rsidRPr="0056608C" w:rsidSect="00D16915">
          <w:headerReference w:type="first" r:id="rId11"/>
          <w:pgSz w:w="12240" w:h="15840"/>
          <w:pgMar w:top="2250" w:right="1080" w:bottom="792" w:left="1080" w:header="720" w:footer="720" w:gutter="0"/>
          <w:cols w:space="720"/>
          <w:titlePg/>
          <w:docGrid w:linePitch="360"/>
        </w:sectPr>
      </w:pPr>
    </w:p>
    <w:bookmarkEnd w:id="0"/>
    <w:p w14:paraId="46CED621" w14:textId="2D4276CC" w:rsidR="002B5D47" w:rsidRPr="0056608C" w:rsidRDefault="002B5D47" w:rsidP="00A44BC2">
      <w:pPr>
        <w:pStyle w:val="SummaryHeadline"/>
        <w:rPr>
          <w:rFonts w:asciiTheme="majorHAnsi" w:hAnsiTheme="majorHAnsi" w:cstheme="majorHAnsi"/>
          <w:color w:val="auto"/>
        </w:rPr>
      </w:pPr>
      <w:r w:rsidRPr="0056608C">
        <w:rPr>
          <w:rFonts w:asciiTheme="majorHAnsi" w:hAnsiTheme="majorHAnsi" w:cstheme="majorHAnsi"/>
          <w:color w:val="auto"/>
        </w:rPr>
        <w:lastRenderedPageBreak/>
        <w:t>Executive Summary</w:t>
      </w:r>
    </w:p>
    <w:p w14:paraId="3A4F0920" w14:textId="6BB89FDF" w:rsidR="00C114BE" w:rsidRPr="0056608C" w:rsidRDefault="000135B2" w:rsidP="00B44863">
      <w:pPr>
        <w:rPr>
          <w:rFonts w:asciiTheme="majorHAnsi" w:hAnsiTheme="majorHAnsi" w:cstheme="majorHAnsi"/>
          <w:szCs w:val="36"/>
        </w:rPr>
      </w:pPr>
      <w:r w:rsidRPr="0056608C">
        <w:rPr>
          <w:rFonts w:asciiTheme="majorHAnsi" w:hAnsiTheme="majorHAnsi" w:cstheme="majorHAnsi"/>
          <w:szCs w:val="36"/>
        </w:rPr>
        <w:t>In 20</w:t>
      </w:r>
      <w:r w:rsidR="00DC72A4" w:rsidRPr="0056608C">
        <w:rPr>
          <w:rFonts w:asciiTheme="majorHAnsi" w:hAnsiTheme="majorHAnsi" w:cstheme="majorHAnsi"/>
          <w:szCs w:val="36"/>
        </w:rPr>
        <w:t>14</w:t>
      </w:r>
      <w:r w:rsidR="00B44863" w:rsidRPr="0056608C">
        <w:rPr>
          <w:rFonts w:asciiTheme="majorHAnsi" w:hAnsiTheme="majorHAnsi" w:cstheme="majorHAnsi"/>
          <w:szCs w:val="36"/>
        </w:rPr>
        <w:t>, the General Assembly of the State of Colorado enacted the “</w:t>
      </w:r>
      <w:r w:rsidR="00DC72A4" w:rsidRPr="0056608C">
        <w:rPr>
          <w:rFonts w:asciiTheme="majorHAnsi" w:hAnsiTheme="majorHAnsi" w:cstheme="majorHAnsi"/>
          <w:szCs w:val="36"/>
        </w:rPr>
        <w:t>Student Success Act”</w:t>
      </w:r>
      <w:r w:rsidR="00387242" w:rsidRPr="0056608C">
        <w:rPr>
          <w:rFonts w:asciiTheme="majorHAnsi" w:hAnsiTheme="majorHAnsi" w:cstheme="majorHAnsi"/>
          <w:szCs w:val="36"/>
        </w:rPr>
        <w:t xml:space="preserve"> House Bill 14-1292</w:t>
      </w:r>
      <w:r w:rsidR="00DC72A4" w:rsidRPr="0056608C">
        <w:rPr>
          <w:rFonts w:asciiTheme="majorHAnsi" w:hAnsiTheme="majorHAnsi" w:cstheme="majorHAnsi"/>
          <w:szCs w:val="36"/>
        </w:rPr>
        <w:t>.  Part of this act requires the Colorado Department of Education to annually compile a report concerning the collection of additional local property tax revenues</w:t>
      </w:r>
      <w:r w:rsidR="00C114BE" w:rsidRPr="0056608C">
        <w:rPr>
          <w:rFonts w:asciiTheme="majorHAnsi" w:hAnsiTheme="majorHAnsi" w:cstheme="majorHAnsi"/>
          <w:szCs w:val="36"/>
        </w:rPr>
        <w:t xml:space="preserve"> (mill levy override revenues) by school districts.  The</w:t>
      </w:r>
      <w:r w:rsidR="0094314B" w:rsidRPr="0056608C">
        <w:rPr>
          <w:rFonts w:asciiTheme="majorHAnsi" w:hAnsiTheme="majorHAnsi" w:cstheme="majorHAnsi"/>
          <w:szCs w:val="36"/>
        </w:rPr>
        <w:t xml:space="preserve"> Mill L</w:t>
      </w:r>
      <w:r w:rsidR="00C114BE" w:rsidRPr="0056608C">
        <w:rPr>
          <w:rFonts w:asciiTheme="majorHAnsi" w:hAnsiTheme="majorHAnsi" w:cstheme="majorHAnsi"/>
          <w:szCs w:val="36"/>
        </w:rPr>
        <w:t>ev</w:t>
      </w:r>
      <w:r w:rsidR="0094314B" w:rsidRPr="0056608C">
        <w:rPr>
          <w:rFonts w:asciiTheme="majorHAnsi" w:hAnsiTheme="majorHAnsi" w:cstheme="majorHAnsi"/>
          <w:szCs w:val="36"/>
        </w:rPr>
        <w:t>y Override Revenue R</w:t>
      </w:r>
      <w:r w:rsidR="00C114BE" w:rsidRPr="0056608C">
        <w:rPr>
          <w:rFonts w:asciiTheme="majorHAnsi" w:hAnsiTheme="majorHAnsi" w:cstheme="majorHAnsi"/>
          <w:szCs w:val="36"/>
        </w:rPr>
        <w:t>eport will show:</w:t>
      </w:r>
    </w:p>
    <w:p w14:paraId="3B0E3403" w14:textId="77777777" w:rsidR="00DC7865" w:rsidRPr="0056608C" w:rsidRDefault="00DC7865" w:rsidP="00B44863">
      <w:pPr>
        <w:rPr>
          <w:rFonts w:asciiTheme="majorHAnsi" w:hAnsiTheme="majorHAnsi" w:cstheme="majorHAnsi"/>
          <w:szCs w:val="36"/>
        </w:rPr>
      </w:pPr>
    </w:p>
    <w:p w14:paraId="6970751D" w14:textId="110FF218" w:rsidR="00C114BE" w:rsidRPr="0056608C" w:rsidRDefault="00C114BE" w:rsidP="00C114BE">
      <w:pPr>
        <w:pStyle w:val="ListParagraph"/>
        <w:numPr>
          <w:ilvl w:val="0"/>
          <w:numId w:val="13"/>
        </w:numPr>
        <w:rPr>
          <w:rFonts w:asciiTheme="majorHAnsi" w:hAnsiTheme="majorHAnsi" w:cstheme="majorHAnsi"/>
          <w:szCs w:val="36"/>
        </w:rPr>
      </w:pPr>
      <w:r w:rsidRPr="0056608C">
        <w:rPr>
          <w:rFonts w:asciiTheme="majorHAnsi" w:hAnsiTheme="majorHAnsi" w:cstheme="majorHAnsi"/>
          <w:szCs w:val="36"/>
        </w:rPr>
        <w:t>The total amount of additional local property tax revenues the district is authorized to collect</w:t>
      </w:r>
    </w:p>
    <w:p w14:paraId="54606502" w14:textId="6B0873B3" w:rsidR="00C114BE" w:rsidRPr="0056608C" w:rsidRDefault="00C114BE" w:rsidP="00C114BE">
      <w:pPr>
        <w:pStyle w:val="ListParagraph"/>
        <w:numPr>
          <w:ilvl w:val="0"/>
          <w:numId w:val="13"/>
        </w:numPr>
        <w:rPr>
          <w:rFonts w:asciiTheme="majorHAnsi" w:hAnsiTheme="majorHAnsi" w:cstheme="majorHAnsi"/>
          <w:szCs w:val="36"/>
        </w:rPr>
      </w:pPr>
      <w:r w:rsidRPr="0056608C">
        <w:rPr>
          <w:rFonts w:asciiTheme="majorHAnsi" w:hAnsiTheme="majorHAnsi" w:cstheme="majorHAnsi"/>
          <w:szCs w:val="36"/>
        </w:rPr>
        <w:t xml:space="preserve">The total amount of authorized revenues that was </w:t>
      </w:r>
      <w:proofErr w:type="gramStart"/>
      <w:r w:rsidRPr="0056608C">
        <w:rPr>
          <w:rFonts w:asciiTheme="majorHAnsi" w:hAnsiTheme="majorHAnsi" w:cstheme="majorHAnsi"/>
          <w:szCs w:val="36"/>
        </w:rPr>
        <w:t>actually collected</w:t>
      </w:r>
      <w:proofErr w:type="gramEnd"/>
      <w:r w:rsidRPr="0056608C">
        <w:rPr>
          <w:rFonts w:asciiTheme="majorHAnsi" w:hAnsiTheme="majorHAnsi" w:cstheme="majorHAnsi"/>
          <w:szCs w:val="36"/>
        </w:rPr>
        <w:t xml:space="preserve"> by the school district</w:t>
      </w:r>
    </w:p>
    <w:p w14:paraId="13EFA137" w14:textId="728B9C15" w:rsidR="00C114BE" w:rsidRPr="0056608C" w:rsidRDefault="00C114BE" w:rsidP="00C114BE">
      <w:pPr>
        <w:pStyle w:val="ListParagraph"/>
        <w:numPr>
          <w:ilvl w:val="0"/>
          <w:numId w:val="13"/>
        </w:numPr>
        <w:rPr>
          <w:rFonts w:asciiTheme="majorHAnsi" w:hAnsiTheme="majorHAnsi" w:cstheme="majorHAnsi"/>
          <w:szCs w:val="36"/>
        </w:rPr>
      </w:pPr>
      <w:r w:rsidRPr="0056608C">
        <w:rPr>
          <w:rFonts w:asciiTheme="majorHAnsi" w:hAnsiTheme="majorHAnsi" w:cstheme="majorHAnsi"/>
          <w:szCs w:val="36"/>
        </w:rPr>
        <w:t>The amount distributed to charter schools within the district</w:t>
      </w:r>
    </w:p>
    <w:p w14:paraId="3E4B8720" w14:textId="37C2730C" w:rsidR="00C114BE" w:rsidRPr="0056608C" w:rsidRDefault="00C114BE" w:rsidP="00C114BE">
      <w:pPr>
        <w:pStyle w:val="ListParagraph"/>
        <w:numPr>
          <w:ilvl w:val="0"/>
          <w:numId w:val="13"/>
        </w:numPr>
        <w:rPr>
          <w:rFonts w:asciiTheme="majorHAnsi" w:hAnsiTheme="majorHAnsi" w:cstheme="majorHAnsi"/>
          <w:szCs w:val="36"/>
        </w:rPr>
      </w:pPr>
      <w:r w:rsidRPr="0056608C">
        <w:rPr>
          <w:rFonts w:asciiTheme="majorHAnsi" w:hAnsiTheme="majorHAnsi" w:cstheme="majorHAnsi"/>
          <w:szCs w:val="36"/>
        </w:rPr>
        <w:t>The amount distributed to non-charter schools within the district</w:t>
      </w:r>
    </w:p>
    <w:p w14:paraId="70EFBA14" w14:textId="39C46ED9" w:rsidR="00C114BE" w:rsidRPr="0056608C" w:rsidRDefault="00C114BE" w:rsidP="00C114BE">
      <w:pPr>
        <w:pStyle w:val="ListParagraph"/>
        <w:numPr>
          <w:ilvl w:val="0"/>
          <w:numId w:val="13"/>
        </w:numPr>
        <w:rPr>
          <w:rFonts w:asciiTheme="majorHAnsi" w:hAnsiTheme="majorHAnsi" w:cstheme="majorHAnsi"/>
          <w:szCs w:val="36"/>
        </w:rPr>
      </w:pPr>
      <w:r w:rsidRPr="0056608C">
        <w:rPr>
          <w:rFonts w:asciiTheme="majorHAnsi" w:hAnsiTheme="majorHAnsi" w:cstheme="majorHAnsi"/>
          <w:szCs w:val="36"/>
        </w:rPr>
        <w:t>The amount retained by the district</w:t>
      </w:r>
    </w:p>
    <w:p w14:paraId="1A49C895" w14:textId="77777777" w:rsidR="00C114BE" w:rsidRPr="0056608C" w:rsidRDefault="00C114BE" w:rsidP="00B44863">
      <w:pPr>
        <w:rPr>
          <w:rFonts w:asciiTheme="majorHAnsi" w:hAnsiTheme="majorHAnsi" w:cstheme="majorHAnsi"/>
          <w:szCs w:val="36"/>
        </w:rPr>
      </w:pPr>
    </w:p>
    <w:p w14:paraId="2ED97418" w14:textId="77777777" w:rsidR="00C114BE" w:rsidRPr="0056608C" w:rsidRDefault="00C114BE" w:rsidP="00B44863">
      <w:pPr>
        <w:rPr>
          <w:rFonts w:asciiTheme="majorHAnsi" w:hAnsiTheme="majorHAnsi" w:cstheme="majorHAnsi"/>
          <w:szCs w:val="36"/>
        </w:rPr>
      </w:pPr>
      <w:r w:rsidRPr="0056608C">
        <w:rPr>
          <w:rFonts w:asciiTheme="majorHAnsi" w:hAnsiTheme="majorHAnsi" w:cstheme="majorHAnsi"/>
          <w:szCs w:val="36"/>
        </w:rPr>
        <w:t>The report will show the above information at the district level and aggregated statewide.</w:t>
      </w:r>
    </w:p>
    <w:p w14:paraId="3E6254E6" w14:textId="77777777" w:rsidR="00C114BE" w:rsidRPr="0056608C" w:rsidRDefault="00C114BE" w:rsidP="00B44863">
      <w:pPr>
        <w:rPr>
          <w:rFonts w:asciiTheme="majorHAnsi" w:hAnsiTheme="majorHAnsi" w:cstheme="majorHAnsi"/>
          <w:szCs w:val="36"/>
        </w:rPr>
      </w:pPr>
    </w:p>
    <w:p w14:paraId="0CC3224F" w14:textId="6F7EC0CA" w:rsidR="00DC7865" w:rsidRPr="0056608C" w:rsidRDefault="004366E2" w:rsidP="00B44863">
      <w:pPr>
        <w:rPr>
          <w:rFonts w:asciiTheme="majorHAnsi" w:hAnsiTheme="majorHAnsi" w:cstheme="majorHAnsi"/>
          <w:szCs w:val="36"/>
        </w:rPr>
      </w:pPr>
      <w:r w:rsidRPr="0056608C">
        <w:rPr>
          <w:rFonts w:asciiTheme="majorHAnsi" w:hAnsiTheme="majorHAnsi" w:cstheme="majorHAnsi"/>
          <w:szCs w:val="36"/>
        </w:rPr>
        <w:t>The Department</w:t>
      </w:r>
      <w:r w:rsidR="00C114BE" w:rsidRPr="0056608C">
        <w:rPr>
          <w:rFonts w:asciiTheme="majorHAnsi" w:hAnsiTheme="majorHAnsi" w:cstheme="majorHAnsi"/>
          <w:szCs w:val="36"/>
        </w:rPr>
        <w:t xml:space="preserve"> allow</w:t>
      </w:r>
      <w:r w:rsidRPr="0056608C">
        <w:rPr>
          <w:rFonts w:asciiTheme="majorHAnsi" w:hAnsiTheme="majorHAnsi" w:cstheme="majorHAnsi"/>
          <w:szCs w:val="36"/>
        </w:rPr>
        <w:t>ed</w:t>
      </w:r>
      <w:r w:rsidR="00C114BE" w:rsidRPr="0056608C">
        <w:rPr>
          <w:rFonts w:asciiTheme="majorHAnsi" w:hAnsiTheme="majorHAnsi" w:cstheme="majorHAnsi"/>
          <w:szCs w:val="36"/>
        </w:rPr>
        <w:t xml:space="preserve"> each school district and each district charter school to review the</w:t>
      </w:r>
      <w:r w:rsidR="000C624D" w:rsidRPr="0056608C">
        <w:rPr>
          <w:rFonts w:asciiTheme="majorHAnsi" w:hAnsiTheme="majorHAnsi" w:cstheme="majorHAnsi"/>
          <w:szCs w:val="36"/>
        </w:rPr>
        <w:t xml:space="preserve"> report before publication.  S</w:t>
      </w:r>
      <w:r w:rsidR="00C114BE" w:rsidRPr="0056608C">
        <w:rPr>
          <w:rFonts w:asciiTheme="majorHAnsi" w:hAnsiTheme="majorHAnsi" w:cstheme="majorHAnsi"/>
          <w:szCs w:val="36"/>
        </w:rPr>
        <w:t>chool district</w:t>
      </w:r>
      <w:r w:rsidR="000C624D" w:rsidRPr="0056608C">
        <w:rPr>
          <w:rFonts w:asciiTheme="majorHAnsi" w:hAnsiTheme="majorHAnsi" w:cstheme="majorHAnsi"/>
          <w:szCs w:val="36"/>
        </w:rPr>
        <w:t>s and c</w:t>
      </w:r>
      <w:r w:rsidR="00C114BE" w:rsidRPr="0056608C">
        <w:rPr>
          <w:rFonts w:asciiTheme="majorHAnsi" w:hAnsiTheme="majorHAnsi" w:cstheme="majorHAnsi"/>
          <w:szCs w:val="36"/>
        </w:rPr>
        <w:t>harter schoo</w:t>
      </w:r>
      <w:r w:rsidR="000C624D" w:rsidRPr="0056608C">
        <w:rPr>
          <w:rFonts w:asciiTheme="majorHAnsi" w:hAnsiTheme="majorHAnsi" w:cstheme="majorHAnsi"/>
          <w:szCs w:val="36"/>
        </w:rPr>
        <w:t>ls were allowed to</w:t>
      </w:r>
      <w:r w:rsidR="00C114BE" w:rsidRPr="0056608C">
        <w:rPr>
          <w:rFonts w:asciiTheme="majorHAnsi" w:hAnsiTheme="majorHAnsi" w:cstheme="majorHAnsi"/>
          <w:szCs w:val="36"/>
        </w:rPr>
        <w:t xml:space="preserve"> request that the </w:t>
      </w:r>
      <w:r w:rsidR="00DC7865" w:rsidRPr="0056608C">
        <w:rPr>
          <w:rFonts w:asciiTheme="majorHAnsi" w:hAnsiTheme="majorHAnsi" w:cstheme="majorHAnsi"/>
          <w:szCs w:val="36"/>
        </w:rPr>
        <w:t>Department</w:t>
      </w:r>
      <w:r w:rsidR="00C114BE" w:rsidRPr="0056608C">
        <w:rPr>
          <w:rFonts w:asciiTheme="majorHAnsi" w:hAnsiTheme="majorHAnsi" w:cstheme="majorHAnsi"/>
          <w:szCs w:val="36"/>
        </w:rPr>
        <w:t xml:space="preserve"> compile an addendum to the report, specific to the requesting school district or charter school</w:t>
      </w:r>
      <w:r w:rsidR="00DC7865" w:rsidRPr="0056608C">
        <w:rPr>
          <w:rFonts w:asciiTheme="majorHAnsi" w:hAnsiTheme="majorHAnsi" w:cstheme="majorHAnsi"/>
          <w:szCs w:val="36"/>
        </w:rPr>
        <w:t xml:space="preserve"> which examines the overall level of funding distributed by the school district to the charter schools of the district, including:</w:t>
      </w:r>
    </w:p>
    <w:p w14:paraId="2AEE1A74" w14:textId="77777777" w:rsidR="00DC7865" w:rsidRPr="0056608C" w:rsidRDefault="00DC7865" w:rsidP="00B44863">
      <w:pPr>
        <w:rPr>
          <w:rFonts w:asciiTheme="majorHAnsi" w:hAnsiTheme="majorHAnsi" w:cstheme="majorHAnsi"/>
          <w:szCs w:val="36"/>
        </w:rPr>
      </w:pPr>
    </w:p>
    <w:p w14:paraId="22BDA04E" w14:textId="23AF35A9" w:rsidR="00DC7865" w:rsidRPr="0056608C" w:rsidRDefault="00DC7865" w:rsidP="00DC7865">
      <w:pPr>
        <w:pStyle w:val="ListParagraph"/>
        <w:numPr>
          <w:ilvl w:val="0"/>
          <w:numId w:val="14"/>
        </w:numPr>
        <w:rPr>
          <w:rFonts w:asciiTheme="majorHAnsi" w:hAnsiTheme="majorHAnsi" w:cstheme="majorHAnsi"/>
          <w:szCs w:val="36"/>
        </w:rPr>
      </w:pPr>
      <w:r w:rsidRPr="0056608C">
        <w:rPr>
          <w:rFonts w:asciiTheme="majorHAnsi" w:hAnsiTheme="majorHAnsi" w:cstheme="majorHAnsi"/>
          <w:szCs w:val="36"/>
        </w:rPr>
        <w:t>Capital construction and facilities funding</w:t>
      </w:r>
    </w:p>
    <w:p w14:paraId="13AA5210" w14:textId="5FBA5207" w:rsidR="00DC7865" w:rsidRPr="0056608C" w:rsidRDefault="00DC7865" w:rsidP="00DC7865">
      <w:pPr>
        <w:pStyle w:val="ListParagraph"/>
        <w:numPr>
          <w:ilvl w:val="0"/>
          <w:numId w:val="14"/>
        </w:numPr>
        <w:rPr>
          <w:rFonts w:asciiTheme="majorHAnsi" w:hAnsiTheme="majorHAnsi" w:cstheme="majorHAnsi"/>
          <w:szCs w:val="36"/>
        </w:rPr>
      </w:pPr>
      <w:r w:rsidRPr="0056608C">
        <w:rPr>
          <w:rFonts w:asciiTheme="majorHAnsi" w:hAnsiTheme="majorHAnsi" w:cstheme="majorHAnsi"/>
          <w:szCs w:val="36"/>
        </w:rPr>
        <w:t>Technology funding</w:t>
      </w:r>
    </w:p>
    <w:p w14:paraId="081AF619" w14:textId="09E9C13F" w:rsidR="00DC7865" w:rsidRPr="0056608C" w:rsidRDefault="00DC7865" w:rsidP="00DC7865">
      <w:pPr>
        <w:pStyle w:val="ListParagraph"/>
        <w:numPr>
          <w:ilvl w:val="0"/>
          <w:numId w:val="14"/>
        </w:numPr>
        <w:rPr>
          <w:rFonts w:asciiTheme="majorHAnsi" w:hAnsiTheme="majorHAnsi" w:cstheme="majorHAnsi"/>
          <w:szCs w:val="36"/>
        </w:rPr>
      </w:pPr>
      <w:r w:rsidRPr="0056608C">
        <w:rPr>
          <w:rFonts w:asciiTheme="majorHAnsi" w:hAnsiTheme="majorHAnsi" w:cstheme="majorHAnsi"/>
          <w:szCs w:val="36"/>
        </w:rPr>
        <w:t>Any other funding that the district distributes to charter schools of the district</w:t>
      </w:r>
    </w:p>
    <w:p w14:paraId="4542996C" w14:textId="67A7342C" w:rsidR="00B44863" w:rsidRPr="0056608C" w:rsidRDefault="00C114BE" w:rsidP="00B44863">
      <w:pPr>
        <w:rPr>
          <w:rFonts w:asciiTheme="majorHAnsi" w:hAnsiTheme="majorHAnsi" w:cstheme="majorHAnsi"/>
          <w:szCs w:val="36"/>
        </w:rPr>
      </w:pPr>
      <w:r w:rsidRPr="0056608C">
        <w:rPr>
          <w:rFonts w:asciiTheme="majorHAnsi" w:hAnsiTheme="majorHAnsi" w:cstheme="majorHAnsi"/>
          <w:szCs w:val="36"/>
        </w:rPr>
        <w:t xml:space="preserve"> </w:t>
      </w:r>
    </w:p>
    <w:p w14:paraId="62C4A02C" w14:textId="510DF6F7" w:rsidR="00005E9A" w:rsidRPr="0056608C" w:rsidRDefault="00241FE1" w:rsidP="00B44863">
      <w:pPr>
        <w:rPr>
          <w:rFonts w:asciiTheme="majorHAnsi" w:hAnsiTheme="majorHAnsi" w:cstheme="majorHAnsi"/>
          <w:szCs w:val="36"/>
        </w:rPr>
      </w:pPr>
      <w:r w:rsidRPr="0056608C">
        <w:rPr>
          <w:rFonts w:asciiTheme="majorHAnsi" w:hAnsiTheme="majorHAnsi" w:cstheme="majorHAnsi"/>
          <w:szCs w:val="36"/>
        </w:rPr>
        <w:t>The Department collects annual audited financial information from all school dis</w:t>
      </w:r>
      <w:r w:rsidR="00CA6507" w:rsidRPr="0056608C">
        <w:rPr>
          <w:rFonts w:asciiTheme="majorHAnsi" w:hAnsiTheme="majorHAnsi" w:cstheme="majorHAnsi"/>
          <w:szCs w:val="36"/>
        </w:rPr>
        <w:t xml:space="preserve">tricts via </w:t>
      </w:r>
      <w:r w:rsidR="00913B49">
        <w:rPr>
          <w:rFonts w:asciiTheme="majorHAnsi" w:hAnsiTheme="majorHAnsi" w:cstheme="majorHAnsi"/>
          <w:szCs w:val="36"/>
        </w:rPr>
        <w:t xml:space="preserve">Finance December </w:t>
      </w:r>
      <w:proofErr w:type="gramStart"/>
      <w:r w:rsidR="00913B49">
        <w:rPr>
          <w:rFonts w:asciiTheme="majorHAnsi" w:hAnsiTheme="majorHAnsi" w:cstheme="majorHAnsi"/>
          <w:szCs w:val="36"/>
        </w:rPr>
        <w:t xml:space="preserve">in </w:t>
      </w:r>
      <w:r w:rsidR="00CA6507" w:rsidRPr="0056608C">
        <w:rPr>
          <w:rFonts w:asciiTheme="majorHAnsi" w:hAnsiTheme="majorHAnsi" w:cstheme="majorHAnsi"/>
          <w:szCs w:val="36"/>
        </w:rPr>
        <w:t xml:space="preserve"> Data</w:t>
      </w:r>
      <w:proofErr w:type="gramEnd"/>
      <w:r w:rsidR="00CA6507" w:rsidRPr="0056608C">
        <w:rPr>
          <w:rFonts w:asciiTheme="majorHAnsi" w:hAnsiTheme="majorHAnsi" w:cstheme="majorHAnsi"/>
          <w:szCs w:val="36"/>
        </w:rPr>
        <w:t xml:space="preserve"> Pipeline.</w:t>
      </w:r>
      <w:r w:rsidR="00913B49">
        <w:rPr>
          <w:rFonts w:asciiTheme="majorHAnsi" w:hAnsiTheme="majorHAnsi" w:cstheme="majorHAnsi"/>
          <w:szCs w:val="36"/>
        </w:rPr>
        <w:t xml:space="preserve">  </w:t>
      </w:r>
      <w:r w:rsidRPr="0056608C">
        <w:rPr>
          <w:rFonts w:asciiTheme="majorHAnsi" w:hAnsiTheme="majorHAnsi" w:cstheme="majorHAnsi"/>
          <w:szCs w:val="36"/>
        </w:rPr>
        <w:t xml:space="preserve">All districts were required to submit the required information </w:t>
      </w:r>
      <w:r w:rsidR="00005E9A" w:rsidRPr="0056608C">
        <w:rPr>
          <w:rFonts w:asciiTheme="majorHAnsi" w:hAnsiTheme="majorHAnsi" w:cstheme="majorHAnsi"/>
          <w:szCs w:val="36"/>
        </w:rPr>
        <w:t xml:space="preserve">for the </w:t>
      </w:r>
      <w:r w:rsidR="003B4842" w:rsidRPr="0056608C">
        <w:rPr>
          <w:rFonts w:asciiTheme="majorHAnsi" w:hAnsiTheme="majorHAnsi" w:cstheme="majorHAnsi"/>
          <w:szCs w:val="36"/>
        </w:rPr>
        <w:t>FY20</w:t>
      </w:r>
      <w:r w:rsidR="000E58F8" w:rsidRPr="0056608C">
        <w:rPr>
          <w:rFonts w:asciiTheme="majorHAnsi" w:hAnsiTheme="majorHAnsi" w:cstheme="majorHAnsi"/>
          <w:szCs w:val="36"/>
        </w:rPr>
        <w:t>2</w:t>
      </w:r>
      <w:r w:rsidR="00913B49">
        <w:rPr>
          <w:rFonts w:asciiTheme="majorHAnsi" w:hAnsiTheme="majorHAnsi" w:cstheme="majorHAnsi"/>
          <w:szCs w:val="36"/>
        </w:rPr>
        <w:t>3</w:t>
      </w:r>
      <w:r w:rsidR="003B4842" w:rsidRPr="0056608C">
        <w:rPr>
          <w:rFonts w:asciiTheme="majorHAnsi" w:hAnsiTheme="majorHAnsi" w:cstheme="majorHAnsi"/>
          <w:szCs w:val="36"/>
        </w:rPr>
        <w:t>-20</w:t>
      </w:r>
      <w:r w:rsidR="00F5690C" w:rsidRPr="0056608C">
        <w:rPr>
          <w:rFonts w:asciiTheme="majorHAnsi" w:hAnsiTheme="majorHAnsi" w:cstheme="majorHAnsi"/>
          <w:szCs w:val="36"/>
        </w:rPr>
        <w:t>2</w:t>
      </w:r>
      <w:r w:rsidR="00913B49">
        <w:rPr>
          <w:rFonts w:asciiTheme="majorHAnsi" w:hAnsiTheme="majorHAnsi" w:cstheme="majorHAnsi"/>
          <w:szCs w:val="36"/>
        </w:rPr>
        <w:t>4</w:t>
      </w:r>
      <w:r w:rsidR="00CA6507" w:rsidRPr="0056608C">
        <w:rPr>
          <w:rFonts w:asciiTheme="majorHAnsi" w:hAnsiTheme="majorHAnsi" w:cstheme="majorHAnsi"/>
          <w:szCs w:val="36"/>
        </w:rPr>
        <w:t xml:space="preserve"> </w:t>
      </w:r>
      <w:r w:rsidR="00005E9A" w:rsidRPr="0056608C">
        <w:rPr>
          <w:rFonts w:asciiTheme="majorHAnsi" w:hAnsiTheme="majorHAnsi" w:cstheme="majorHAnsi"/>
          <w:szCs w:val="36"/>
        </w:rPr>
        <w:t>Mill Levy Override Report specific to their district, even if the amounts were zero (n</w:t>
      </w:r>
      <w:r w:rsidR="0094314B" w:rsidRPr="0056608C">
        <w:rPr>
          <w:rFonts w:asciiTheme="majorHAnsi" w:hAnsiTheme="majorHAnsi" w:cstheme="majorHAnsi"/>
          <w:szCs w:val="36"/>
        </w:rPr>
        <w:t>ot all school districts are authorized to collect mill levy override revenues</w:t>
      </w:r>
      <w:r w:rsidR="00005E9A" w:rsidRPr="0056608C">
        <w:rPr>
          <w:rFonts w:asciiTheme="majorHAnsi" w:hAnsiTheme="majorHAnsi" w:cstheme="majorHAnsi"/>
          <w:szCs w:val="36"/>
        </w:rPr>
        <w:t>)</w:t>
      </w:r>
      <w:r w:rsidR="0094314B" w:rsidRPr="0056608C">
        <w:rPr>
          <w:rFonts w:asciiTheme="majorHAnsi" w:hAnsiTheme="majorHAnsi" w:cstheme="majorHAnsi"/>
          <w:szCs w:val="36"/>
        </w:rPr>
        <w:t xml:space="preserve">.  </w:t>
      </w:r>
    </w:p>
    <w:p w14:paraId="6CC30375" w14:textId="77777777" w:rsidR="00005E9A" w:rsidRPr="0056608C" w:rsidRDefault="00005E9A" w:rsidP="00B44863">
      <w:pPr>
        <w:rPr>
          <w:rFonts w:asciiTheme="majorHAnsi" w:hAnsiTheme="majorHAnsi" w:cstheme="majorHAnsi"/>
          <w:szCs w:val="36"/>
        </w:rPr>
      </w:pPr>
    </w:p>
    <w:p w14:paraId="0EB905AF" w14:textId="2043BE61" w:rsidR="00DC7865" w:rsidRPr="0056608C" w:rsidRDefault="00005E9A" w:rsidP="00B44863">
      <w:pPr>
        <w:rPr>
          <w:rFonts w:asciiTheme="majorHAnsi" w:hAnsiTheme="majorHAnsi" w:cstheme="majorHAnsi"/>
          <w:szCs w:val="36"/>
        </w:rPr>
      </w:pPr>
      <w:r w:rsidRPr="0056608C">
        <w:rPr>
          <w:rFonts w:asciiTheme="majorHAnsi" w:hAnsiTheme="majorHAnsi" w:cstheme="majorHAnsi"/>
          <w:szCs w:val="36"/>
        </w:rPr>
        <w:t>After the Department col</w:t>
      </w:r>
      <w:r w:rsidR="003B4842" w:rsidRPr="0056608C">
        <w:rPr>
          <w:rFonts w:asciiTheme="majorHAnsi" w:hAnsiTheme="majorHAnsi" w:cstheme="majorHAnsi"/>
          <w:szCs w:val="36"/>
        </w:rPr>
        <w:t>lected the Fiscal Year 20</w:t>
      </w:r>
      <w:r w:rsidR="000E58F8" w:rsidRPr="0056608C">
        <w:rPr>
          <w:rFonts w:asciiTheme="majorHAnsi" w:hAnsiTheme="majorHAnsi" w:cstheme="majorHAnsi"/>
          <w:szCs w:val="36"/>
        </w:rPr>
        <w:t>2</w:t>
      </w:r>
      <w:r w:rsidR="003800CD">
        <w:rPr>
          <w:rFonts w:asciiTheme="majorHAnsi" w:hAnsiTheme="majorHAnsi" w:cstheme="majorHAnsi"/>
          <w:szCs w:val="36"/>
        </w:rPr>
        <w:t>4</w:t>
      </w:r>
      <w:r w:rsidR="003B4842" w:rsidRPr="0056608C">
        <w:rPr>
          <w:rFonts w:asciiTheme="majorHAnsi" w:hAnsiTheme="majorHAnsi" w:cstheme="majorHAnsi"/>
          <w:szCs w:val="36"/>
        </w:rPr>
        <w:t>-20</w:t>
      </w:r>
      <w:r w:rsidR="00F5690C" w:rsidRPr="0056608C">
        <w:rPr>
          <w:rFonts w:asciiTheme="majorHAnsi" w:hAnsiTheme="majorHAnsi" w:cstheme="majorHAnsi"/>
          <w:szCs w:val="36"/>
        </w:rPr>
        <w:t>2</w:t>
      </w:r>
      <w:r w:rsidR="003800CD">
        <w:rPr>
          <w:rFonts w:asciiTheme="majorHAnsi" w:hAnsiTheme="majorHAnsi" w:cstheme="majorHAnsi"/>
          <w:szCs w:val="36"/>
        </w:rPr>
        <w:t>5</w:t>
      </w:r>
      <w:r w:rsidRPr="0056608C">
        <w:rPr>
          <w:rFonts w:asciiTheme="majorHAnsi" w:hAnsiTheme="majorHAnsi" w:cstheme="majorHAnsi"/>
          <w:szCs w:val="36"/>
        </w:rPr>
        <w:t xml:space="preserve"> financial data, a preliminary Mill Levy Override Revenue Report was prepared and sent to the primary financial contacts for district and charter school</w:t>
      </w:r>
      <w:r w:rsidR="00F12869" w:rsidRPr="0056608C">
        <w:rPr>
          <w:rFonts w:asciiTheme="majorHAnsi" w:hAnsiTheme="majorHAnsi" w:cstheme="majorHAnsi"/>
          <w:szCs w:val="36"/>
        </w:rPr>
        <w:t>s</w:t>
      </w:r>
      <w:r w:rsidRPr="0056608C">
        <w:rPr>
          <w:rFonts w:asciiTheme="majorHAnsi" w:hAnsiTheme="majorHAnsi" w:cstheme="majorHAnsi"/>
          <w:szCs w:val="36"/>
        </w:rPr>
        <w:t xml:space="preserve">.  </w:t>
      </w:r>
      <w:r w:rsidR="00CA6507" w:rsidRPr="0056608C">
        <w:rPr>
          <w:rFonts w:asciiTheme="majorHAnsi" w:hAnsiTheme="majorHAnsi" w:cstheme="majorHAnsi"/>
          <w:szCs w:val="36"/>
        </w:rPr>
        <w:t>Districts and c</w:t>
      </w:r>
      <w:r w:rsidRPr="0056608C">
        <w:rPr>
          <w:rFonts w:asciiTheme="majorHAnsi" w:hAnsiTheme="majorHAnsi" w:cstheme="majorHAnsi"/>
          <w:szCs w:val="36"/>
        </w:rPr>
        <w:t xml:space="preserve">harter schools reviewed the preliminary report and </w:t>
      </w:r>
      <w:r w:rsidR="00F12869" w:rsidRPr="0056608C">
        <w:rPr>
          <w:rFonts w:asciiTheme="majorHAnsi" w:hAnsiTheme="majorHAnsi" w:cstheme="majorHAnsi"/>
          <w:szCs w:val="36"/>
        </w:rPr>
        <w:t xml:space="preserve">if needed, </w:t>
      </w:r>
      <w:r w:rsidRPr="0056608C">
        <w:rPr>
          <w:rFonts w:asciiTheme="majorHAnsi" w:hAnsiTheme="majorHAnsi" w:cstheme="majorHAnsi"/>
          <w:szCs w:val="36"/>
        </w:rPr>
        <w:t xml:space="preserve">addendum requests were sent to the Department.  </w:t>
      </w:r>
    </w:p>
    <w:p w14:paraId="73CC2B45" w14:textId="77777777" w:rsidR="001A1B40" w:rsidRPr="0056608C" w:rsidRDefault="001A1B40" w:rsidP="00B44863">
      <w:pPr>
        <w:rPr>
          <w:rFonts w:asciiTheme="majorHAnsi" w:hAnsiTheme="majorHAnsi" w:cstheme="majorHAnsi"/>
          <w:szCs w:val="36"/>
        </w:rPr>
      </w:pPr>
    </w:p>
    <w:p w14:paraId="2353BF04" w14:textId="752DEE97" w:rsidR="00DC7865" w:rsidRPr="0056608C" w:rsidRDefault="004C2B40" w:rsidP="00B44863">
      <w:pPr>
        <w:rPr>
          <w:rFonts w:asciiTheme="majorHAnsi" w:hAnsiTheme="majorHAnsi" w:cstheme="majorHAnsi"/>
          <w:szCs w:val="36"/>
        </w:rPr>
      </w:pPr>
      <w:r w:rsidRPr="004C2B40">
        <w:rPr>
          <w:rFonts w:asciiTheme="majorHAnsi" w:hAnsiTheme="majorHAnsi" w:cstheme="majorHAnsi"/>
          <w:szCs w:val="36"/>
        </w:rPr>
        <w:t xml:space="preserve">Note: </w:t>
      </w:r>
      <w:r w:rsidR="003800CD" w:rsidRPr="004C2B40">
        <w:rPr>
          <w:rFonts w:asciiTheme="majorHAnsi" w:hAnsiTheme="majorHAnsi" w:cstheme="majorHAnsi"/>
          <w:szCs w:val="36"/>
        </w:rPr>
        <w:t>The Fiscal Year 202</w:t>
      </w:r>
      <w:r w:rsidR="003800CD">
        <w:rPr>
          <w:rFonts w:asciiTheme="majorHAnsi" w:hAnsiTheme="majorHAnsi" w:cstheme="majorHAnsi"/>
          <w:szCs w:val="36"/>
        </w:rPr>
        <w:t>4</w:t>
      </w:r>
      <w:r w:rsidR="003800CD" w:rsidRPr="004C2B40">
        <w:rPr>
          <w:rFonts w:asciiTheme="majorHAnsi" w:hAnsiTheme="majorHAnsi" w:cstheme="majorHAnsi"/>
          <w:szCs w:val="36"/>
        </w:rPr>
        <w:t>-202</w:t>
      </w:r>
      <w:r w:rsidR="003800CD">
        <w:rPr>
          <w:rFonts w:asciiTheme="majorHAnsi" w:hAnsiTheme="majorHAnsi" w:cstheme="majorHAnsi"/>
          <w:szCs w:val="36"/>
        </w:rPr>
        <w:t>5</w:t>
      </w:r>
      <w:r w:rsidR="003800CD" w:rsidRPr="004C2B40">
        <w:rPr>
          <w:rFonts w:asciiTheme="majorHAnsi" w:hAnsiTheme="majorHAnsi" w:cstheme="majorHAnsi"/>
          <w:szCs w:val="36"/>
        </w:rPr>
        <w:t xml:space="preserve"> financial data and audits have not been finalized for Huerfano Re-1, East Otero R-1, Wiley Re-13 </w:t>
      </w:r>
      <w:proofErr w:type="spellStart"/>
      <w:r w:rsidR="003800CD" w:rsidRPr="004C2B40">
        <w:rPr>
          <w:rFonts w:asciiTheme="majorHAnsi" w:hAnsiTheme="majorHAnsi" w:cstheme="majorHAnsi"/>
          <w:szCs w:val="36"/>
        </w:rPr>
        <w:t>Jt</w:t>
      </w:r>
      <w:proofErr w:type="spellEnd"/>
      <w:r w:rsidR="003800CD" w:rsidRPr="004C2B40">
        <w:rPr>
          <w:rFonts w:asciiTheme="majorHAnsi" w:hAnsiTheme="majorHAnsi" w:cstheme="majorHAnsi"/>
          <w:szCs w:val="36"/>
        </w:rPr>
        <w:t xml:space="preserve"> and South Routt Re 3</w:t>
      </w:r>
      <w:r w:rsidR="003800CD">
        <w:rPr>
          <w:rFonts w:asciiTheme="majorHAnsi" w:hAnsiTheme="majorHAnsi" w:cstheme="majorHAnsi"/>
          <w:szCs w:val="36"/>
        </w:rPr>
        <w:t xml:space="preserve">.  </w:t>
      </w:r>
      <w:r w:rsidR="006D52BD">
        <w:rPr>
          <w:rFonts w:asciiTheme="majorHAnsi" w:hAnsiTheme="majorHAnsi" w:cstheme="majorHAnsi"/>
          <w:szCs w:val="36"/>
        </w:rPr>
        <w:t>In Fiscal Years 2023-24 these districts were also late.</w:t>
      </w:r>
    </w:p>
    <w:p w14:paraId="6EA28CAB" w14:textId="73234223" w:rsidR="00B424DF" w:rsidRPr="0056608C" w:rsidRDefault="006D52BD" w:rsidP="00CA52AE">
      <w:pPr>
        <w:pStyle w:val="Heading1"/>
        <w:pBdr>
          <w:bottom w:val="single" w:sz="8" w:space="28" w:color="9AA3AC" w:themeColor="text1" w:themeTint="99"/>
        </w:pBdr>
        <w:rPr>
          <w:rFonts w:asciiTheme="majorHAnsi" w:hAnsiTheme="majorHAnsi" w:cstheme="majorHAnsi"/>
          <w:color w:val="auto"/>
        </w:rPr>
      </w:pPr>
      <w:r w:rsidRPr="006D52BD">
        <w:rPr>
          <w:noProof/>
        </w:rPr>
        <w:lastRenderedPageBreak/>
        <w:drawing>
          <wp:inline distT="0" distB="0" distL="0" distR="0" wp14:anchorId="1823A025" wp14:editId="7B2C961E">
            <wp:extent cx="6400800" cy="7160260"/>
            <wp:effectExtent l="19050" t="19050" r="19050" b="21590"/>
            <wp:docPr id="1554088705" name="Picture 1287" descr="Table of the Voter Approved Overrides for Districts 0010 to 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88705" name="Picture 1287" descr="Table of the Voter Approved Overrides for Districts 0010 to 09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7160260"/>
                    </a:xfrm>
                    <a:prstGeom prst="rect">
                      <a:avLst/>
                    </a:prstGeom>
                    <a:noFill/>
                    <a:ln>
                      <a:solidFill>
                        <a:srgbClr val="000000"/>
                      </a:solidFill>
                    </a:ln>
                  </pic:spPr>
                </pic:pic>
              </a:graphicData>
            </a:graphic>
          </wp:inline>
        </w:drawing>
      </w:r>
    </w:p>
    <w:p w14:paraId="25337158" w14:textId="491B65D3" w:rsidR="00B424DF" w:rsidRPr="00700094" w:rsidRDefault="006D52BD" w:rsidP="00A44BC2">
      <w:pPr>
        <w:pStyle w:val="SummaryHeadline"/>
        <w:rPr>
          <w:rFonts w:asciiTheme="majorHAnsi" w:hAnsiTheme="majorHAnsi" w:cstheme="majorHAnsi"/>
          <w:color w:val="auto"/>
          <w14:textOutline w14:w="9525" w14:cap="rnd" w14:cmpd="sng" w14:algn="ctr">
            <w14:solidFill>
              <w14:schemeClr w14:val="tx1">
                <w14:lumMod w14:val="50000"/>
              </w14:schemeClr>
            </w14:solidFill>
            <w14:prstDash w14:val="solid"/>
            <w14:bevel/>
          </w14:textOutline>
        </w:rPr>
      </w:pPr>
      <w:r w:rsidRPr="006D52BD">
        <w:rPr>
          <w:noProof/>
        </w:rPr>
        <w:lastRenderedPageBreak/>
        <w:drawing>
          <wp:inline distT="0" distB="0" distL="0" distR="0" wp14:anchorId="4A9F09D4" wp14:editId="364AA270">
            <wp:extent cx="6400800" cy="7160260"/>
            <wp:effectExtent l="19050" t="19050" r="19050" b="21590"/>
            <wp:docPr id="1519873013" name="Picture 1288" descr="Table of the Voter Approved Overrides for Districts 1000 to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73013" name="Picture 1288" descr="Table of the Voter Approved Overrides for Districts 1000 to 18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7160260"/>
                    </a:xfrm>
                    <a:prstGeom prst="rect">
                      <a:avLst/>
                    </a:prstGeom>
                    <a:noFill/>
                    <a:ln>
                      <a:solidFill>
                        <a:srgbClr val="000000"/>
                      </a:solidFill>
                    </a:ln>
                  </pic:spPr>
                </pic:pic>
              </a:graphicData>
            </a:graphic>
          </wp:inline>
        </w:drawing>
      </w:r>
    </w:p>
    <w:p w14:paraId="43ADFEF2" w14:textId="7FC675B6" w:rsidR="00783D60" w:rsidRPr="0056608C" w:rsidRDefault="006D52BD" w:rsidP="00A44BC2">
      <w:pPr>
        <w:pStyle w:val="SummaryHeadline"/>
        <w:rPr>
          <w:rFonts w:asciiTheme="majorHAnsi" w:hAnsiTheme="majorHAnsi" w:cstheme="majorHAnsi"/>
          <w:color w:val="auto"/>
        </w:rPr>
      </w:pPr>
      <w:r w:rsidRPr="006D52BD">
        <w:rPr>
          <w:noProof/>
        </w:rPr>
        <w:lastRenderedPageBreak/>
        <w:drawing>
          <wp:inline distT="0" distB="0" distL="0" distR="0" wp14:anchorId="142B3765" wp14:editId="68FC2B07">
            <wp:extent cx="6400800" cy="7283450"/>
            <wp:effectExtent l="19050" t="19050" r="19050" b="12700"/>
            <wp:docPr id="242042594" name="Picture 1289" descr="Table of the Voter Approved Overrides for Districts 1850 to 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42594" name="Picture 1289" descr="Table of the Voter Approved Overrides for Districts 1850 to 28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7283450"/>
                    </a:xfrm>
                    <a:prstGeom prst="rect">
                      <a:avLst/>
                    </a:prstGeom>
                    <a:noFill/>
                    <a:ln>
                      <a:solidFill>
                        <a:srgbClr val="000000"/>
                      </a:solidFill>
                    </a:ln>
                  </pic:spPr>
                </pic:pic>
              </a:graphicData>
            </a:graphic>
          </wp:inline>
        </w:drawing>
      </w:r>
    </w:p>
    <w:p w14:paraId="7410D00D" w14:textId="57243110" w:rsidR="00783D60" w:rsidRPr="0056608C" w:rsidRDefault="006D52BD" w:rsidP="00A44BC2">
      <w:pPr>
        <w:pStyle w:val="SummaryHeadline"/>
        <w:rPr>
          <w:rFonts w:asciiTheme="majorHAnsi" w:hAnsiTheme="majorHAnsi" w:cstheme="majorHAnsi"/>
          <w:color w:val="auto"/>
        </w:rPr>
      </w:pPr>
      <w:r w:rsidRPr="006D52BD">
        <w:rPr>
          <w:noProof/>
        </w:rPr>
        <w:lastRenderedPageBreak/>
        <w:drawing>
          <wp:inline distT="0" distB="0" distL="0" distR="0" wp14:anchorId="5295E97B" wp14:editId="1EBBF017">
            <wp:extent cx="6400800" cy="4080510"/>
            <wp:effectExtent l="19050" t="19050" r="19050" b="15240"/>
            <wp:docPr id="590268872" name="Picture 1290" descr="Table of the Voter Approved Overrides for Districts 3000 to 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68872" name="Picture 1290" descr="Table of the Voter Approved Overrides for Districts 3000 to 32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4080510"/>
                    </a:xfrm>
                    <a:prstGeom prst="rect">
                      <a:avLst/>
                    </a:prstGeom>
                    <a:noFill/>
                    <a:ln>
                      <a:solidFill>
                        <a:srgbClr val="000000"/>
                      </a:solidFill>
                    </a:ln>
                  </pic:spPr>
                </pic:pic>
              </a:graphicData>
            </a:graphic>
          </wp:inline>
        </w:drawing>
      </w:r>
    </w:p>
    <w:p w14:paraId="5D26BBC2" w14:textId="77777777" w:rsidR="0056608C" w:rsidRPr="0056608C" w:rsidRDefault="0056608C">
      <w:pPr>
        <w:rPr>
          <w:rFonts w:asciiTheme="majorHAnsi" w:hAnsiTheme="majorHAnsi" w:cstheme="majorHAnsi"/>
          <w:highlight w:val="yellow"/>
        </w:rPr>
      </w:pPr>
    </w:p>
    <w:p w14:paraId="7DE5BF05" w14:textId="77777777"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CRS 22-2-113.8</w:t>
      </w:r>
    </w:p>
    <w:p w14:paraId="10151C77" w14:textId="47A5D9D8"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(1) For the 2014-15 budget year and each budget year thereafter, each school district shall report the total amount of additional local property tax revenues the district is authorized to collect in addition to the district's total program mill levy, but not including amounts authorized pursuant to section 22-40-110, article 42 of this title, or article 43 of this title, and the amount of the additional local property tax revenues that the school district distributes directly to schools of the school district, stated as a dollar amount.</w:t>
      </w:r>
    </w:p>
    <w:p w14:paraId="14F1AA25" w14:textId="77777777" w:rsidR="0056608C" w:rsidRPr="0056608C" w:rsidRDefault="0056608C" w:rsidP="0056608C">
      <w:pPr>
        <w:rPr>
          <w:rFonts w:asciiTheme="majorHAnsi" w:hAnsiTheme="majorHAnsi" w:cstheme="majorHAnsi"/>
          <w:sz w:val="18"/>
          <w:szCs w:val="18"/>
        </w:rPr>
      </w:pPr>
    </w:p>
    <w:p w14:paraId="3039FE8C" w14:textId="4B47F59A"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 xml:space="preserve">(2) The department shall annually compile a report of the information received pursuant to subsection (1) of this section concerning the collection of additional local property tax revenues by each school district and the distribution of the revenues to the schools of the school district, including the charter schools. In addition to the compiled information, the report must include a comparison of the amount of additional local property tax </w:t>
      </w:r>
    </w:p>
    <w:p w14:paraId="298852C4" w14:textId="22A5F6F4"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revenues received by the school district and the amount distributed to the schools of the district, including the charter schools, at the district level and aggregated statewide (aggregated statewide report available on CDE website upon collection and approval of statewide data).</w:t>
      </w:r>
    </w:p>
    <w:p w14:paraId="6DDBE824" w14:textId="77777777" w:rsidR="0056608C" w:rsidRPr="0056608C" w:rsidRDefault="0056608C" w:rsidP="0056608C">
      <w:pPr>
        <w:rPr>
          <w:rFonts w:asciiTheme="majorHAnsi" w:hAnsiTheme="majorHAnsi" w:cstheme="majorHAnsi"/>
          <w:sz w:val="18"/>
          <w:szCs w:val="18"/>
        </w:rPr>
      </w:pPr>
    </w:p>
    <w:p w14:paraId="43E949E5" w14:textId="145983C7"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 xml:space="preserve">(3) (a) The department shall allow each school district and each district charter school to review the report before publication. A school district or a charter school may request that the department compile an addendum to the report that is specific to the </w:t>
      </w:r>
      <w:proofErr w:type="gramStart"/>
      <w:r w:rsidRPr="0056608C">
        <w:rPr>
          <w:rFonts w:asciiTheme="majorHAnsi" w:hAnsiTheme="majorHAnsi" w:cstheme="majorHAnsi"/>
          <w:sz w:val="18"/>
          <w:szCs w:val="18"/>
        </w:rPr>
        <w:t>requesting</w:t>
      </w:r>
      <w:proofErr w:type="gramEnd"/>
      <w:r w:rsidRPr="0056608C">
        <w:rPr>
          <w:rFonts w:asciiTheme="majorHAnsi" w:hAnsiTheme="majorHAnsi" w:cstheme="majorHAnsi"/>
          <w:sz w:val="18"/>
          <w:szCs w:val="18"/>
        </w:rPr>
        <w:t xml:space="preserve"> school district or charter school and that examines the overall level of funding distributed by the school district to the charter schools of the district, including:</w:t>
      </w:r>
    </w:p>
    <w:p w14:paraId="67C49C19" w14:textId="77777777"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(I) Capital construction and facilities funding;</w:t>
      </w:r>
    </w:p>
    <w:p w14:paraId="7CA556FA" w14:textId="77777777"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(II) Funding for technology; and</w:t>
      </w:r>
    </w:p>
    <w:p w14:paraId="6E06A43C" w14:textId="77777777" w:rsidR="0056608C" w:rsidRPr="0056608C" w:rsidRDefault="0056608C" w:rsidP="0056608C">
      <w:pPr>
        <w:rPr>
          <w:rFonts w:asciiTheme="majorHAnsi" w:hAnsiTheme="majorHAnsi" w:cstheme="majorHAnsi"/>
          <w:sz w:val="18"/>
          <w:szCs w:val="18"/>
        </w:rPr>
      </w:pPr>
      <w:r w:rsidRPr="0056608C">
        <w:rPr>
          <w:rFonts w:asciiTheme="majorHAnsi" w:hAnsiTheme="majorHAnsi" w:cstheme="majorHAnsi"/>
          <w:sz w:val="18"/>
          <w:szCs w:val="18"/>
        </w:rPr>
        <w:t>(III) Any other funding that the school district distributes to the charter schools of the district.</w:t>
      </w:r>
    </w:p>
    <w:p w14:paraId="74FD402C" w14:textId="492113A1" w:rsidR="00CA52AE" w:rsidRPr="0056608C" w:rsidRDefault="0056608C" w:rsidP="0056608C">
      <w:pPr>
        <w:rPr>
          <w:rFonts w:asciiTheme="majorHAnsi" w:eastAsiaTheme="minorHAnsi" w:hAnsiTheme="majorHAnsi" w:cstheme="majorHAnsi"/>
          <w:b/>
          <w:bCs/>
          <w:sz w:val="32"/>
          <w:szCs w:val="32"/>
          <w:highlight w:val="yellow"/>
        </w:rPr>
      </w:pPr>
      <w:r w:rsidRPr="0056608C">
        <w:rPr>
          <w:rFonts w:asciiTheme="majorHAnsi" w:hAnsiTheme="majorHAnsi" w:cstheme="majorHAnsi"/>
          <w:sz w:val="18"/>
          <w:szCs w:val="18"/>
        </w:rPr>
        <w:t>(b) The department shall simultaneously publish on the department web site the report and any addenda prepared for the report in response to a school district or charter school request.</w:t>
      </w:r>
      <w:r w:rsidR="00CA52AE" w:rsidRPr="0056608C">
        <w:rPr>
          <w:rFonts w:asciiTheme="majorHAnsi" w:hAnsiTheme="majorHAnsi" w:cstheme="majorHAnsi"/>
          <w:highlight w:val="yellow"/>
        </w:rPr>
        <w:br w:type="page"/>
      </w:r>
    </w:p>
    <w:p w14:paraId="123084F1" w14:textId="15262F9C" w:rsidR="0059344B" w:rsidRPr="0016556B" w:rsidRDefault="0059344B" w:rsidP="00A44BC2">
      <w:pPr>
        <w:pStyle w:val="SummaryHeadline"/>
        <w:rPr>
          <w:rFonts w:asciiTheme="majorHAnsi" w:hAnsiTheme="majorHAnsi" w:cstheme="majorHAnsi"/>
          <w:color w:val="auto"/>
        </w:rPr>
      </w:pPr>
      <w:r w:rsidRPr="0016556B">
        <w:rPr>
          <w:rFonts w:asciiTheme="majorHAnsi" w:hAnsiTheme="majorHAnsi" w:cstheme="majorHAnsi"/>
          <w:color w:val="auto"/>
        </w:rPr>
        <w:lastRenderedPageBreak/>
        <w:t>Addendums</w:t>
      </w:r>
      <w:r w:rsidR="00CC558D" w:rsidRPr="0016556B">
        <w:rPr>
          <w:rFonts w:asciiTheme="majorHAnsi" w:hAnsiTheme="majorHAnsi" w:cstheme="majorHAnsi"/>
          <w:color w:val="auto"/>
        </w:rPr>
        <w:t>: Mill Levy Override Revenue Report</w:t>
      </w:r>
    </w:p>
    <w:p w14:paraId="7ACD9600" w14:textId="5DDD055E" w:rsidR="00CA52AE" w:rsidRDefault="00CA52AE" w:rsidP="00B839FE">
      <w:pPr>
        <w:rPr>
          <w:rFonts w:asciiTheme="majorHAnsi" w:hAnsiTheme="majorHAnsi" w:cstheme="majorHAnsi"/>
          <w:szCs w:val="36"/>
        </w:rPr>
      </w:pPr>
      <w:r w:rsidRPr="0016556B">
        <w:rPr>
          <w:rFonts w:asciiTheme="majorHAnsi" w:hAnsiTheme="majorHAnsi" w:cstheme="majorHAnsi"/>
          <w:szCs w:val="36"/>
        </w:rPr>
        <w:t xml:space="preserve">Based on addendum requests submitted to the Colorado Department of Education, </w:t>
      </w:r>
      <w:r w:rsidR="0016556B">
        <w:rPr>
          <w:rFonts w:asciiTheme="majorHAnsi" w:hAnsiTheme="majorHAnsi" w:cstheme="majorHAnsi"/>
          <w:szCs w:val="36"/>
        </w:rPr>
        <w:t>Steamboat Springs</w:t>
      </w:r>
      <w:r w:rsidRPr="0016556B">
        <w:rPr>
          <w:rFonts w:asciiTheme="majorHAnsi" w:hAnsiTheme="majorHAnsi" w:cstheme="majorHAnsi"/>
          <w:szCs w:val="36"/>
        </w:rPr>
        <w:t xml:space="preserve"> school district prepared </w:t>
      </w:r>
      <w:r w:rsidR="0016556B">
        <w:rPr>
          <w:rFonts w:asciiTheme="majorHAnsi" w:hAnsiTheme="majorHAnsi" w:cstheme="majorHAnsi"/>
          <w:szCs w:val="36"/>
        </w:rPr>
        <w:t xml:space="preserve">an </w:t>
      </w:r>
      <w:r w:rsidRPr="0016556B">
        <w:rPr>
          <w:rFonts w:asciiTheme="majorHAnsi" w:hAnsiTheme="majorHAnsi" w:cstheme="majorHAnsi"/>
          <w:szCs w:val="36"/>
        </w:rPr>
        <w:t>addendum for charter school in their district</w:t>
      </w:r>
      <w:r w:rsidR="0016556B">
        <w:rPr>
          <w:rFonts w:asciiTheme="majorHAnsi" w:hAnsiTheme="majorHAnsi" w:cstheme="majorHAnsi"/>
          <w:szCs w:val="36"/>
        </w:rPr>
        <w:t>.</w:t>
      </w:r>
    </w:p>
    <w:p w14:paraId="41EC27F8" w14:textId="7E931D85" w:rsidR="0016556B" w:rsidRPr="0016556B" w:rsidRDefault="0016556B" w:rsidP="00B839FE">
      <w:pPr>
        <w:rPr>
          <w:rFonts w:asciiTheme="majorHAnsi" w:hAnsiTheme="majorHAnsi" w:cstheme="majorHAnsi"/>
          <w:b/>
          <w:bCs/>
          <w:szCs w:val="36"/>
          <w:u w:val="single"/>
        </w:rPr>
      </w:pP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r w:rsidRPr="0016556B">
        <w:rPr>
          <w:rFonts w:asciiTheme="majorHAnsi" w:hAnsiTheme="majorHAnsi" w:cstheme="majorHAnsi"/>
          <w:b/>
          <w:bCs/>
          <w:szCs w:val="36"/>
          <w:u w:val="single"/>
        </w:rPr>
        <w:tab/>
      </w:r>
    </w:p>
    <w:p w14:paraId="1D09183D" w14:textId="77777777" w:rsidR="0016556B" w:rsidRDefault="0016556B" w:rsidP="00B839FE">
      <w:pPr>
        <w:rPr>
          <w:rFonts w:asciiTheme="majorHAnsi" w:hAnsiTheme="majorHAnsi" w:cstheme="majorHAnsi"/>
          <w:szCs w:val="36"/>
        </w:rPr>
      </w:pPr>
    </w:p>
    <w:p w14:paraId="75A97EAE" w14:textId="67D73712"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School District Name</w:t>
      </w:r>
      <w:r>
        <w:rPr>
          <w:rFonts w:asciiTheme="majorHAnsi" w:hAnsiTheme="majorHAnsi" w:cstheme="majorHAnsi"/>
          <w:szCs w:val="36"/>
        </w:rPr>
        <w:t>:</w:t>
      </w:r>
      <w:r>
        <w:rPr>
          <w:rFonts w:asciiTheme="majorHAnsi" w:hAnsiTheme="majorHAnsi" w:cstheme="majorHAnsi"/>
          <w:szCs w:val="36"/>
        </w:rPr>
        <w:tab/>
      </w:r>
      <w:r>
        <w:rPr>
          <w:rFonts w:asciiTheme="majorHAnsi" w:hAnsiTheme="majorHAnsi" w:cstheme="majorHAnsi"/>
          <w:szCs w:val="36"/>
        </w:rPr>
        <w:tab/>
      </w:r>
      <w:r>
        <w:rPr>
          <w:rFonts w:asciiTheme="majorHAnsi" w:hAnsiTheme="majorHAnsi" w:cstheme="majorHAnsi"/>
          <w:szCs w:val="36"/>
        </w:rPr>
        <w:tab/>
      </w:r>
      <w:r>
        <w:rPr>
          <w:rFonts w:asciiTheme="majorHAnsi" w:hAnsiTheme="majorHAnsi" w:cstheme="majorHAnsi"/>
          <w:szCs w:val="36"/>
        </w:rPr>
        <w:tab/>
      </w:r>
      <w:r w:rsidR="009C5068">
        <w:rPr>
          <w:rFonts w:asciiTheme="majorHAnsi" w:hAnsiTheme="majorHAnsi" w:cstheme="majorHAnsi"/>
          <w:szCs w:val="36"/>
        </w:rPr>
        <w:t>Moffat School #2</w:t>
      </w:r>
      <w:r w:rsidRPr="0016556B">
        <w:rPr>
          <w:rFonts w:asciiTheme="majorHAnsi" w:hAnsiTheme="majorHAnsi" w:cstheme="majorHAnsi"/>
          <w:szCs w:val="36"/>
        </w:rPr>
        <w:tab/>
      </w:r>
      <w:r w:rsidRPr="0016556B">
        <w:rPr>
          <w:rFonts w:asciiTheme="majorHAnsi" w:hAnsiTheme="majorHAnsi" w:cstheme="majorHAnsi"/>
          <w:szCs w:val="36"/>
        </w:rPr>
        <w:tab/>
      </w:r>
    </w:p>
    <w:p w14:paraId="026DD286" w14:textId="76F3F48B"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District Financial Contact Name and Title</w:t>
      </w:r>
      <w:r>
        <w:rPr>
          <w:rFonts w:asciiTheme="majorHAnsi" w:hAnsiTheme="majorHAnsi" w:cstheme="majorHAnsi"/>
          <w:szCs w:val="36"/>
        </w:rPr>
        <w:t>:</w:t>
      </w:r>
      <w:r w:rsidRPr="0016556B">
        <w:rPr>
          <w:rFonts w:asciiTheme="majorHAnsi" w:hAnsiTheme="majorHAnsi" w:cstheme="majorHAnsi"/>
          <w:szCs w:val="36"/>
        </w:rPr>
        <w:tab/>
      </w:r>
      <w:r w:rsidR="009C5068" w:rsidRPr="009C5068">
        <w:rPr>
          <w:rFonts w:asciiTheme="majorHAnsi" w:hAnsiTheme="majorHAnsi" w:cstheme="majorHAnsi"/>
          <w:szCs w:val="36"/>
        </w:rPr>
        <w:t>Rebecca Quintana, Finance Director</w:t>
      </w:r>
      <w:r w:rsidRPr="0016556B">
        <w:rPr>
          <w:rFonts w:asciiTheme="majorHAnsi" w:hAnsiTheme="majorHAnsi" w:cstheme="majorHAnsi"/>
          <w:szCs w:val="36"/>
        </w:rPr>
        <w:tab/>
      </w:r>
      <w:r w:rsidRPr="0016556B">
        <w:rPr>
          <w:rFonts w:asciiTheme="majorHAnsi" w:hAnsiTheme="majorHAnsi" w:cstheme="majorHAnsi"/>
          <w:szCs w:val="36"/>
        </w:rPr>
        <w:tab/>
      </w:r>
    </w:p>
    <w:p w14:paraId="4A321527" w14:textId="2282E908"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Phone Number and Email</w:t>
      </w:r>
      <w:r>
        <w:rPr>
          <w:rFonts w:asciiTheme="majorHAnsi" w:hAnsiTheme="majorHAnsi" w:cstheme="majorHAnsi"/>
          <w:szCs w:val="36"/>
        </w:rPr>
        <w:t>:</w:t>
      </w:r>
      <w:r>
        <w:rPr>
          <w:rFonts w:asciiTheme="majorHAnsi" w:hAnsiTheme="majorHAnsi" w:cstheme="majorHAnsi"/>
          <w:szCs w:val="36"/>
        </w:rPr>
        <w:tab/>
      </w:r>
      <w:r>
        <w:rPr>
          <w:rFonts w:asciiTheme="majorHAnsi" w:hAnsiTheme="majorHAnsi" w:cstheme="majorHAnsi"/>
          <w:szCs w:val="36"/>
        </w:rPr>
        <w:tab/>
      </w:r>
      <w:r>
        <w:rPr>
          <w:rFonts w:asciiTheme="majorHAnsi" w:hAnsiTheme="majorHAnsi" w:cstheme="majorHAnsi"/>
          <w:szCs w:val="36"/>
        </w:rPr>
        <w:tab/>
      </w:r>
      <w:r w:rsidR="009C5068" w:rsidRPr="009C5068">
        <w:rPr>
          <w:rFonts w:asciiTheme="majorHAnsi" w:hAnsiTheme="majorHAnsi" w:cstheme="majorHAnsi"/>
          <w:szCs w:val="36"/>
        </w:rPr>
        <w:t>719-588-1568, rquintana@moffatschools.org</w:t>
      </w:r>
      <w:r w:rsidRPr="0016556B">
        <w:rPr>
          <w:rFonts w:asciiTheme="majorHAnsi" w:hAnsiTheme="majorHAnsi" w:cstheme="majorHAnsi"/>
          <w:szCs w:val="36"/>
        </w:rPr>
        <w:tab/>
      </w:r>
      <w:r w:rsidRPr="0016556B">
        <w:rPr>
          <w:rFonts w:asciiTheme="majorHAnsi" w:hAnsiTheme="majorHAnsi" w:cstheme="majorHAnsi"/>
          <w:szCs w:val="36"/>
        </w:rPr>
        <w:tab/>
      </w:r>
    </w:p>
    <w:p w14:paraId="7E625507" w14:textId="77777777"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p>
    <w:p w14:paraId="1D64F8E9" w14:textId="76789865"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Charter School Name</w:t>
      </w:r>
      <w:r>
        <w:rPr>
          <w:rFonts w:asciiTheme="majorHAnsi" w:hAnsiTheme="majorHAnsi" w:cstheme="majorHAnsi"/>
          <w:szCs w:val="36"/>
        </w:rPr>
        <w:t>:</w:t>
      </w:r>
      <w:r>
        <w:rPr>
          <w:rFonts w:asciiTheme="majorHAnsi" w:hAnsiTheme="majorHAnsi" w:cstheme="majorHAnsi"/>
          <w:szCs w:val="36"/>
        </w:rPr>
        <w:tab/>
      </w:r>
      <w:r>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009C5068" w:rsidRPr="009C5068">
        <w:rPr>
          <w:rFonts w:asciiTheme="majorHAnsi" w:hAnsiTheme="majorHAnsi" w:cstheme="majorHAnsi"/>
          <w:szCs w:val="36"/>
        </w:rPr>
        <w:t>Crestone Charter School</w:t>
      </w:r>
      <w:r w:rsidRPr="0016556B">
        <w:rPr>
          <w:rFonts w:asciiTheme="majorHAnsi" w:hAnsiTheme="majorHAnsi" w:cstheme="majorHAnsi"/>
          <w:szCs w:val="36"/>
        </w:rPr>
        <w:tab/>
      </w:r>
    </w:p>
    <w:p w14:paraId="45ADD6CA" w14:textId="77777777"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p>
    <w:p w14:paraId="3915DC8C" w14:textId="40101B41" w:rsidR="0016556B" w:rsidRPr="0016556B" w:rsidRDefault="0016556B" w:rsidP="0016556B">
      <w:pPr>
        <w:rPr>
          <w:rFonts w:asciiTheme="majorHAnsi" w:hAnsiTheme="majorHAnsi" w:cstheme="majorHAnsi"/>
          <w:szCs w:val="36"/>
          <w:u w:val="single"/>
        </w:rPr>
      </w:pPr>
      <w:r w:rsidRPr="0016556B">
        <w:rPr>
          <w:rFonts w:asciiTheme="majorHAnsi" w:hAnsiTheme="majorHAnsi" w:cstheme="majorHAnsi"/>
          <w:szCs w:val="36"/>
          <w:u w:val="single"/>
        </w:rPr>
        <w:t>Charter School Funding Sources</w:t>
      </w:r>
      <w:r w:rsidRPr="0016556B">
        <w:rPr>
          <w:rFonts w:asciiTheme="majorHAnsi" w:hAnsiTheme="majorHAnsi" w:cstheme="majorHAnsi"/>
          <w:szCs w:val="36"/>
          <w:u w:val="single"/>
        </w:rPr>
        <w:tab/>
      </w:r>
      <w:r w:rsidRPr="0016556B">
        <w:rPr>
          <w:rFonts w:asciiTheme="majorHAnsi" w:hAnsiTheme="majorHAnsi" w:cstheme="majorHAnsi"/>
          <w:szCs w:val="36"/>
          <w:u w:val="single"/>
        </w:rPr>
        <w:tab/>
      </w:r>
      <w:r w:rsidRPr="0016556B">
        <w:rPr>
          <w:rFonts w:asciiTheme="majorHAnsi" w:hAnsiTheme="majorHAnsi" w:cstheme="majorHAnsi"/>
          <w:szCs w:val="36"/>
          <w:u w:val="single"/>
        </w:rPr>
        <w:tab/>
      </w:r>
      <w:r w:rsidRPr="0016556B">
        <w:rPr>
          <w:rFonts w:asciiTheme="majorHAnsi" w:hAnsiTheme="majorHAnsi" w:cstheme="majorHAnsi"/>
          <w:szCs w:val="36"/>
          <w:u w:val="single"/>
        </w:rPr>
        <w:tab/>
      </w:r>
      <w:r w:rsidRPr="0016556B">
        <w:rPr>
          <w:rFonts w:asciiTheme="majorHAnsi" w:hAnsiTheme="majorHAnsi" w:cstheme="majorHAnsi"/>
          <w:szCs w:val="36"/>
          <w:u w:val="single"/>
        </w:rPr>
        <w:tab/>
      </w:r>
      <w:r>
        <w:rPr>
          <w:rFonts w:asciiTheme="majorHAnsi" w:hAnsiTheme="majorHAnsi" w:cstheme="majorHAnsi"/>
          <w:szCs w:val="36"/>
          <w:u w:val="single"/>
        </w:rPr>
        <w:tab/>
      </w:r>
      <w:r>
        <w:rPr>
          <w:rFonts w:asciiTheme="majorHAnsi" w:hAnsiTheme="majorHAnsi" w:cstheme="majorHAnsi"/>
          <w:szCs w:val="36"/>
          <w:u w:val="single"/>
        </w:rPr>
        <w:tab/>
      </w:r>
    </w:p>
    <w:p w14:paraId="16BAC68C" w14:textId="6435676F"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District Per Pupil Revenue Funding</w:t>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009C5068">
        <w:rPr>
          <w:rFonts w:asciiTheme="majorHAnsi" w:hAnsiTheme="majorHAnsi" w:cstheme="majorHAnsi"/>
          <w:szCs w:val="36"/>
        </w:rPr>
        <w:t>$2,173,519.00</w:t>
      </w:r>
    </w:p>
    <w:p w14:paraId="165F9A9D" w14:textId="4E05E055" w:rsidR="0016556B" w:rsidRPr="0016556B" w:rsidRDefault="0016556B" w:rsidP="0016556B">
      <w:pPr>
        <w:rPr>
          <w:rFonts w:asciiTheme="majorHAnsi" w:hAnsiTheme="majorHAnsi" w:cstheme="majorHAnsi"/>
          <w:szCs w:val="36"/>
        </w:rPr>
      </w:pPr>
      <w:r w:rsidRPr="0016556B">
        <w:rPr>
          <w:rFonts w:asciiTheme="majorHAnsi" w:hAnsiTheme="majorHAnsi" w:cstheme="majorHAnsi"/>
          <w:szCs w:val="36"/>
        </w:rPr>
        <w:t>Capital Construction Funding</w:t>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r>
      <w:r w:rsidRPr="0016556B">
        <w:rPr>
          <w:rFonts w:asciiTheme="majorHAnsi" w:hAnsiTheme="majorHAnsi" w:cstheme="majorHAnsi"/>
          <w:szCs w:val="36"/>
        </w:rPr>
        <w:tab/>
        <w:t xml:space="preserve"> </w:t>
      </w:r>
      <w:r w:rsidR="009C5068">
        <w:rPr>
          <w:rFonts w:asciiTheme="majorHAnsi" w:hAnsiTheme="majorHAnsi" w:cstheme="majorHAnsi"/>
          <w:szCs w:val="36"/>
        </w:rPr>
        <w:t xml:space="preserve">     $36,473.00</w:t>
      </w:r>
      <w:r w:rsidRPr="0016556B">
        <w:rPr>
          <w:rFonts w:asciiTheme="majorHAnsi" w:hAnsiTheme="majorHAnsi" w:cstheme="majorHAnsi"/>
          <w:szCs w:val="36"/>
        </w:rPr>
        <w:t xml:space="preserve"> </w:t>
      </w:r>
    </w:p>
    <w:p w14:paraId="0DFE490A" w14:textId="77777777"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Other Funding Provided (District to List):</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p>
    <w:p w14:paraId="6F44AC32" w14:textId="5527C358"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SRS - Forest Reserve Funding</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$14,808.22</w:t>
      </w:r>
    </w:p>
    <w:p w14:paraId="5B973E81" w14:textId="717DDE08" w:rsidR="009C5068" w:rsidRDefault="009C5068" w:rsidP="009C5068">
      <w:pPr>
        <w:rPr>
          <w:rFonts w:asciiTheme="majorHAnsi" w:hAnsiTheme="majorHAnsi" w:cstheme="majorHAnsi"/>
          <w:szCs w:val="36"/>
        </w:rPr>
      </w:pPr>
      <w:r w:rsidRPr="009C5068">
        <w:rPr>
          <w:rFonts w:asciiTheme="majorHAnsi" w:hAnsiTheme="majorHAnsi" w:cstheme="majorHAnsi"/>
          <w:szCs w:val="36"/>
        </w:rPr>
        <w:t>State Match MLO</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$24,467.18</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p>
    <w:p w14:paraId="42E4A737" w14:textId="77777777" w:rsidR="009C5068" w:rsidRPr="009C5068" w:rsidRDefault="009C5068" w:rsidP="009C5068">
      <w:pPr>
        <w:rPr>
          <w:rFonts w:asciiTheme="majorHAnsi" w:hAnsiTheme="majorHAnsi" w:cstheme="majorHAnsi"/>
          <w:szCs w:val="36"/>
        </w:rPr>
      </w:pPr>
    </w:p>
    <w:p w14:paraId="5445B1EE" w14:textId="35E69486"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Mill levy Override</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$102,585.96</w:t>
      </w:r>
    </w:p>
    <w:p w14:paraId="10C7D3DA" w14:textId="4FF369EE"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Title I</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ab/>
      </w:r>
      <w:r>
        <w:rPr>
          <w:rFonts w:asciiTheme="majorHAnsi" w:hAnsiTheme="majorHAnsi" w:cstheme="majorHAnsi"/>
          <w:szCs w:val="36"/>
        </w:rPr>
        <w:tab/>
      </w:r>
      <w:r>
        <w:rPr>
          <w:rFonts w:asciiTheme="majorHAnsi" w:hAnsiTheme="majorHAnsi" w:cstheme="majorHAnsi"/>
          <w:szCs w:val="36"/>
        </w:rPr>
        <w:tab/>
        <w:t xml:space="preserve">       </w:t>
      </w:r>
      <w:r w:rsidRPr="009C5068">
        <w:rPr>
          <w:rFonts w:asciiTheme="majorHAnsi" w:hAnsiTheme="majorHAnsi" w:cstheme="majorHAnsi"/>
          <w:szCs w:val="36"/>
        </w:rPr>
        <w:t>$85,934.00</w:t>
      </w:r>
    </w:p>
    <w:p w14:paraId="5D17043F" w14:textId="03F23E1E"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Title II</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$14,871.00</w:t>
      </w:r>
    </w:p>
    <w:p w14:paraId="570ACB9D" w14:textId="3282583E"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Title IV</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10,488.00</w:t>
      </w:r>
    </w:p>
    <w:p w14:paraId="543220FF" w14:textId="77777777"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p>
    <w:p w14:paraId="2228C41C" w14:textId="2FC36875"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TOTAL Funding Provided to Charter School</w:t>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Pr>
          <w:rFonts w:asciiTheme="majorHAnsi" w:hAnsiTheme="majorHAnsi" w:cstheme="majorHAnsi"/>
          <w:szCs w:val="36"/>
        </w:rPr>
        <w:t xml:space="preserve">        </w:t>
      </w:r>
      <w:r w:rsidRPr="009C5068">
        <w:rPr>
          <w:rFonts w:asciiTheme="majorHAnsi" w:hAnsiTheme="majorHAnsi" w:cstheme="majorHAnsi"/>
          <w:szCs w:val="36"/>
        </w:rPr>
        <w:t>$2,463,146</w:t>
      </w:r>
    </w:p>
    <w:p w14:paraId="10F8281D" w14:textId="77777777" w:rsidR="009C5068" w:rsidRPr="009C5068" w:rsidRDefault="009C5068" w:rsidP="009C5068">
      <w:pPr>
        <w:rPr>
          <w:rFonts w:asciiTheme="majorHAnsi" w:hAnsiTheme="majorHAnsi" w:cstheme="majorHAnsi"/>
          <w:szCs w:val="36"/>
        </w:rPr>
      </w:pP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r w:rsidRPr="009C5068">
        <w:rPr>
          <w:rFonts w:asciiTheme="majorHAnsi" w:hAnsiTheme="majorHAnsi" w:cstheme="majorHAnsi"/>
          <w:szCs w:val="36"/>
        </w:rPr>
        <w:tab/>
      </w:r>
    </w:p>
    <w:p w14:paraId="1B278E05" w14:textId="768B1150" w:rsidR="009C5068" w:rsidRPr="009C5068" w:rsidRDefault="009C5068" w:rsidP="009C5068">
      <w:pPr>
        <w:rPr>
          <w:rFonts w:asciiTheme="majorHAnsi" w:hAnsiTheme="majorHAnsi" w:cstheme="majorHAnsi"/>
          <w:szCs w:val="36"/>
          <w:u w:val="single"/>
        </w:rPr>
      </w:pPr>
      <w:r w:rsidRPr="009C5068">
        <w:rPr>
          <w:rFonts w:asciiTheme="majorHAnsi" w:hAnsiTheme="majorHAnsi" w:cstheme="majorHAnsi"/>
          <w:szCs w:val="36"/>
          <w:u w:val="single"/>
        </w:rPr>
        <w:t>Additional Information Provided by School District</w:t>
      </w:r>
      <w:r w:rsidRPr="009C5068">
        <w:rPr>
          <w:rFonts w:asciiTheme="majorHAnsi" w:hAnsiTheme="majorHAnsi" w:cstheme="majorHAnsi"/>
          <w:szCs w:val="36"/>
          <w:u w:val="single"/>
        </w:rPr>
        <w:tab/>
      </w:r>
      <w:r w:rsidRPr="009C5068">
        <w:rPr>
          <w:rFonts w:asciiTheme="majorHAnsi" w:hAnsiTheme="majorHAnsi" w:cstheme="majorHAnsi"/>
          <w:szCs w:val="36"/>
          <w:u w:val="single"/>
        </w:rPr>
        <w:tab/>
      </w:r>
      <w:r w:rsidRPr="009C5068">
        <w:rPr>
          <w:rFonts w:asciiTheme="majorHAnsi" w:hAnsiTheme="majorHAnsi" w:cstheme="majorHAnsi"/>
          <w:szCs w:val="36"/>
          <w:u w:val="single"/>
        </w:rPr>
        <w:tab/>
      </w:r>
      <w:r w:rsidRPr="009C5068">
        <w:rPr>
          <w:rFonts w:asciiTheme="majorHAnsi" w:hAnsiTheme="majorHAnsi" w:cstheme="majorHAnsi"/>
          <w:szCs w:val="36"/>
          <w:u w:val="single"/>
        </w:rPr>
        <w:tab/>
      </w:r>
    </w:p>
    <w:p w14:paraId="53BEF7CC" w14:textId="5765BBD6" w:rsidR="0016556B" w:rsidRDefault="009C5068" w:rsidP="006D52BD">
      <w:pPr>
        <w:jc w:val="both"/>
        <w:rPr>
          <w:rFonts w:asciiTheme="majorHAnsi" w:hAnsiTheme="majorHAnsi" w:cstheme="majorHAnsi"/>
          <w:szCs w:val="36"/>
        </w:rPr>
      </w:pPr>
      <w:r w:rsidRPr="009C5068">
        <w:rPr>
          <w:rFonts w:asciiTheme="majorHAnsi" w:hAnsiTheme="majorHAnsi" w:cstheme="majorHAnsi"/>
          <w:szCs w:val="36"/>
        </w:rPr>
        <w:t>The district extends invitations to the charter school to parti</w:t>
      </w:r>
      <w:r>
        <w:rPr>
          <w:rFonts w:asciiTheme="majorHAnsi" w:hAnsiTheme="majorHAnsi" w:cstheme="majorHAnsi"/>
          <w:szCs w:val="36"/>
        </w:rPr>
        <w:t>ci</w:t>
      </w:r>
      <w:r w:rsidRPr="009C5068">
        <w:rPr>
          <w:rFonts w:asciiTheme="majorHAnsi" w:hAnsiTheme="majorHAnsi" w:cstheme="majorHAnsi"/>
          <w:szCs w:val="36"/>
        </w:rPr>
        <w:t xml:space="preserve">pate in district sponsored events such as professional development, family nights, etc. </w:t>
      </w:r>
      <w:r>
        <w:rPr>
          <w:rFonts w:asciiTheme="majorHAnsi" w:hAnsiTheme="majorHAnsi" w:cstheme="majorHAnsi"/>
          <w:szCs w:val="36"/>
        </w:rPr>
        <w:t xml:space="preserve"> </w:t>
      </w:r>
      <w:r w:rsidRPr="009C5068">
        <w:rPr>
          <w:rFonts w:asciiTheme="majorHAnsi" w:hAnsiTheme="majorHAnsi" w:cstheme="majorHAnsi"/>
          <w:szCs w:val="36"/>
        </w:rPr>
        <w:t>Crestone did not participate in FY 2025-2026. Crestone does receive special education support through the district and SLV BOCES under §7.14 of the charter contract, ongoing fiscal, grant, and reporting support from the district business office, and services under IT, facilities, transportation, and food service MOUs</w:t>
      </w:r>
      <w:r>
        <w:rPr>
          <w:rFonts w:asciiTheme="majorHAnsi" w:hAnsiTheme="majorHAnsi" w:cstheme="majorHAnsi"/>
          <w:szCs w:val="36"/>
        </w:rPr>
        <w:t>.</w:t>
      </w:r>
    </w:p>
    <w:p w14:paraId="771034EA" w14:textId="77777777" w:rsidR="0016556B" w:rsidRDefault="0016556B" w:rsidP="0016556B">
      <w:pPr>
        <w:rPr>
          <w:rFonts w:asciiTheme="majorHAnsi" w:hAnsiTheme="majorHAnsi" w:cstheme="majorHAnsi"/>
          <w:szCs w:val="36"/>
        </w:rPr>
      </w:pPr>
    </w:p>
    <w:p w14:paraId="5CBDA3E5" w14:textId="37A02FDB" w:rsidR="0016556B" w:rsidRPr="0056608C" w:rsidRDefault="0016556B" w:rsidP="0016556B">
      <w:pPr>
        <w:rPr>
          <w:rFonts w:asciiTheme="majorHAnsi" w:hAnsiTheme="majorHAnsi" w:cstheme="majorHAnsi"/>
          <w:szCs w:val="36"/>
        </w:rPr>
      </w:pPr>
      <w:r w:rsidRPr="0016556B">
        <w:rPr>
          <w:rFonts w:asciiTheme="majorHAnsi" w:hAnsiTheme="majorHAnsi" w:cstheme="majorHAnsi"/>
          <w:szCs w:val="36"/>
        </w:rPr>
        <w:t>Please contact district financial contact with questions</w:t>
      </w:r>
      <w:r>
        <w:rPr>
          <w:rFonts w:asciiTheme="majorHAnsi" w:hAnsiTheme="majorHAnsi" w:cstheme="majorHAnsi"/>
          <w:szCs w:val="36"/>
        </w:rPr>
        <w:t>.</w:t>
      </w:r>
    </w:p>
    <w:sectPr w:rsidR="0016556B" w:rsidRPr="0056608C" w:rsidSect="007228B7">
      <w:headerReference w:type="first" r:id="rId16"/>
      <w:pgSz w:w="12240" w:h="15840"/>
      <w:pgMar w:top="1568"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7B34" w14:textId="77777777" w:rsidR="007612E5" w:rsidRDefault="007612E5" w:rsidP="009504F4">
      <w:r>
        <w:separator/>
      </w:r>
    </w:p>
  </w:endnote>
  <w:endnote w:type="continuationSeparator" w:id="0">
    <w:p w14:paraId="34F7C06B" w14:textId="77777777" w:rsidR="007612E5" w:rsidRDefault="007612E5" w:rsidP="0095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useo Slab 500">
    <w:altName w:val="Calibri"/>
    <w:panose1 w:val="00000000000000000000"/>
    <w:charset w:val="00"/>
    <w:family w:val="modern"/>
    <w:notTrueType/>
    <w:pitch w:val="variable"/>
    <w:sig w:usb0="A00000AF" w:usb1="4000004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81CF" w14:textId="77777777" w:rsidR="007612E5" w:rsidRDefault="007612E5" w:rsidP="009504F4">
      <w:r>
        <w:separator/>
      </w:r>
    </w:p>
  </w:footnote>
  <w:footnote w:type="continuationSeparator" w:id="0">
    <w:p w14:paraId="427A113D" w14:textId="77777777" w:rsidR="007612E5" w:rsidRDefault="007612E5" w:rsidP="00950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6FBB" w14:textId="0C197621" w:rsidR="00A430D9" w:rsidRPr="007228B7" w:rsidRDefault="007612E5" w:rsidP="00241FE1">
    <w:pPr>
      <w:pStyle w:val="Header"/>
      <w:ind w:left="720" w:firstLine="3600"/>
    </w:pPr>
    <w:sdt>
      <w:sdtPr>
        <w:rPr>
          <w:rFonts w:ascii="Museo Slab 500" w:hAnsi="Museo Slab 500"/>
          <w:b/>
          <w:bCs/>
          <w:sz w:val="18"/>
          <w:szCs w:val="18"/>
        </w:rPr>
        <w:alias w:val="Title"/>
        <w:id w:val="959002877"/>
        <w:dataBinding w:prefixMappings="xmlns:ns0='http://schemas.openxmlformats.org/package/2006/metadata/core-properties' xmlns:ns1='http://purl.org/dc/elements/1.1/'" w:xpath="/ns0:coreProperties[1]/ns1:title[1]" w:storeItemID="{6C3C8BC8-F283-45AE-878A-BAB7291924A1}"/>
        <w:text/>
      </w:sdtPr>
      <w:sdtEndPr/>
      <w:sdtContent>
        <w:r w:rsidR="00697499">
          <w:rPr>
            <w:rFonts w:ascii="Museo Slab 500" w:hAnsi="Museo Slab 500"/>
            <w:b/>
            <w:bCs/>
            <w:sz w:val="18"/>
            <w:szCs w:val="18"/>
          </w:rPr>
          <w:t>Mill Levy Override Revenue Report: Fiscal Year 2024-2025</w:t>
        </w:r>
      </w:sdtContent>
    </w:sdt>
    <w:r w:rsidR="00A430D9" w:rsidRPr="007228B7">
      <w:rPr>
        <w:noProof/>
      </w:rPr>
      <w:t xml:space="preserve"> </w:t>
    </w:r>
    <w:r w:rsidR="00A430D9" w:rsidRPr="007228B7">
      <w:rPr>
        <w:noProof/>
      </w:rPr>
      <w:drawing>
        <wp:anchor distT="0" distB="0" distL="114300" distR="114300" simplePos="0" relativeHeight="251678720" behindDoc="1" locked="1" layoutInCell="1" allowOverlap="0" wp14:anchorId="7BCC2DE8" wp14:editId="58B8373A">
          <wp:simplePos x="0" y="0"/>
          <wp:positionH relativeFrom="column">
            <wp:posOffset>8255</wp:posOffset>
          </wp:positionH>
          <wp:positionV relativeFrom="page">
            <wp:posOffset>370205</wp:posOffset>
          </wp:positionV>
          <wp:extent cx="876300" cy="457200"/>
          <wp:effectExtent l="0" t="0" r="0" b="0"/>
          <wp:wrapSquare wrapText="bothSides"/>
          <wp:docPr id="1"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orado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876300" cy="457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79C6" w14:textId="77777777" w:rsidR="00697499" w:rsidRDefault="00697499" w:rsidP="00697499">
    <w:pPr>
      <w:pStyle w:val="Header"/>
      <w:tabs>
        <w:tab w:val="clear" w:pos="4320"/>
        <w:tab w:val="clear" w:pos="8640"/>
        <w:tab w:val="left" w:pos="1820"/>
        <w:tab w:val="left" w:pos="4373"/>
      </w:tabs>
      <w:jc w:val="both"/>
    </w:pPr>
    <w:r w:rsidRPr="00697499">
      <w:rPr>
        <w:noProof/>
      </w:rPr>
      <w:drawing>
        <wp:inline distT="0" distB="0" distL="0" distR="0" wp14:anchorId="3EF022EC" wp14:editId="191F4EC0">
          <wp:extent cx="860258" cy="419100"/>
          <wp:effectExtent l="0" t="0" r="0" b="0"/>
          <wp:docPr id="377164712"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64712" name="Picture 1" descr="Colorado Department of Education Logo"/>
                  <pic:cNvPicPr/>
                </pic:nvPicPr>
                <pic:blipFill>
                  <a:blip r:embed="rId1"/>
                  <a:stretch>
                    <a:fillRect/>
                  </a:stretch>
                </pic:blipFill>
                <pic:spPr>
                  <a:xfrm>
                    <a:off x="0" y="0"/>
                    <a:ext cx="860258" cy="419100"/>
                  </a:xfrm>
                  <a:prstGeom prst="rect">
                    <a:avLst/>
                  </a:prstGeom>
                </pic:spPr>
              </pic:pic>
            </a:graphicData>
          </a:graphic>
        </wp:inline>
      </w:drawing>
    </w:r>
  </w:p>
  <w:tbl>
    <w:tblPr>
      <w:tblW w:w="5119" w:type="pct"/>
      <w:tblBorders>
        <w:bottom w:val="single" w:sz="4" w:space="0" w:color="BFBFBF"/>
      </w:tblBorders>
      <w:tblCellMar>
        <w:left w:w="115" w:type="dxa"/>
        <w:right w:w="115" w:type="dxa"/>
      </w:tblCellMar>
      <w:tblLook w:val="04A0" w:firstRow="1" w:lastRow="0" w:firstColumn="1" w:lastColumn="0" w:noHBand="0" w:noVBand="1"/>
    </w:tblPr>
    <w:tblGrid>
      <w:gridCol w:w="9705"/>
      <w:gridCol w:w="615"/>
    </w:tblGrid>
    <w:tr w:rsidR="00697499" w:rsidRPr="0025191F" w14:paraId="2DDAD37D" w14:textId="77777777" w:rsidTr="0079296D">
      <w:tc>
        <w:tcPr>
          <w:tcW w:w="4702" w:type="pct"/>
          <w:tcBorders>
            <w:bottom w:val="nil"/>
            <w:right w:val="single" w:sz="4" w:space="0" w:color="BFBFBF"/>
          </w:tcBorders>
        </w:tcPr>
        <w:p w14:paraId="704A7E4A" w14:textId="77777777" w:rsidR="00697499" w:rsidRPr="0030192B" w:rsidRDefault="007612E5" w:rsidP="00697499">
          <w:pPr>
            <w:jc w:val="right"/>
            <w:rPr>
              <w:rFonts w:eastAsia="Cambria"/>
              <w:b/>
              <w:color w:val="7F3809" w:themeColor="accent6" w:themeShade="80"/>
            </w:rPr>
          </w:pPr>
          <w:sdt>
            <w:sdtPr>
              <w:rPr>
                <w:rFonts w:asciiTheme="minorHAnsi" w:hAnsiTheme="minorHAnsi" w:cstheme="minorHAnsi"/>
                <w:b/>
                <w:bCs/>
                <w:sz w:val="24"/>
              </w:rPr>
              <w:alias w:val="Title"/>
              <w:id w:val="1156347849"/>
              <w:dataBinding w:prefixMappings="xmlns:ns0='http://schemas.openxmlformats.org/package/2006/metadata/core-properties' xmlns:ns1='http://purl.org/dc/elements/1.1/'" w:xpath="/ns0:coreProperties[1]/ns1:title[1]" w:storeItemID="{6C3C8BC8-F283-45AE-878A-BAB7291924A1}"/>
              <w:text/>
            </w:sdtPr>
            <w:sdtEndPr/>
            <w:sdtContent>
              <w:r w:rsidR="00697499" w:rsidRPr="00697499">
                <w:rPr>
                  <w:rFonts w:asciiTheme="minorHAnsi" w:hAnsiTheme="minorHAnsi" w:cstheme="minorHAnsi"/>
                  <w:b/>
                  <w:bCs/>
                  <w:sz w:val="24"/>
                </w:rPr>
                <w:t>Mill Levy Override Revenue Report: Fiscal Year 2024-2025</w:t>
              </w:r>
            </w:sdtContent>
          </w:sdt>
        </w:p>
      </w:tc>
      <w:tc>
        <w:tcPr>
          <w:tcW w:w="298" w:type="pct"/>
          <w:tcBorders>
            <w:left w:val="single" w:sz="4" w:space="0" w:color="BFBFBF"/>
            <w:bottom w:val="nil"/>
          </w:tcBorders>
        </w:tcPr>
        <w:p w14:paraId="74DBC328" w14:textId="77777777" w:rsidR="00697499" w:rsidRPr="0030192B" w:rsidRDefault="00697499" w:rsidP="00697499">
          <w:pPr>
            <w:ind w:right="-90"/>
            <w:rPr>
              <w:rFonts w:eastAsia="Cambria"/>
              <w:b/>
              <w:color w:val="7F3809" w:themeColor="accent6" w:themeShade="80"/>
              <w:szCs w:val="20"/>
            </w:rPr>
          </w:pPr>
          <w:r w:rsidRPr="0056608C">
            <w:rPr>
              <w:b/>
              <w:szCs w:val="20"/>
            </w:rPr>
            <w:fldChar w:fldCharType="begin"/>
          </w:r>
          <w:r w:rsidRPr="0056608C">
            <w:rPr>
              <w:b/>
              <w:szCs w:val="20"/>
            </w:rPr>
            <w:instrText xml:space="preserve"> PAGE   \* MERGEFORMAT </w:instrText>
          </w:r>
          <w:r w:rsidRPr="0056608C">
            <w:rPr>
              <w:b/>
              <w:szCs w:val="20"/>
            </w:rPr>
            <w:fldChar w:fldCharType="separate"/>
          </w:r>
          <w:r>
            <w:rPr>
              <w:b/>
              <w:szCs w:val="20"/>
            </w:rPr>
            <w:t>2</w:t>
          </w:r>
          <w:r w:rsidRPr="0056608C">
            <w:rPr>
              <w:b/>
              <w:szCs w:val="20"/>
            </w:rPr>
            <w:fldChar w:fldCharType="end"/>
          </w:r>
        </w:p>
      </w:tc>
    </w:tr>
  </w:tbl>
  <w:p w14:paraId="30149FC6" w14:textId="17E3F6A4" w:rsidR="00A430D9" w:rsidRDefault="00A430D9" w:rsidP="00697499">
    <w:pPr>
      <w:pStyle w:val="Header"/>
      <w:tabs>
        <w:tab w:val="clear" w:pos="4320"/>
        <w:tab w:val="clear" w:pos="8640"/>
        <w:tab w:val="left" w:pos="1820"/>
        <w:tab w:val="left" w:pos="4373"/>
      </w:tabs>
    </w:pPr>
  </w:p>
  <w:p w14:paraId="22424C4B" w14:textId="77777777" w:rsidR="00A430D9" w:rsidRDefault="007612E5" w:rsidP="00F34CBA">
    <w:pPr>
      <w:pStyle w:val="Header"/>
      <w:tabs>
        <w:tab w:val="clear" w:pos="4320"/>
        <w:tab w:val="clear" w:pos="8640"/>
        <w:tab w:val="left" w:pos="4373"/>
      </w:tabs>
    </w:pPr>
    <w:r>
      <w:pict w14:anchorId="61D7E709">
        <v:rect id="_x0000_i1025" style="width:540pt;height:1pt" o:hralign="center" o:hrstd="t" o:hr="t" fillcolor="#aaa" stroked="f"/>
      </w:pict>
    </w:r>
  </w:p>
  <w:p w14:paraId="57E819EC" w14:textId="285D02BB" w:rsidR="00A430D9" w:rsidRDefault="00A430D9" w:rsidP="001E3492">
    <w:pPr>
      <w:pStyle w:val="Header"/>
      <w:tabs>
        <w:tab w:val="clear" w:pos="4320"/>
        <w:tab w:val="clear" w:pos="8640"/>
        <w:tab w:val="left" w:pos="437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C277" w14:textId="530BDF85" w:rsidR="00A430D9" w:rsidRDefault="00697499" w:rsidP="00697499">
    <w:pPr>
      <w:pStyle w:val="Header"/>
      <w:tabs>
        <w:tab w:val="clear" w:pos="4320"/>
        <w:tab w:val="clear" w:pos="8640"/>
        <w:tab w:val="left" w:pos="1820"/>
        <w:tab w:val="left" w:pos="4373"/>
      </w:tabs>
      <w:jc w:val="both"/>
    </w:pPr>
    <w:r w:rsidRPr="00697499">
      <w:rPr>
        <w:noProof/>
      </w:rPr>
      <w:drawing>
        <wp:inline distT="0" distB="0" distL="0" distR="0" wp14:anchorId="43527B38" wp14:editId="3C34A713">
          <wp:extent cx="860258" cy="419100"/>
          <wp:effectExtent l="0" t="0" r="0" b="0"/>
          <wp:docPr id="1949816911"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16911" name="Picture 1" descr="Colorado Department of Education Logo"/>
                  <pic:cNvPicPr/>
                </pic:nvPicPr>
                <pic:blipFill>
                  <a:blip r:embed="rId1"/>
                  <a:stretch>
                    <a:fillRect/>
                  </a:stretch>
                </pic:blipFill>
                <pic:spPr>
                  <a:xfrm>
                    <a:off x="0" y="0"/>
                    <a:ext cx="860258" cy="419100"/>
                  </a:xfrm>
                  <a:prstGeom prst="rect">
                    <a:avLst/>
                  </a:prstGeom>
                </pic:spPr>
              </pic:pic>
            </a:graphicData>
          </a:graphic>
        </wp:inline>
      </w:drawing>
    </w:r>
  </w:p>
  <w:tbl>
    <w:tblPr>
      <w:tblW w:w="5119" w:type="pct"/>
      <w:tblBorders>
        <w:bottom w:val="single" w:sz="4" w:space="0" w:color="BFBFBF"/>
      </w:tblBorders>
      <w:tblCellMar>
        <w:left w:w="115" w:type="dxa"/>
        <w:right w:w="115" w:type="dxa"/>
      </w:tblCellMar>
      <w:tblLook w:val="04A0" w:firstRow="1" w:lastRow="0" w:firstColumn="1" w:lastColumn="0" w:noHBand="0" w:noVBand="1"/>
    </w:tblPr>
    <w:tblGrid>
      <w:gridCol w:w="9705"/>
      <w:gridCol w:w="615"/>
    </w:tblGrid>
    <w:tr w:rsidR="00A430D9" w:rsidRPr="0025191F" w14:paraId="0DFA1A96" w14:textId="77777777" w:rsidTr="00D16915">
      <w:tc>
        <w:tcPr>
          <w:tcW w:w="4702" w:type="pct"/>
          <w:tcBorders>
            <w:bottom w:val="nil"/>
            <w:right w:val="single" w:sz="4" w:space="0" w:color="BFBFBF"/>
          </w:tcBorders>
        </w:tcPr>
        <w:p w14:paraId="406F4159" w14:textId="27681BBA" w:rsidR="00A430D9" w:rsidRPr="0030192B" w:rsidRDefault="007612E5" w:rsidP="00F8591D">
          <w:pPr>
            <w:jc w:val="right"/>
            <w:rPr>
              <w:rFonts w:eastAsia="Cambria"/>
              <w:b/>
              <w:color w:val="7F3809" w:themeColor="accent6" w:themeShade="80"/>
            </w:rPr>
          </w:pPr>
          <w:sdt>
            <w:sdtPr>
              <w:rPr>
                <w:rFonts w:asciiTheme="minorHAnsi" w:hAnsiTheme="minorHAnsi" w:cstheme="minorHAnsi"/>
                <w:b/>
                <w:bCs/>
                <w:sz w:val="24"/>
              </w:rPr>
              <w:alias w:val="Title"/>
              <w:id w:val="1174063918"/>
              <w:dataBinding w:prefixMappings="xmlns:ns0='http://schemas.openxmlformats.org/package/2006/metadata/core-properties' xmlns:ns1='http://purl.org/dc/elements/1.1/'" w:xpath="/ns0:coreProperties[1]/ns1:title[1]" w:storeItemID="{6C3C8BC8-F283-45AE-878A-BAB7291924A1}"/>
              <w:text/>
            </w:sdtPr>
            <w:sdtEndPr/>
            <w:sdtContent>
              <w:r w:rsidR="008D7A33" w:rsidRPr="00697499">
                <w:rPr>
                  <w:rFonts w:asciiTheme="minorHAnsi" w:hAnsiTheme="minorHAnsi" w:cstheme="minorHAnsi"/>
                  <w:b/>
                  <w:bCs/>
                  <w:sz w:val="24"/>
                </w:rPr>
                <w:t>Mill Levy Override Revenue Report: Fiscal Year 202</w:t>
              </w:r>
              <w:r w:rsidR="00697499" w:rsidRPr="00697499">
                <w:rPr>
                  <w:rFonts w:asciiTheme="minorHAnsi" w:hAnsiTheme="minorHAnsi" w:cstheme="minorHAnsi"/>
                  <w:b/>
                  <w:bCs/>
                  <w:sz w:val="24"/>
                </w:rPr>
                <w:t>4</w:t>
              </w:r>
              <w:r w:rsidR="008D7A33" w:rsidRPr="00697499">
                <w:rPr>
                  <w:rFonts w:asciiTheme="minorHAnsi" w:hAnsiTheme="minorHAnsi" w:cstheme="minorHAnsi"/>
                  <w:b/>
                  <w:bCs/>
                  <w:sz w:val="24"/>
                </w:rPr>
                <w:t>-202</w:t>
              </w:r>
              <w:r w:rsidR="00697499" w:rsidRPr="00697499">
                <w:rPr>
                  <w:rFonts w:asciiTheme="minorHAnsi" w:hAnsiTheme="minorHAnsi" w:cstheme="minorHAnsi"/>
                  <w:b/>
                  <w:bCs/>
                  <w:sz w:val="24"/>
                </w:rPr>
                <w:t>5</w:t>
              </w:r>
            </w:sdtContent>
          </w:sdt>
        </w:p>
      </w:tc>
      <w:tc>
        <w:tcPr>
          <w:tcW w:w="298" w:type="pct"/>
          <w:tcBorders>
            <w:left w:val="single" w:sz="4" w:space="0" w:color="BFBFBF"/>
            <w:bottom w:val="nil"/>
          </w:tcBorders>
        </w:tcPr>
        <w:p w14:paraId="072ABF50" w14:textId="5DA24FCA" w:rsidR="00A430D9" w:rsidRPr="0030192B" w:rsidRDefault="00A430D9" w:rsidP="00D16915">
          <w:pPr>
            <w:ind w:right="-90"/>
            <w:rPr>
              <w:rFonts w:eastAsia="Cambria"/>
              <w:b/>
              <w:color w:val="7F3809" w:themeColor="accent6" w:themeShade="80"/>
              <w:szCs w:val="20"/>
            </w:rPr>
          </w:pPr>
          <w:r w:rsidRPr="0056608C">
            <w:rPr>
              <w:b/>
              <w:szCs w:val="20"/>
            </w:rPr>
            <w:fldChar w:fldCharType="begin"/>
          </w:r>
          <w:r w:rsidRPr="0056608C">
            <w:rPr>
              <w:b/>
              <w:szCs w:val="20"/>
            </w:rPr>
            <w:instrText xml:space="preserve"> PAGE   \* MERGEFORMAT </w:instrText>
          </w:r>
          <w:r w:rsidRPr="0056608C">
            <w:rPr>
              <w:b/>
              <w:szCs w:val="20"/>
            </w:rPr>
            <w:fldChar w:fldCharType="separate"/>
          </w:r>
          <w:r w:rsidR="00783D60" w:rsidRPr="0056608C">
            <w:rPr>
              <w:b/>
              <w:noProof/>
              <w:szCs w:val="20"/>
            </w:rPr>
            <w:t>2</w:t>
          </w:r>
          <w:r w:rsidRPr="0056608C">
            <w:rPr>
              <w:b/>
              <w:szCs w:val="20"/>
            </w:rPr>
            <w:fldChar w:fldCharType="end"/>
          </w:r>
        </w:p>
      </w:tc>
    </w:tr>
  </w:tbl>
  <w:p w14:paraId="4EDA9AA6" w14:textId="067B701B" w:rsidR="00A430D9" w:rsidRDefault="00A430D9" w:rsidP="00DE2217">
    <w:pPr>
      <w:pStyle w:val="Header"/>
      <w:tabs>
        <w:tab w:val="clear" w:pos="4320"/>
        <w:tab w:val="clear" w:pos="8640"/>
        <w:tab w:val="left" w:pos="4373"/>
      </w:tabs>
    </w:pPr>
  </w:p>
  <w:p w14:paraId="336BA7F3" w14:textId="77777777" w:rsidR="00A430D9" w:rsidRDefault="007612E5" w:rsidP="00DE2217">
    <w:pPr>
      <w:pStyle w:val="Header"/>
      <w:tabs>
        <w:tab w:val="clear" w:pos="4320"/>
        <w:tab w:val="clear" w:pos="8640"/>
        <w:tab w:val="left" w:pos="4373"/>
      </w:tabs>
    </w:pPr>
    <w:r>
      <w:pict w14:anchorId="29E0F7C6">
        <v:rect id="_x0000_i1026" style="width:540pt;height:1pt" o:hralign="center" o:hrstd="t" o:hr="t" fillcolor="#aaa" stroked="f"/>
      </w:pict>
    </w:r>
  </w:p>
  <w:p w14:paraId="4416E05B" w14:textId="77777777" w:rsidR="00A430D9" w:rsidRDefault="00A430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22" w:type="pct"/>
      <w:tblBorders>
        <w:bottom w:val="single" w:sz="4" w:space="0" w:color="BFBFBF"/>
      </w:tblBorders>
      <w:tblCellMar>
        <w:left w:w="115" w:type="dxa"/>
        <w:right w:w="115" w:type="dxa"/>
      </w:tblCellMar>
      <w:tblLook w:val="04A0" w:firstRow="1" w:lastRow="0" w:firstColumn="1" w:lastColumn="0" w:noHBand="0" w:noVBand="1"/>
    </w:tblPr>
    <w:tblGrid>
      <w:gridCol w:w="9394"/>
      <w:gridCol w:w="312"/>
      <w:gridCol w:w="369"/>
      <w:gridCol w:w="246"/>
    </w:tblGrid>
    <w:tr w:rsidR="00697499" w:rsidRPr="00241FE1" w14:paraId="25368FBB" w14:textId="77777777" w:rsidTr="00697499">
      <w:trPr>
        <w:gridAfter w:val="3"/>
        <w:wAfter w:w="449" w:type="pct"/>
      </w:trPr>
      <w:tc>
        <w:tcPr>
          <w:tcW w:w="4551" w:type="pct"/>
          <w:tcBorders>
            <w:bottom w:val="nil"/>
            <w:right w:val="single" w:sz="4" w:space="0" w:color="BFBFBF"/>
          </w:tcBorders>
        </w:tcPr>
        <w:p w14:paraId="5B415ED4" w14:textId="420FA044" w:rsidR="00697499" w:rsidRPr="00241FE1" w:rsidRDefault="00697499" w:rsidP="008E77FC">
          <w:pPr>
            <w:jc w:val="right"/>
            <w:rPr>
              <w:rFonts w:eastAsia="Cambria"/>
              <w:b/>
              <w:i/>
              <w:color w:val="7F3809" w:themeColor="accent6" w:themeShade="80"/>
            </w:rPr>
          </w:pPr>
          <w:r>
            <w:tab/>
          </w:r>
          <w:r>
            <w:tab/>
          </w:r>
        </w:p>
      </w:tc>
    </w:tr>
    <w:tr w:rsidR="00697499" w:rsidRPr="00241FE1" w14:paraId="565C7D91" w14:textId="77777777" w:rsidTr="00697499">
      <w:trPr>
        <w:gridAfter w:val="1"/>
        <w:wAfter w:w="119" w:type="pct"/>
      </w:trPr>
      <w:tc>
        <w:tcPr>
          <w:tcW w:w="4881" w:type="pct"/>
          <w:gridSpan w:val="3"/>
          <w:tcBorders>
            <w:left w:val="single" w:sz="4" w:space="0" w:color="BFBFBF"/>
            <w:bottom w:val="nil"/>
          </w:tcBorders>
        </w:tcPr>
        <w:p w14:paraId="11B48B9B" w14:textId="093CBB30" w:rsidR="00697499" w:rsidRPr="00241FE1" w:rsidRDefault="00697499" w:rsidP="00697499">
          <w:pPr>
            <w:rPr>
              <w:rFonts w:eastAsia="Cambria"/>
              <w:b/>
              <w:i/>
              <w:color w:val="7F3809" w:themeColor="accent6" w:themeShade="80"/>
              <w:szCs w:val="20"/>
            </w:rPr>
          </w:pPr>
          <w:r w:rsidRPr="00697499">
            <w:rPr>
              <w:noProof/>
            </w:rPr>
            <w:drawing>
              <wp:inline distT="0" distB="0" distL="0" distR="0" wp14:anchorId="34BC90D1" wp14:editId="755F174A">
                <wp:extent cx="860258" cy="419100"/>
                <wp:effectExtent l="0" t="0" r="0" b="0"/>
                <wp:docPr id="250203295"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03295" name="Picture 1" descr="Colorado Department of Education Logo"/>
                        <pic:cNvPicPr/>
                      </pic:nvPicPr>
                      <pic:blipFill>
                        <a:blip r:embed="rId1"/>
                        <a:stretch>
                          <a:fillRect/>
                        </a:stretch>
                      </pic:blipFill>
                      <pic:spPr>
                        <a:xfrm>
                          <a:off x="0" y="0"/>
                          <a:ext cx="860258" cy="419100"/>
                        </a:xfrm>
                        <a:prstGeom prst="rect">
                          <a:avLst/>
                        </a:prstGeom>
                      </pic:spPr>
                    </pic:pic>
                  </a:graphicData>
                </a:graphic>
              </wp:inline>
            </w:drawing>
          </w:r>
        </w:p>
      </w:tc>
    </w:tr>
    <w:tr w:rsidR="00697499" w:rsidRPr="0025191F" w14:paraId="6F413C8B" w14:textId="77777777" w:rsidTr="00697499">
      <w:tc>
        <w:tcPr>
          <w:tcW w:w="4702" w:type="pct"/>
          <w:gridSpan w:val="2"/>
          <w:tcBorders>
            <w:bottom w:val="nil"/>
            <w:right w:val="single" w:sz="4" w:space="0" w:color="BFBFBF"/>
          </w:tcBorders>
        </w:tcPr>
        <w:p w14:paraId="3B3B8B82" w14:textId="77777777" w:rsidR="00697499" w:rsidRPr="0030192B" w:rsidRDefault="007612E5" w:rsidP="00697499">
          <w:pPr>
            <w:jc w:val="right"/>
            <w:rPr>
              <w:rFonts w:eastAsia="Cambria"/>
              <w:b/>
              <w:color w:val="7F3809" w:themeColor="accent6" w:themeShade="80"/>
            </w:rPr>
          </w:pPr>
          <w:sdt>
            <w:sdtPr>
              <w:rPr>
                <w:rFonts w:asciiTheme="minorHAnsi" w:hAnsiTheme="minorHAnsi" w:cstheme="minorHAnsi"/>
                <w:b/>
                <w:bCs/>
                <w:sz w:val="24"/>
              </w:rPr>
              <w:alias w:val="Title"/>
              <w:id w:val="1662889519"/>
              <w:dataBinding w:prefixMappings="xmlns:ns0='http://schemas.openxmlformats.org/package/2006/metadata/core-properties' xmlns:ns1='http://purl.org/dc/elements/1.1/'" w:xpath="/ns0:coreProperties[1]/ns1:title[1]" w:storeItemID="{6C3C8BC8-F283-45AE-878A-BAB7291924A1}"/>
              <w:text/>
            </w:sdtPr>
            <w:sdtEndPr/>
            <w:sdtContent>
              <w:r w:rsidR="00697499" w:rsidRPr="00697499">
                <w:rPr>
                  <w:rFonts w:asciiTheme="minorHAnsi" w:hAnsiTheme="minorHAnsi" w:cstheme="minorHAnsi"/>
                  <w:b/>
                  <w:bCs/>
                  <w:sz w:val="24"/>
                </w:rPr>
                <w:t>Mill Levy Override Revenue Report: Fiscal Year 2024-2025</w:t>
              </w:r>
            </w:sdtContent>
          </w:sdt>
        </w:p>
      </w:tc>
      <w:tc>
        <w:tcPr>
          <w:tcW w:w="298" w:type="pct"/>
          <w:gridSpan w:val="2"/>
          <w:tcBorders>
            <w:left w:val="single" w:sz="4" w:space="0" w:color="BFBFBF"/>
            <w:bottom w:val="nil"/>
          </w:tcBorders>
        </w:tcPr>
        <w:p w14:paraId="7663D722" w14:textId="77777777" w:rsidR="00697499" w:rsidRPr="0030192B" w:rsidRDefault="00697499" w:rsidP="00697499">
          <w:pPr>
            <w:ind w:right="-90"/>
            <w:rPr>
              <w:rFonts w:eastAsia="Cambria"/>
              <w:b/>
              <w:color w:val="7F3809" w:themeColor="accent6" w:themeShade="80"/>
              <w:szCs w:val="20"/>
            </w:rPr>
          </w:pPr>
          <w:r w:rsidRPr="0056608C">
            <w:rPr>
              <w:b/>
              <w:szCs w:val="20"/>
            </w:rPr>
            <w:fldChar w:fldCharType="begin"/>
          </w:r>
          <w:r w:rsidRPr="0056608C">
            <w:rPr>
              <w:b/>
              <w:szCs w:val="20"/>
            </w:rPr>
            <w:instrText xml:space="preserve"> PAGE   \* MERGEFORMAT </w:instrText>
          </w:r>
          <w:r w:rsidRPr="0056608C">
            <w:rPr>
              <w:b/>
              <w:szCs w:val="20"/>
            </w:rPr>
            <w:fldChar w:fldCharType="separate"/>
          </w:r>
          <w:r>
            <w:rPr>
              <w:b/>
              <w:szCs w:val="20"/>
            </w:rPr>
            <w:t>2</w:t>
          </w:r>
          <w:r w:rsidRPr="0056608C">
            <w:rPr>
              <w:b/>
              <w:szCs w:val="20"/>
            </w:rPr>
            <w:fldChar w:fldCharType="end"/>
          </w:r>
        </w:p>
      </w:tc>
    </w:tr>
  </w:tbl>
  <w:p w14:paraId="3934C97B" w14:textId="1E7B4E32" w:rsidR="00A430D9" w:rsidRDefault="00A430D9" w:rsidP="00E67DE9">
    <w:pPr>
      <w:pStyle w:val="Header"/>
      <w:tabs>
        <w:tab w:val="clear" w:pos="4320"/>
        <w:tab w:val="clear" w:pos="8640"/>
        <w:tab w:val="left" w:pos="4373"/>
      </w:tabs>
    </w:pPr>
  </w:p>
  <w:p w14:paraId="392257A4" w14:textId="77777777" w:rsidR="00A430D9" w:rsidRDefault="007612E5" w:rsidP="00E67DE9">
    <w:pPr>
      <w:pStyle w:val="Header"/>
      <w:tabs>
        <w:tab w:val="clear" w:pos="4320"/>
        <w:tab w:val="clear" w:pos="8640"/>
        <w:tab w:val="left" w:pos="4373"/>
      </w:tabs>
    </w:pPr>
    <w:r>
      <w:pict w14:anchorId="2E69F7CF">
        <v:rect id="_x0000_i1027" style="width:540pt;height:1pt" o:hralign="center" o:hrstd="t" o:hr="t" fillcolor="#aaa" stroked="f"/>
      </w:pict>
    </w:r>
  </w:p>
  <w:p w14:paraId="7588EDE4" w14:textId="77777777" w:rsidR="00A430D9" w:rsidRDefault="00A43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0583"/>
    <w:multiLevelType w:val="hybridMultilevel"/>
    <w:tmpl w:val="13F27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F20C5"/>
    <w:multiLevelType w:val="hybridMultilevel"/>
    <w:tmpl w:val="CDCE0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31F21"/>
    <w:multiLevelType w:val="hybridMultilevel"/>
    <w:tmpl w:val="DB0C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7349A"/>
    <w:multiLevelType w:val="multilevel"/>
    <w:tmpl w:val="3EC0A82E"/>
    <w:styleLink w:val="Styl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BA07F96"/>
    <w:multiLevelType w:val="hybridMultilevel"/>
    <w:tmpl w:val="D678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80647"/>
    <w:multiLevelType w:val="hybridMultilevel"/>
    <w:tmpl w:val="EBB0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0539B"/>
    <w:multiLevelType w:val="hybridMultilevel"/>
    <w:tmpl w:val="4920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2107F8"/>
    <w:multiLevelType w:val="hybridMultilevel"/>
    <w:tmpl w:val="2A56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BB5903"/>
    <w:multiLevelType w:val="hybridMultilevel"/>
    <w:tmpl w:val="04A45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05F72"/>
    <w:multiLevelType w:val="hybridMultilevel"/>
    <w:tmpl w:val="B99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DA51A1"/>
    <w:multiLevelType w:val="multilevel"/>
    <w:tmpl w:val="0780240C"/>
    <w:styleLink w:val="SidebarBulletedList"/>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hint="default"/>
      </w:rPr>
    </w:lvl>
    <w:lvl w:ilvl="8">
      <w:start w:val="1"/>
      <w:numFmt w:val="bullet"/>
      <w:lvlText w:val=""/>
      <w:lvlJc w:val="left"/>
      <w:pPr>
        <w:ind w:left="6210" w:hanging="360"/>
      </w:pPr>
      <w:rPr>
        <w:rFonts w:ascii="Wingdings" w:hAnsi="Wingdings" w:hint="default"/>
      </w:rPr>
    </w:lvl>
  </w:abstractNum>
  <w:abstractNum w:abstractNumId="11" w15:restartNumberingAfterBreak="0">
    <w:nsid w:val="6C624616"/>
    <w:multiLevelType w:val="hybridMultilevel"/>
    <w:tmpl w:val="06B22936"/>
    <w:lvl w:ilvl="0" w:tplc="42EE1C72">
      <w:start w:val="1"/>
      <w:numFmt w:val="bullet"/>
      <w:pStyle w:val="BulletedLevel1"/>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323E8F"/>
    <w:multiLevelType w:val="multilevel"/>
    <w:tmpl w:val="A4CEF8F6"/>
    <w:styleLink w:val="Style3"/>
    <w:lvl w:ilvl="0">
      <w:start w:val="1"/>
      <w:numFmt w:val="bullet"/>
      <w:lvlText w:val=""/>
      <w:lvlJc w:val="left"/>
      <w:pPr>
        <w:tabs>
          <w:tab w:val="num" w:pos="720"/>
        </w:tabs>
        <w:ind w:left="720" w:hanging="360"/>
      </w:pPr>
      <w:rPr>
        <w:rFonts w:ascii="Symbol" w:hAnsi="Symbol"/>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429157D"/>
    <w:multiLevelType w:val="multilevel"/>
    <w:tmpl w:val="541044D2"/>
    <w:styleLink w:val="BulletedList2ndLevel"/>
    <w:lvl w:ilvl="0">
      <w:start w:val="1"/>
      <w:numFmt w:val="bullet"/>
      <w:lvlText w:val=""/>
      <w:lvlJc w:val="left"/>
      <w:pPr>
        <w:tabs>
          <w:tab w:val="num" w:pos="900"/>
        </w:tabs>
        <w:ind w:left="900" w:hanging="360"/>
      </w:pPr>
      <w:rPr>
        <w:rFonts w:ascii="Symbol" w:hAnsi="Symbol" w:hint="default"/>
      </w:rPr>
    </w:lvl>
    <w:lvl w:ilvl="1">
      <w:start w:val="1"/>
      <w:numFmt w:val="bullet"/>
      <w:lvlText w:val=""/>
      <w:lvlJc w:val="left"/>
      <w:pPr>
        <w:tabs>
          <w:tab w:val="num" w:pos="1440"/>
        </w:tabs>
        <w:ind w:left="1440" w:hanging="360"/>
      </w:pPr>
      <w:rPr>
        <w:rFonts w:ascii="Wingdings 2" w:hAnsi="Wingdings 2" w:hint="default"/>
        <w:sz w:val="16"/>
        <w:szCs w:val="16"/>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num w:numId="1" w16cid:durableId="1598708443">
    <w:abstractNumId w:val="11"/>
  </w:num>
  <w:num w:numId="2" w16cid:durableId="1666590049">
    <w:abstractNumId w:val="13"/>
  </w:num>
  <w:num w:numId="3" w16cid:durableId="2004315326">
    <w:abstractNumId w:val="8"/>
  </w:num>
  <w:num w:numId="4" w16cid:durableId="1261717575">
    <w:abstractNumId w:val="0"/>
  </w:num>
  <w:num w:numId="5" w16cid:durableId="849493390">
    <w:abstractNumId w:val="7"/>
  </w:num>
  <w:num w:numId="6" w16cid:durableId="32315904">
    <w:abstractNumId w:val="10"/>
  </w:num>
  <w:num w:numId="7" w16cid:durableId="1695955559">
    <w:abstractNumId w:val="3"/>
  </w:num>
  <w:num w:numId="8" w16cid:durableId="666709336">
    <w:abstractNumId w:val="12"/>
  </w:num>
  <w:num w:numId="9" w16cid:durableId="1266961563">
    <w:abstractNumId w:val="6"/>
  </w:num>
  <w:num w:numId="10" w16cid:durableId="285746594">
    <w:abstractNumId w:val="5"/>
  </w:num>
  <w:num w:numId="11" w16cid:durableId="1188837159">
    <w:abstractNumId w:val="9"/>
  </w:num>
  <w:num w:numId="12" w16cid:durableId="1007488366">
    <w:abstractNumId w:val="2"/>
  </w:num>
  <w:num w:numId="13" w16cid:durableId="1546332775">
    <w:abstractNumId w:val="4"/>
  </w:num>
  <w:num w:numId="14" w16cid:durableId="131159043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1B"/>
    <w:rsid w:val="0000198D"/>
    <w:rsid w:val="00005E9A"/>
    <w:rsid w:val="0001106F"/>
    <w:rsid w:val="000135B2"/>
    <w:rsid w:val="00015071"/>
    <w:rsid w:val="00021CF8"/>
    <w:rsid w:val="000225E3"/>
    <w:rsid w:val="00026930"/>
    <w:rsid w:val="00034346"/>
    <w:rsid w:val="00054C7E"/>
    <w:rsid w:val="000643F6"/>
    <w:rsid w:val="00066A47"/>
    <w:rsid w:val="000A1E84"/>
    <w:rsid w:val="000A2A9E"/>
    <w:rsid w:val="000A5D2E"/>
    <w:rsid w:val="000B1B9D"/>
    <w:rsid w:val="000C3014"/>
    <w:rsid w:val="000C58B2"/>
    <w:rsid w:val="000C624D"/>
    <w:rsid w:val="000D6581"/>
    <w:rsid w:val="000E3DCB"/>
    <w:rsid w:val="000E58F8"/>
    <w:rsid w:val="000F59F5"/>
    <w:rsid w:val="000F7B01"/>
    <w:rsid w:val="001016BE"/>
    <w:rsid w:val="00105684"/>
    <w:rsid w:val="00120E81"/>
    <w:rsid w:val="00124275"/>
    <w:rsid w:val="00130057"/>
    <w:rsid w:val="00132340"/>
    <w:rsid w:val="00133AD2"/>
    <w:rsid w:val="0014410F"/>
    <w:rsid w:val="00145BCD"/>
    <w:rsid w:val="0014705D"/>
    <w:rsid w:val="00150D05"/>
    <w:rsid w:val="00151EFA"/>
    <w:rsid w:val="00153DF8"/>
    <w:rsid w:val="00155489"/>
    <w:rsid w:val="0016556B"/>
    <w:rsid w:val="00175A64"/>
    <w:rsid w:val="00177745"/>
    <w:rsid w:val="00180CDB"/>
    <w:rsid w:val="00183B6E"/>
    <w:rsid w:val="00196AA7"/>
    <w:rsid w:val="001A1B40"/>
    <w:rsid w:val="001A69E2"/>
    <w:rsid w:val="001B0F36"/>
    <w:rsid w:val="001B4DBB"/>
    <w:rsid w:val="001B6120"/>
    <w:rsid w:val="001B74B8"/>
    <w:rsid w:val="001C0152"/>
    <w:rsid w:val="001C0679"/>
    <w:rsid w:val="001C6E2D"/>
    <w:rsid w:val="001D4036"/>
    <w:rsid w:val="001D63B9"/>
    <w:rsid w:val="001D7CF7"/>
    <w:rsid w:val="001E3492"/>
    <w:rsid w:val="001F5C7C"/>
    <w:rsid w:val="001F72D4"/>
    <w:rsid w:val="00200B9C"/>
    <w:rsid w:val="00205C70"/>
    <w:rsid w:val="00207163"/>
    <w:rsid w:val="00225D00"/>
    <w:rsid w:val="00236A4B"/>
    <w:rsid w:val="00240325"/>
    <w:rsid w:val="00241FE1"/>
    <w:rsid w:val="00246D6D"/>
    <w:rsid w:val="00257498"/>
    <w:rsid w:val="002579D8"/>
    <w:rsid w:val="002805C9"/>
    <w:rsid w:val="002822D8"/>
    <w:rsid w:val="002965AA"/>
    <w:rsid w:val="002A06C6"/>
    <w:rsid w:val="002B5D47"/>
    <w:rsid w:val="002D02DC"/>
    <w:rsid w:val="002D6844"/>
    <w:rsid w:val="002E0D67"/>
    <w:rsid w:val="002F122C"/>
    <w:rsid w:val="002F6C8E"/>
    <w:rsid w:val="0030192B"/>
    <w:rsid w:val="00316BAA"/>
    <w:rsid w:val="00354A65"/>
    <w:rsid w:val="003615FC"/>
    <w:rsid w:val="003737DF"/>
    <w:rsid w:val="00374EF6"/>
    <w:rsid w:val="003800CD"/>
    <w:rsid w:val="00385106"/>
    <w:rsid w:val="00386CA6"/>
    <w:rsid w:val="00387242"/>
    <w:rsid w:val="00397718"/>
    <w:rsid w:val="003A551C"/>
    <w:rsid w:val="003A5678"/>
    <w:rsid w:val="003A617A"/>
    <w:rsid w:val="003B4842"/>
    <w:rsid w:val="003C574C"/>
    <w:rsid w:val="003C77FC"/>
    <w:rsid w:val="003E2E99"/>
    <w:rsid w:val="003E54F3"/>
    <w:rsid w:val="003F0927"/>
    <w:rsid w:val="003F21CE"/>
    <w:rsid w:val="003F769A"/>
    <w:rsid w:val="00404CC3"/>
    <w:rsid w:val="004107E4"/>
    <w:rsid w:val="00421EB8"/>
    <w:rsid w:val="004261FE"/>
    <w:rsid w:val="004323A7"/>
    <w:rsid w:val="0043561E"/>
    <w:rsid w:val="004366E2"/>
    <w:rsid w:val="00460ED2"/>
    <w:rsid w:val="00470584"/>
    <w:rsid w:val="00471335"/>
    <w:rsid w:val="00476F13"/>
    <w:rsid w:val="00486140"/>
    <w:rsid w:val="004A7625"/>
    <w:rsid w:val="004B4F8F"/>
    <w:rsid w:val="004C2B40"/>
    <w:rsid w:val="004E4327"/>
    <w:rsid w:val="004F75A3"/>
    <w:rsid w:val="00507B7B"/>
    <w:rsid w:val="00515030"/>
    <w:rsid w:val="00515604"/>
    <w:rsid w:val="00515785"/>
    <w:rsid w:val="00525924"/>
    <w:rsid w:val="00532F20"/>
    <w:rsid w:val="00540840"/>
    <w:rsid w:val="00541000"/>
    <w:rsid w:val="00545184"/>
    <w:rsid w:val="00546F89"/>
    <w:rsid w:val="005654CB"/>
    <w:rsid w:val="0056608C"/>
    <w:rsid w:val="00567165"/>
    <w:rsid w:val="00575C95"/>
    <w:rsid w:val="00576484"/>
    <w:rsid w:val="00580243"/>
    <w:rsid w:val="00587F06"/>
    <w:rsid w:val="0059344B"/>
    <w:rsid w:val="00594FF0"/>
    <w:rsid w:val="00595B69"/>
    <w:rsid w:val="005A19EA"/>
    <w:rsid w:val="005A5CCC"/>
    <w:rsid w:val="005B0A24"/>
    <w:rsid w:val="005B1B67"/>
    <w:rsid w:val="005B27FE"/>
    <w:rsid w:val="005B43FA"/>
    <w:rsid w:val="005B6BF3"/>
    <w:rsid w:val="005C0F06"/>
    <w:rsid w:val="005C3058"/>
    <w:rsid w:val="005D2F40"/>
    <w:rsid w:val="005D2F4E"/>
    <w:rsid w:val="005D3DEB"/>
    <w:rsid w:val="005D77BC"/>
    <w:rsid w:val="005F1E88"/>
    <w:rsid w:val="005F29AC"/>
    <w:rsid w:val="005F36B2"/>
    <w:rsid w:val="00600218"/>
    <w:rsid w:val="006005EF"/>
    <w:rsid w:val="00603839"/>
    <w:rsid w:val="006129DD"/>
    <w:rsid w:val="0061345A"/>
    <w:rsid w:val="00620F11"/>
    <w:rsid w:val="00624FD7"/>
    <w:rsid w:val="0063129E"/>
    <w:rsid w:val="00646501"/>
    <w:rsid w:val="00651678"/>
    <w:rsid w:val="00652F3D"/>
    <w:rsid w:val="00664668"/>
    <w:rsid w:val="006845BA"/>
    <w:rsid w:val="00694B64"/>
    <w:rsid w:val="00694E5C"/>
    <w:rsid w:val="00697499"/>
    <w:rsid w:val="006B71BB"/>
    <w:rsid w:val="006C44B4"/>
    <w:rsid w:val="006C7202"/>
    <w:rsid w:val="006D03A9"/>
    <w:rsid w:val="006D52BD"/>
    <w:rsid w:val="006F48A1"/>
    <w:rsid w:val="00700094"/>
    <w:rsid w:val="00706910"/>
    <w:rsid w:val="00706B52"/>
    <w:rsid w:val="00706F8A"/>
    <w:rsid w:val="00710C77"/>
    <w:rsid w:val="007143A8"/>
    <w:rsid w:val="007228B7"/>
    <w:rsid w:val="007230D2"/>
    <w:rsid w:val="00732882"/>
    <w:rsid w:val="00735B05"/>
    <w:rsid w:val="007411E1"/>
    <w:rsid w:val="0075396C"/>
    <w:rsid w:val="00755131"/>
    <w:rsid w:val="007612E5"/>
    <w:rsid w:val="00775E27"/>
    <w:rsid w:val="00777939"/>
    <w:rsid w:val="00783D60"/>
    <w:rsid w:val="00792F50"/>
    <w:rsid w:val="007B4DE5"/>
    <w:rsid w:val="007B622A"/>
    <w:rsid w:val="007D4F6E"/>
    <w:rsid w:val="007E4961"/>
    <w:rsid w:val="0080281D"/>
    <w:rsid w:val="008038FE"/>
    <w:rsid w:val="00806F60"/>
    <w:rsid w:val="00807B5B"/>
    <w:rsid w:val="00821B55"/>
    <w:rsid w:val="0083178F"/>
    <w:rsid w:val="00836822"/>
    <w:rsid w:val="008405D9"/>
    <w:rsid w:val="0084747C"/>
    <w:rsid w:val="00871A40"/>
    <w:rsid w:val="00872A34"/>
    <w:rsid w:val="008732AE"/>
    <w:rsid w:val="00876CA3"/>
    <w:rsid w:val="00876DCD"/>
    <w:rsid w:val="00890FB6"/>
    <w:rsid w:val="00891EF4"/>
    <w:rsid w:val="00892F1E"/>
    <w:rsid w:val="00896684"/>
    <w:rsid w:val="008B0074"/>
    <w:rsid w:val="008B12EA"/>
    <w:rsid w:val="008B1A02"/>
    <w:rsid w:val="008B391D"/>
    <w:rsid w:val="008C21DA"/>
    <w:rsid w:val="008D7A33"/>
    <w:rsid w:val="008E6635"/>
    <w:rsid w:val="008E77FC"/>
    <w:rsid w:val="008F0ABD"/>
    <w:rsid w:val="008F3B8E"/>
    <w:rsid w:val="008F4189"/>
    <w:rsid w:val="008F42A4"/>
    <w:rsid w:val="0090093F"/>
    <w:rsid w:val="009118E6"/>
    <w:rsid w:val="00913B49"/>
    <w:rsid w:val="00921B1C"/>
    <w:rsid w:val="009235BD"/>
    <w:rsid w:val="009305CD"/>
    <w:rsid w:val="009363ED"/>
    <w:rsid w:val="0094314B"/>
    <w:rsid w:val="00946A18"/>
    <w:rsid w:val="009504F4"/>
    <w:rsid w:val="00953064"/>
    <w:rsid w:val="009534A1"/>
    <w:rsid w:val="00962946"/>
    <w:rsid w:val="00963908"/>
    <w:rsid w:val="00971287"/>
    <w:rsid w:val="00984D2D"/>
    <w:rsid w:val="00985FB6"/>
    <w:rsid w:val="0099079A"/>
    <w:rsid w:val="00993767"/>
    <w:rsid w:val="00993897"/>
    <w:rsid w:val="009977A1"/>
    <w:rsid w:val="009A1D8F"/>
    <w:rsid w:val="009A6BA9"/>
    <w:rsid w:val="009A7020"/>
    <w:rsid w:val="009B49EA"/>
    <w:rsid w:val="009B56D0"/>
    <w:rsid w:val="009C1577"/>
    <w:rsid w:val="009C5068"/>
    <w:rsid w:val="009D295D"/>
    <w:rsid w:val="009D3CA8"/>
    <w:rsid w:val="009D4098"/>
    <w:rsid w:val="009D6118"/>
    <w:rsid w:val="009E5B28"/>
    <w:rsid w:val="009F046A"/>
    <w:rsid w:val="009F554C"/>
    <w:rsid w:val="009F7856"/>
    <w:rsid w:val="00A0102F"/>
    <w:rsid w:val="00A0516A"/>
    <w:rsid w:val="00A10E7F"/>
    <w:rsid w:val="00A2523D"/>
    <w:rsid w:val="00A31D04"/>
    <w:rsid w:val="00A33024"/>
    <w:rsid w:val="00A35F87"/>
    <w:rsid w:val="00A36F14"/>
    <w:rsid w:val="00A37B22"/>
    <w:rsid w:val="00A430D9"/>
    <w:rsid w:val="00A442AD"/>
    <w:rsid w:val="00A44BC2"/>
    <w:rsid w:val="00A5611B"/>
    <w:rsid w:val="00A576DD"/>
    <w:rsid w:val="00A62559"/>
    <w:rsid w:val="00A80222"/>
    <w:rsid w:val="00A83C11"/>
    <w:rsid w:val="00A84AAB"/>
    <w:rsid w:val="00A8676B"/>
    <w:rsid w:val="00AC344D"/>
    <w:rsid w:val="00AD7A55"/>
    <w:rsid w:val="00AE5EFB"/>
    <w:rsid w:val="00AE73D9"/>
    <w:rsid w:val="00B05084"/>
    <w:rsid w:val="00B154C0"/>
    <w:rsid w:val="00B233B4"/>
    <w:rsid w:val="00B424DF"/>
    <w:rsid w:val="00B44863"/>
    <w:rsid w:val="00B44B10"/>
    <w:rsid w:val="00B55C58"/>
    <w:rsid w:val="00B75D0F"/>
    <w:rsid w:val="00B839FE"/>
    <w:rsid w:val="00B90A1C"/>
    <w:rsid w:val="00B9213D"/>
    <w:rsid w:val="00B947EE"/>
    <w:rsid w:val="00BC16B9"/>
    <w:rsid w:val="00BC35EE"/>
    <w:rsid w:val="00BC5A83"/>
    <w:rsid w:val="00BD3D1B"/>
    <w:rsid w:val="00BD4E47"/>
    <w:rsid w:val="00BD5226"/>
    <w:rsid w:val="00BD7241"/>
    <w:rsid w:val="00BE42C3"/>
    <w:rsid w:val="00BF6220"/>
    <w:rsid w:val="00C063D6"/>
    <w:rsid w:val="00C070C9"/>
    <w:rsid w:val="00C111B2"/>
    <w:rsid w:val="00C114BE"/>
    <w:rsid w:val="00C155DB"/>
    <w:rsid w:val="00C16326"/>
    <w:rsid w:val="00C2199D"/>
    <w:rsid w:val="00C21B48"/>
    <w:rsid w:val="00C32EBE"/>
    <w:rsid w:val="00C35486"/>
    <w:rsid w:val="00C36BDB"/>
    <w:rsid w:val="00C4159B"/>
    <w:rsid w:val="00C50274"/>
    <w:rsid w:val="00C73848"/>
    <w:rsid w:val="00C75305"/>
    <w:rsid w:val="00C76B15"/>
    <w:rsid w:val="00C8079F"/>
    <w:rsid w:val="00C91E53"/>
    <w:rsid w:val="00C97013"/>
    <w:rsid w:val="00CA2147"/>
    <w:rsid w:val="00CA4CE1"/>
    <w:rsid w:val="00CA52AE"/>
    <w:rsid w:val="00CA5EE5"/>
    <w:rsid w:val="00CA6507"/>
    <w:rsid w:val="00CC3BE2"/>
    <w:rsid w:val="00CC558D"/>
    <w:rsid w:val="00CD110D"/>
    <w:rsid w:val="00CD3DFE"/>
    <w:rsid w:val="00CD679B"/>
    <w:rsid w:val="00CE72B7"/>
    <w:rsid w:val="00CF394B"/>
    <w:rsid w:val="00CF6BFB"/>
    <w:rsid w:val="00CF7791"/>
    <w:rsid w:val="00D01A40"/>
    <w:rsid w:val="00D071B5"/>
    <w:rsid w:val="00D12E1B"/>
    <w:rsid w:val="00D16915"/>
    <w:rsid w:val="00D25276"/>
    <w:rsid w:val="00D400BD"/>
    <w:rsid w:val="00D4179B"/>
    <w:rsid w:val="00D44A0C"/>
    <w:rsid w:val="00D553AF"/>
    <w:rsid w:val="00D62580"/>
    <w:rsid w:val="00D6547D"/>
    <w:rsid w:val="00D731CF"/>
    <w:rsid w:val="00D7353D"/>
    <w:rsid w:val="00D82B93"/>
    <w:rsid w:val="00D83F2D"/>
    <w:rsid w:val="00D91E69"/>
    <w:rsid w:val="00D94EBD"/>
    <w:rsid w:val="00D96D22"/>
    <w:rsid w:val="00DA064A"/>
    <w:rsid w:val="00DA22B8"/>
    <w:rsid w:val="00DB7E4C"/>
    <w:rsid w:val="00DC1454"/>
    <w:rsid w:val="00DC2AA0"/>
    <w:rsid w:val="00DC72A4"/>
    <w:rsid w:val="00DC7865"/>
    <w:rsid w:val="00DD6774"/>
    <w:rsid w:val="00DE2217"/>
    <w:rsid w:val="00DE271B"/>
    <w:rsid w:val="00DE77A4"/>
    <w:rsid w:val="00DF1C79"/>
    <w:rsid w:val="00DF2F32"/>
    <w:rsid w:val="00E1063A"/>
    <w:rsid w:val="00E13C74"/>
    <w:rsid w:val="00E23E12"/>
    <w:rsid w:val="00E361C9"/>
    <w:rsid w:val="00E41249"/>
    <w:rsid w:val="00E547A9"/>
    <w:rsid w:val="00E60C9C"/>
    <w:rsid w:val="00E67DE9"/>
    <w:rsid w:val="00E7037E"/>
    <w:rsid w:val="00E72948"/>
    <w:rsid w:val="00E762B1"/>
    <w:rsid w:val="00E76335"/>
    <w:rsid w:val="00E83EDF"/>
    <w:rsid w:val="00E9480A"/>
    <w:rsid w:val="00E97BC2"/>
    <w:rsid w:val="00EA2246"/>
    <w:rsid w:val="00EB0C96"/>
    <w:rsid w:val="00EB2870"/>
    <w:rsid w:val="00EB5696"/>
    <w:rsid w:val="00ED6603"/>
    <w:rsid w:val="00EE69C4"/>
    <w:rsid w:val="00EF6234"/>
    <w:rsid w:val="00EF7DFD"/>
    <w:rsid w:val="00F05B80"/>
    <w:rsid w:val="00F12869"/>
    <w:rsid w:val="00F12F5A"/>
    <w:rsid w:val="00F200B0"/>
    <w:rsid w:val="00F24B6E"/>
    <w:rsid w:val="00F3253E"/>
    <w:rsid w:val="00F34CBA"/>
    <w:rsid w:val="00F4134C"/>
    <w:rsid w:val="00F4365A"/>
    <w:rsid w:val="00F46E70"/>
    <w:rsid w:val="00F477A0"/>
    <w:rsid w:val="00F5690C"/>
    <w:rsid w:val="00F70357"/>
    <w:rsid w:val="00F71467"/>
    <w:rsid w:val="00F75FFA"/>
    <w:rsid w:val="00F80275"/>
    <w:rsid w:val="00F8591D"/>
    <w:rsid w:val="00F861DB"/>
    <w:rsid w:val="00FA01F9"/>
    <w:rsid w:val="00FA674F"/>
    <w:rsid w:val="00FA7F64"/>
    <w:rsid w:val="00FB21FB"/>
    <w:rsid w:val="00FC0EA8"/>
    <w:rsid w:val="00FC1C93"/>
    <w:rsid w:val="00FC2C7D"/>
    <w:rsid w:val="00FE1698"/>
    <w:rsid w:val="00FE2681"/>
    <w:rsid w:val="00FE3740"/>
    <w:rsid w:val="00FE3F3A"/>
    <w:rsid w:val="00FE4409"/>
    <w:rsid w:val="00FE5743"/>
    <w:rsid w:val="00FF0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AF07FE"/>
  <w14:defaultImageDpi w14:val="330"/>
  <w15:docId w15:val="{88D8DE3D-9606-4263-B06A-6195D43C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B5B"/>
    <w:rPr>
      <w:rFonts w:ascii="Calibri" w:hAnsi="Calibri"/>
      <w:sz w:val="22"/>
    </w:rPr>
  </w:style>
  <w:style w:type="paragraph" w:styleId="Heading1">
    <w:name w:val="heading 1"/>
    <w:next w:val="Normal"/>
    <w:link w:val="Heading1Char"/>
    <w:autoRedefine/>
    <w:uiPriority w:val="9"/>
    <w:qFormat/>
    <w:rsid w:val="001C0152"/>
    <w:pPr>
      <w:pBdr>
        <w:bottom w:val="single" w:sz="8" w:space="0" w:color="9AA3AC" w:themeColor="text1" w:themeTint="99"/>
      </w:pBdr>
      <w:tabs>
        <w:tab w:val="left" w:pos="90"/>
      </w:tabs>
      <w:spacing w:before="120"/>
      <w:outlineLvl w:val="0"/>
    </w:pPr>
    <w:rPr>
      <w:rFonts w:ascii="Museo Slab 500" w:eastAsiaTheme="minorHAnsi" w:hAnsi="Museo Slab 500"/>
      <w:bCs/>
      <w:color w:val="5C6670" w:themeColor="text1"/>
      <w:sz w:val="28"/>
      <w:szCs w:val="28"/>
    </w:rPr>
  </w:style>
  <w:style w:type="paragraph" w:styleId="Heading2">
    <w:name w:val="heading 2"/>
    <w:basedOn w:val="Normal"/>
    <w:next w:val="Normal"/>
    <w:link w:val="Heading2Char"/>
    <w:uiPriority w:val="9"/>
    <w:unhideWhenUsed/>
    <w:qFormat/>
    <w:rsid w:val="009F554C"/>
    <w:pPr>
      <w:keepNext/>
      <w:keepLines/>
      <w:spacing w:before="200"/>
      <w:outlineLvl w:val="1"/>
    </w:pPr>
    <w:rPr>
      <w:rFonts w:ascii="Trebuchet MS" w:eastAsiaTheme="majorEastAsia" w:hAnsi="Trebuchet MS" w:cstheme="majorBidi"/>
      <w:b/>
      <w:bCs/>
      <w:sz w:val="26"/>
      <w:szCs w:val="26"/>
    </w:rPr>
  </w:style>
  <w:style w:type="paragraph" w:styleId="Heading3">
    <w:name w:val="heading 3"/>
    <w:basedOn w:val="Normal"/>
    <w:next w:val="Normal"/>
    <w:link w:val="Heading3Char"/>
    <w:uiPriority w:val="9"/>
    <w:semiHidden/>
    <w:unhideWhenUsed/>
    <w:qFormat/>
    <w:rsid w:val="0030192B"/>
    <w:pPr>
      <w:keepNext/>
      <w:keepLines/>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04F4"/>
    <w:pPr>
      <w:tabs>
        <w:tab w:val="center" w:pos="4320"/>
        <w:tab w:val="right" w:pos="8640"/>
      </w:tabs>
    </w:pPr>
  </w:style>
  <w:style w:type="character" w:customStyle="1" w:styleId="HeaderChar">
    <w:name w:val="Header Char"/>
    <w:basedOn w:val="DefaultParagraphFont"/>
    <w:link w:val="Header"/>
    <w:rsid w:val="009504F4"/>
  </w:style>
  <w:style w:type="paragraph" w:styleId="Footer">
    <w:name w:val="footer"/>
    <w:basedOn w:val="Normal"/>
    <w:link w:val="FooterChar"/>
    <w:uiPriority w:val="99"/>
    <w:unhideWhenUsed/>
    <w:rsid w:val="009504F4"/>
    <w:pPr>
      <w:tabs>
        <w:tab w:val="center" w:pos="4320"/>
        <w:tab w:val="right" w:pos="8640"/>
      </w:tabs>
    </w:pPr>
  </w:style>
  <w:style w:type="character" w:customStyle="1" w:styleId="FooterChar">
    <w:name w:val="Footer Char"/>
    <w:basedOn w:val="DefaultParagraphFont"/>
    <w:link w:val="Footer"/>
    <w:uiPriority w:val="99"/>
    <w:rsid w:val="009504F4"/>
  </w:style>
  <w:style w:type="table" w:styleId="TableGrid">
    <w:name w:val="Table Grid"/>
    <w:basedOn w:val="TableNormal"/>
    <w:uiPriority w:val="59"/>
    <w:rsid w:val="009504F4"/>
    <w:rPr>
      <w:sz w:val="22"/>
      <w:szCs w:val="22"/>
      <w:lang w:bidi="en-US"/>
    </w:rPr>
    <w:tblPr>
      <w:tblBorders>
        <w:top w:val="single" w:sz="4" w:space="0" w:color="5C6670" w:themeColor="text1"/>
        <w:left w:val="single" w:sz="4" w:space="0" w:color="5C6670" w:themeColor="text1"/>
        <w:bottom w:val="single" w:sz="4" w:space="0" w:color="5C6670" w:themeColor="text1"/>
        <w:right w:val="single" w:sz="4" w:space="0" w:color="5C6670" w:themeColor="text1"/>
        <w:insideH w:val="single" w:sz="4" w:space="0" w:color="5C6670" w:themeColor="text1"/>
        <w:insideV w:val="single" w:sz="4" w:space="0" w:color="5C6670" w:themeColor="text1"/>
      </w:tblBorders>
    </w:tblPr>
  </w:style>
  <w:style w:type="paragraph" w:styleId="BalloonText">
    <w:name w:val="Balloon Text"/>
    <w:basedOn w:val="Normal"/>
    <w:link w:val="BalloonTextChar"/>
    <w:semiHidden/>
    <w:unhideWhenUsed/>
    <w:rsid w:val="009504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04F4"/>
    <w:rPr>
      <w:rFonts w:ascii="Lucida Grande" w:hAnsi="Lucida Grande" w:cs="Lucida Grande"/>
      <w:sz w:val="18"/>
      <w:szCs w:val="18"/>
    </w:rPr>
  </w:style>
  <w:style w:type="character" w:customStyle="1" w:styleId="Heading1Char">
    <w:name w:val="Heading 1 Char"/>
    <w:basedOn w:val="DefaultParagraphFont"/>
    <w:link w:val="Heading1"/>
    <w:uiPriority w:val="9"/>
    <w:rsid w:val="001C0152"/>
    <w:rPr>
      <w:rFonts w:ascii="Museo Slab 500" w:eastAsiaTheme="minorHAnsi" w:hAnsi="Museo Slab 500"/>
      <w:bCs/>
      <w:color w:val="5C6670" w:themeColor="text1"/>
      <w:sz w:val="28"/>
      <w:szCs w:val="28"/>
    </w:rPr>
  </w:style>
  <w:style w:type="character" w:styleId="Strong">
    <w:name w:val="Strong"/>
    <w:basedOn w:val="DefaultParagraphFont"/>
    <w:uiPriority w:val="1"/>
    <w:qFormat/>
    <w:rsid w:val="0030192B"/>
    <w:rPr>
      <w:b/>
      <w:bCs/>
      <w:color w:val="auto"/>
    </w:rPr>
  </w:style>
  <w:style w:type="paragraph" w:styleId="Title">
    <w:name w:val="Title"/>
    <w:basedOn w:val="Normal"/>
    <w:next w:val="Normal"/>
    <w:link w:val="TitleChar"/>
    <w:autoRedefine/>
    <w:qFormat/>
    <w:rsid w:val="00D16915"/>
    <w:pPr>
      <w:spacing w:before="1000" w:after="1000"/>
      <w:jc w:val="center"/>
    </w:pPr>
    <w:rPr>
      <w:rFonts w:ascii="Museo Slab 500" w:eastAsiaTheme="minorHAnsi" w:hAnsi="Museo Slab 500" w:cs="Times New Roman"/>
      <w:color w:val="5C6670" w:themeColor="text1"/>
      <w:spacing w:val="20"/>
      <w:sz w:val="64"/>
      <w:szCs w:val="72"/>
    </w:rPr>
  </w:style>
  <w:style w:type="character" w:customStyle="1" w:styleId="TitleChar">
    <w:name w:val="Title Char"/>
    <w:basedOn w:val="DefaultParagraphFont"/>
    <w:link w:val="Title"/>
    <w:rsid w:val="00D16915"/>
    <w:rPr>
      <w:rFonts w:ascii="Museo Slab 500" w:eastAsiaTheme="minorHAnsi" w:hAnsi="Museo Slab 500" w:cs="Times New Roman"/>
      <w:color w:val="5C6670" w:themeColor="text1"/>
      <w:spacing w:val="20"/>
      <w:sz w:val="64"/>
      <w:szCs w:val="72"/>
    </w:rPr>
  </w:style>
  <w:style w:type="paragraph" w:styleId="Subtitle">
    <w:name w:val="Subtitle"/>
    <w:basedOn w:val="Normal"/>
    <w:next w:val="Normal"/>
    <w:link w:val="SubtitleChar"/>
    <w:qFormat/>
    <w:rsid w:val="002E0D67"/>
    <w:pPr>
      <w:pBdr>
        <w:bottom w:val="dashSmallGap" w:sz="4" w:space="31" w:color="BFBFBF" w:themeColor="background1" w:themeShade="BF"/>
      </w:pBdr>
      <w:spacing w:before="160" w:after="360"/>
      <w:ind w:left="864" w:right="864"/>
      <w:jc w:val="center"/>
    </w:pPr>
    <w:rPr>
      <w:rFonts w:eastAsiaTheme="minorHAnsi"/>
    </w:rPr>
  </w:style>
  <w:style w:type="character" w:customStyle="1" w:styleId="SubtitleChar">
    <w:name w:val="Subtitle Char"/>
    <w:basedOn w:val="DefaultParagraphFont"/>
    <w:link w:val="Subtitle"/>
    <w:rsid w:val="002E0D67"/>
    <w:rPr>
      <w:rFonts w:eastAsiaTheme="minorHAnsi"/>
    </w:rPr>
  </w:style>
  <w:style w:type="paragraph" w:customStyle="1" w:styleId="HeadingMuseo">
    <w:name w:val="Heading Museo"/>
    <w:basedOn w:val="Heading1"/>
    <w:qFormat/>
    <w:rsid w:val="005C0F06"/>
    <w:pPr>
      <w:pBdr>
        <w:bottom w:val="single" w:sz="8" w:space="1" w:color="9AA3AC" w:themeColor="text1" w:themeTint="99"/>
      </w:pBdr>
    </w:pPr>
  </w:style>
  <w:style w:type="character" w:styleId="PlaceholderText">
    <w:name w:val="Placeholder Text"/>
    <w:basedOn w:val="DefaultParagraphFont"/>
    <w:uiPriority w:val="99"/>
    <w:semiHidden/>
    <w:rsid w:val="002E0D67"/>
    <w:rPr>
      <w:color w:val="808080"/>
    </w:rPr>
  </w:style>
  <w:style w:type="character" w:customStyle="1" w:styleId="Heading2Char">
    <w:name w:val="Heading 2 Char"/>
    <w:basedOn w:val="DefaultParagraphFont"/>
    <w:link w:val="Heading2"/>
    <w:uiPriority w:val="9"/>
    <w:rsid w:val="009F554C"/>
    <w:rPr>
      <w:rFonts w:ascii="Trebuchet MS" w:eastAsiaTheme="majorEastAsia" w:hAnsi="Trebuchet MS" w:cstheme="majorBidi"/>
      <w:b/>
      <w:bCs/>
      <w:sz w:val="26"/>
      <w:szCs w:val="26"/>
    </w:rPr>
  </w:style>
  <w:style w:type="table" w:styleId="LightList-Accent2">
    <w:name w:val="Light List Accent 2"/>
    <w:basedOn w:val="TableNormal"/>
    <w:uiPriority w:val="61"/>
    <w:rsid w:val="009D6118"/>
    <w:tblPr>
      <w:tblStyleRowBandSize w:val="1"/>
      <w:tblStyleColBandSize w:val="1"/>
      <w:tblBorders>
        <w:top w:val="single" w:sz="8" w:space="0" w:color="FFC846" w:themeColor="accent2"/>
        <w:left w:val="single" w:sz="8" w:space="0" w:color="FFC846" w:themeColor="accent2"/>
        <w:bottom w:val="single" w:sz="8" w:space="0" w:color="FFC846" w:themeColor="accent2"/>
        <w:right w:val="single" w:sz="8" w:space="0" w:color="FFC846" w:themeColor="accent2"/>
      </w:tblBorders>
    </w:tblPr>
    <w:tblStylePr w:type="firstRow">
      <w:pPr>
        <w:spacing w:before="0" w:after="0" w:line="240" w:lineRule="auto"/>
      </w:pPr>
      <w:rPr>
        <w:b/>
        <w:bCs/>
        <w:color w:val="FFFFFF" w:themeColor="background1"/>
      </w:rPr>
      <w:tblPr/>
      <w:tcPr>
        <w:shd w:val="clear" w:color="auto" w:fill="FFC846" w:themeFill="accent2"/>
      </w:tcPr>
    </w:tblStylePr>
    <w:tblStylePr w:type="lastRow">
      <w:pPr>
        <w:spacing w:before="0" w:after="0" w:line="240" w:lineRule="auto"/>
      </w:pPr>
      <w:rPr>
        <w:b/>
        <w:bCs/>
      </w:rPr>
      <w:tblPr/>
      <w:tcPr>
        <w:tcBorders>
          <w:top w:val="double" w:sz="6" w:space="0" w:color="FFC846" w:themeColor="accent2"/>
          <w:left w:val="single" w:sz="8" w:space="0" w:color="FFC846" w:themeColor="accent2"/>
          <w:bottom w:val="single" w:sz="8" w:space="0" w:color="FFC846" w:themeColor="accent2"/>
          <w:right w:val="single" w:sz="8" w:space="0" w:color="FFC846" w:themeColor="accent2"/>
        </w:tcBorders>
      </w:tcPr>
    </w:tblStylePr>
    <w:tblStylePr w:type="firstCol">
      <w:rPr>
        <w:b/>
        <w:bCs/>
      </w:rPr>
    </w:tblStylePr>
    <w:tblStylePr w:type="lastCol">
      <w:rPr>
        <w:b/>
        <w:bCs/>
      </w:rPr>
    </w:tblStylePr>
    <w:tblStylePr w:type="band1Vert">
      <w:tblPr/>
      <w:tcPr>
        <w:tcBorders>
          <w:top w:val="single" w:sz="8" w:space="0" w:color="FFC846" w:themeColor="accent2"/>
          <w:left w:val="single" w:sz="8" w:space="0" w:color="FFC846" w:themeColor="accent2"/>
          <w:bottom w:val="single" w:sz="8" w:space="0" w:color="FFC846" w:themeColor="accent2"/>
          <w:right w:val="single" w:sz="8" w:space="0" w:color="FFC846" w:themeColor="accent2"/>
        </w:tcBorders>
      </w:tcPr>
    </w:tblStylePr>
    <w:tblStylePr w:type="band1Horz">
      <w:tblPr/>
      <w:tcPr>
        <w:tcBorders>
          <w:top w:val="single" w:sz="8" w:space="0" w:color="FFC846" w:themeColor="accent2"/>
          <w:left w:val="single" w:sz="8" w:space="0" w:color="FFC846" w:themeColor="accent2"/>
          <w:bottom w:val="single" w:sz="8" w:space="0" w:color="FFC846" w:themeColor="accent2"/>
          <w:right w:val="single" w:sz="8" w:space="0" w:color="FFC846" w:themeColor="accent2"/>
        </w:tcBorders>
      </w:tcPr>
    </w:tblStylePr>
  </w:style>
  <w:style w:type="table" w:styleId="LightList-Accent5">
    <w:name w:val="Light List Accent 5"/>
    <w:basedOn w:val="TableNormal"/>
    <w:uiPriority w:val="61"/>
    <w:rsid w:val="009D6118"/>
    <w:tblPr>
      <w:tblStyleRowBandSize w:val="1"/>
      <w:tblStyleColBandSize w:val="1"/>
      <w:tblBorders>
        <w:top w:val="single" w:sz="8" w:space="0" w:color="46797A" w:themeColor="accent5"/>
        <w:left w:val="single" w:sz="8" w:space="0" w:color="46797A" w:themeColor="accent5"/>
        <w:bottom w:val="single" w:sz="8" w:space="0" w:color="46797A" w:themeColor="accent5"/>
        <w:right w:val="single" w:sz="8" w:space="0" w:color="46797A" w:themeColor="accent5"/>
      </w:tblBorders>
    </w:tblPr>
    <w:tblStylePr w:type="firstRow">
      <w:pPr>
        <w:spacing w:before="0" w:after="0" w:line="240" w:lineRule="auto"/>
      </w:pPr>
      <w:rPr>
        <w:b/>
        <w:bCs/>
        <w:color w:val="FFFFFF" w:themeColor="background1"/>
      </w:rPr>
      <w:tblPr/>
      <w:tcPr>
        <w:shd w:val="clear" w:color="auto" w:fill="46797A" w:themeFill="accent5"/>
      </w:tcPr>
    </w:tblStylePr>
    <w:tblStylePr w:type="lastRow">
      <w:pPr>
        <w:spacing w:before="0" w:after="0" w:line="240" w:lineRule="auto"/>
      </w:pPr>
      <w:rPr>
        <w:b/>
        <w:bCs/>
      </w:rPr>
      <w:tblPr/>
      <w:tcPr>
        <w:tcBorders>
          <w:top w:val="double" w:sz="6" w:space="0" w:color="46797A" w:themeColor="accent5"/>
          <w:left w:val="single" w:sz="8" w:space="0" w:color="46797A" w:themeColor="accent5"/>
          <w:bottom w:val="single" w:sz="8" w:space="0" w:color="46797A" w:themeColor="accent5"/>
          <w:right w:val="single" w:sz="8" w:space="0" w:color="46797A" w:themeColor="accent5"/>
        </w:tcBorders>
      </w:tcPr>
    </w:tblStylePr>
    <w:tblStylePr w:type="firstCol">
      <w:rPr>
        <w:b/>
        <w:bCs/>
      </w:rPr>
    </w:tblStylePr>
    <w:tblStylePr w:type="lastCol">
      <w:rPr>
        <w:b/>
        <w:bCs/>
      </w:rPr>
    </w:tblStylePr>
    <w:tblStylePr w:type="band1Vert">
      <w:tblPr/>
      <w:tcPr>
        <w:tcBorders>
          <w:top w:val="single" w:sz="8" w:space="0" w:color="46797A" w:themeColor="accent5"/>
          <w:left w:val="single" w:sz="8" w:space="0" w:color="46797A" w:themeColor="accent5"/>
          <w:bottom w:val="single" w:sz="8" w:space="0" w:color="46797A" w:themeColor="accent5"/>
          <w:right w:val="single" w:sz="8" w:space="0" w:color="46797A" w:themeColor="accent5"/>
        </w:tcBorders>
      </w:tcPr>
    </w:tblStylePr>
    <w:tblStylePr w:type="band1Horz">
      <w:tblPr/>
      <w:tcPr>
        <w:tcBorders>
          <w:top w:val="single" w:sz="8" w:space="0" w:color="46797A" w:themeColor="accent5"/>
          <w:left w:val="single" w:sz="8" w:space="0" w:color="46797A" w:themeColor="accent5"/>
          <w:bottom w:val="single" w:sz="8" w:space="0" w:color="46797A" w:themeColor="accent5"/>
          <w:right w:val="single" w:sz="8" w:space="0" w:color="46797A" w:themeColor="accent5"/>
        </w:tcBorders>
      </w:tcPr>
    </w:tblStylePr>
  </w:style>
  <w:style w:type="paragraph" w:styleId="Caption">
    <w:name w:val="caption"/>
    <w:basedOn w:val="Normal"/>
    <w:next w:val="Normal"/>
    <w:autoRedefine/>
    <w:uiPriority w:val="35"/>
    <w:unhideWhenUsed/>
    <w:qFormat/>
    <w:rsid w:val="001B6120"/>
    <w:pPr>
      <w:spacing w:after="120"/>
    </w:pPr>
    <w:rPr>
      <w:b/>
      <w:bCs/>
      <w:color w:val="5C6670" w:themeColor="text1"/>
      <w:sz w:val="18"/>
      <w:szCs w:val="18"/>
    </w:rPr>
  </w:style>
  <w:style w:type="table" w:styleId="LightShading-Accent3">
    <w:name w:val="Light Shading Accent 3"/>
    <w:basedOn w:val="TableNormal"/>
    <w:uiPriority w:val="60"/>
    <w:rsid w:val="00F3253E"/>
    <w:rPr>
      <w:color w:val="69962C" w:themeColor="accent3" w:themeShade="BF"/>
    </w:rPr>
    <w:tblPr>
      <w:tblStyleRowBandSize w:val="1"/>
      <w:tblStyleColBandSize w:val="1"/>
      <w:tblBorders>
        <w:top w:val="single" w:sz="8" w:space="0" w:color="8DC63F" w:themeColor="accent3"/>
        <w:bottom w:val="single" w:sz="8" w:space="0" w:color="8DC63F" w:themeColor="accent3"/>
      </w:tblBorders>
    </w:tblPr>
    <w:tblStylePr w:type="firstRow">
      <w:pPr>
        <w:spacing w:before="0" w:after="0" w:line="240" w:lineRule="auto"/>
      </w:pPr>
      <w:rPr>
        <w:b/>
        <w:bCs/>
      </w:rPr>
      <w:tblPr/>
      <w:tcPr>
        <w:tcBorders>
          <w:top w:val="single" w:sz="8" w:space="0" w:color="8DC63F" w:themeColor="accent3"/>
          <w:left w:val="nil"/>
          <w:bottom w:val="single" w:sz="8" w:space="0" w:color="8DC63F" w:themeColor="accent3"/>
          <w:right w:val="nil"/>
          <w:insideH w:val="nil"/>
          <w:insideV w:val="nil"/>
        </w:tcBorders>
      </w:tcPr>
    </w:tblStylePr>
    <w:tblStylePr w:type="lastRow">
      <w:pPr>
        <w:spacing w:before="0" w:after="0" w:line="240" w:lineRule="auto"/>
      </w:pPr>
      <w:rPr>
        <w:b/>
        <w:bCs/>
      </w:rPr>
      <w:tblPr/>
      <w:tcPr>
        <w:tcBorders>
          <w:top w:val="single" w:sz="8" w:space="0" w:color="8DC63F" w:themeColor="accent3"/>
          <w:left w:val="nil"/>
          <w:bottom w:val="single" w:sz="8" w:space="0" w:color="8DC6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3" w:themeFillTint="3F"/>
      </w:tcPr>
    </w:tblStylePr>
    <w:tblStylePr w:type="band1Horz">
      <w:tblPr/>
      <w:tcPr>
        <w:tcBorders>
          <w:left w:val="nil"/>
          <w:right w:val="nil"/>
          <w:insideH w:val="nil"/>
          <w:insideV w:val="nil"/>
        </w:tcBorders>
        <w:shd w:val="clear" w:color="auto" w:fill="E2F1CF" w:themeFill="accent3" w:themeFillTint="3F"/>
      </w:tcPr>
    </w:tblStylePr>
  </w:style>
  <w:style w:type="table" w:styleId="MediumShading1-Accent5">
    <w:name w:val="Medium Shading 1 Accent 5"/>
    <w:basedOn w:val="TableNormal"/>
    <w:uiPriority w:val="63"/>
    <w:rsid w:val="00F3253E"/>
    <w:tblPr>
      <w:tblStyleRowBandSize w:val="1"/>
      <w:tblStyleColBandSize w:val="1"/>
      <w:tblBorders>
        <w:top w:val="single" w:sz="8"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single" w:sz="8" w:space="0" w:color="67A6A8" w:themeColor="accent5" w:themeTint="BF"/>
      </w:tblBorders>
    </w:tblPr>
    <w:tblStylePr w:type="firstRow">
      <w:pPr>
        <w:spacing w:before="0" w:after="0" w:line="240" w:lineRule="auto"/>
      </w:pPr>
      <w:rPr>
        <w:b/>
        <w:bCs/>
        <w:color w:val="FFFFFF" w:themeColor="background1"/>
      </w:rPr>
      <w:tblPr/>
      <w:tcPr>
        <w:tcBorders>
          <w:top w:val="single" w:sz="8"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nil"/>
          <w:insideV w:val="nil"/>
        </w:tcBorders>
        <w:shd w:val="clear" w:color="auto" w:fill="46797A" w:themeFill="accent5"/>
      </w:tcPr>
    </w:tblStylePr>
    <w:tblStylePr w:type="lastRow">
      <w:pPr>
        <w:spacing w:before="0" w:after="0" w:line="240" w:lineRule="auto"/>
      </w:pPr>
      <w:rPr>
        <w:b/>
        <w:bCs/>
      </w:rPr>
      <w:tblPr/>
      <w:tcPr>
        <w:tcBorders>
          <w:top w:val="double" w:sz="6"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1E2" w:themeFill="accent5" w:themeFillTint="3F"/>
      </w:tcPr>
    </w:tblStylePr>
    <w:tblStylePr w:type="band1Horz">
      <w:tblPr/>
      <w:tcPr>
        <w:tcBorders>
          <w:insideH w:val="nil"/>
          <w:insideV w:val="nil"/>
        </w:tcBorders>
        <w:shd w:val="clear" w:color="auto" w:fill="CDE1E2"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F3253E"/>
    <w:tblPr>
      <w:tblStyleRowBandSize w:val="1"/>
      <w:tblStyleColBandSize w:val="1"/>
      <w:tblBorders>
        <w:top w:val="single" w:sz="8" w:space="0" w:color="488BC9" w:themeColor="accent1"/>
        <w:left w:val="single" w:sz="8" w:space="0" w:color="488BC9" w:themeColor="accent1"/>
        <w:bottom w:val="single" w:sz="8" w:space="0" w:color="488BC9" w:themeColor="accent1"/>
        <w:right w:val="single" w:sz="8" w:space="0" w:color="488BC9" w:themeColor="accent1"/>
      </w:tblBorders>
    </w:tblPr>
    <w:tblStylePr w:type="firstRow">
      <w:pPr>
        <w:spacing w:before="0" w:after="0" w:line="240" w:lineRule="auto"/>
      </w:pPr>
      <w:rPr>
        <w:b/>
        <w:bCs/>
        <w:color w:val="FFFFFF" w:themeColor="background1"/>
      </w:rPr>
      <w:tblPr/>
      <w:tcPr>
        <w:shd w:val="clear" w:color="auto" w:fill="488BC9" w:themeFill="accent1"/>
      </w:tcPr>
    </w:tblStylePr>
    <w:tblStylePr w:type="lastRow">
      <w:pPr>
        <w:spacing w:before="0" w:after="0" w:line="240" w:lineRule="auto"/>
      </w:pPr>
      <w:rPr>
        <w:b/>
        <w:bCs/>
      </w:rPr>
      <w:tblPr/>
      <w:tcPr>
        <w:tcBorders>
          <w:top w:val="double" w:sz="6" w:space="0" w:color="488BC9" w:themeColor="accent1"/>
          <w:left w:val="single" w:sz="8" w:space="0" w:color="488BC9" w:themeColor="accent1"/>
          <w:bottom w:val="single" w:sz="8" w:space="0" w:color="488BC9" w:themeColor="accent1"/>
          <w:right w:val="single" w:sz="8" w:space="0" w:color="488BC9" w:themeColor="accent1"/>
        </w:tcBorders>
      </w:tcPr>
    </w:tblStylePr>
    <w:tblStylePr w:type="firstCol">
      <w:rPr>
        <w:b/>
        <w:bCs/>
      </w:rPr>
    </w:tblStylePr>
    <w:tblStylePr w:type="lastCol">
      <w:rPr>
        <w:b/>
        <w:bCs/>
      </w:rPr>
    </w:tblStylePr>
    <w:tblStylePr w:type="band1Vert">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tblStylePr w:type="band1Horz">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style>
  <w:style w:type="table" w:styleId="MediumShading1-Accent1">
    <w:name w:val="Medium Shading 1 Accent 1"/>
    <w:basedOn w:val="TableNormal"/>
    <w:uiPriority w:val="63"/>
    <w:rsid w:val="00F3253E"/>
    <w:tblPr>
      <w:tblStyleRowBandSize w:val="1"/>
      <w:tblStyleColBandSize w:val="1"/>
      <w:tbl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single" w:sz="8" w:space="0" w:color="75A7D6" w:themeColor="accent1" w:themeTint="BF"/>
      </w:tblBorders>
    </w:tblPr>
    <w:tblStylePr w:type="firstRow">
      <w:pPr>
        <w:spacing w:before="0" w:after="0" w:line="240" w:lineRule="auto"/>
      </w:pPr>
      <w:rPr>
        <w:b/>
        <w:bCs/>
        <w:color w:val="FFFFFF" w:themeColor="background1"/>
      </w:rPr>
      <w:tblPr/>
      <w:tcPr>
        <w:tc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shd w:val="clear" w:color="auto" w:fill="488BC9" w:themeFill="accent1"/>
      </w:tcPr>
    </w:tblStylePr>
    <w:tblStylePr w:type="lastRow">
      <w:pPr>
        <w:spacing w:before="0" w:after="0" w:line="240" w:lineRule="auto"/>
      </w:pPr>
      <w:rPr>
        <w:b/>
        <w:bCs/>
      </w:rPr>
      <w:tblPr/>
      <w:tcPr>
        <w:tcBorders>
          <w:top w:val="double" w:sz="6"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E2F1" w:themeFill="accent1" w:themeFillTint="3F"/>
      </w:tcPr>
    </w:tblStylePr>
    <w:tblStylePr w:type="band1Horz">
      <w:tblPr/>
      <w:tcPr>
        <w:tcBorders>
          <w:insideH w:val="nil"/>
          <w:insideV w:val="nil"/>
        </w:tcBorders>
        <w:shd w:val="clear" w:color="auto" w:fill="D1E2F1" w:themeFill="accent1" w:themeFillTint="3F"/>
      </w:tcPr>
    </w:tblStylePr>
    <w:tblStylePr w:type="band2Horz">
      <w:tblPr/>
      <w:tcPr>
        <w:tcBorders>
          <w:insideH w:val="nil"/>
          <w:insideV w:val="nil"/>
        </w:tcBorders>
      </w:tcPr>
    </w:tblStylePr>
  </w:style>
  <w:style w:type="table" w:styleId="MediumList1-Accent1">
    <w:name w:val="Medium List 1 Accent 1"/>
    <w:basedOn w:val="TableNormal"/>
    <w:uiPriority w:val="65"/>
    <w:rsid w:val="00F3253E"/>
    <w:rPr>
      <w:color w:val="5C6670" w:themeColor="text1"/>
    </w:rPr>
    <w:tblPr>
      <w:tblStyleRowBandSize w:val="1"/>
      <w:tblStyleColBandSize w:val="1"/>
      <w:tblBorders>
        <w:top w:val="single" w:sz="8" w:space="0" w:color="488BC9" w:themeColor="accent1"/>
        <w:bottom w:val="single" w:sz="8" w:space="0" w:color="488BC9" w:themeColor="accent1"/>
      </w:tblBorders>
    </w:tblPr>
    <w:tblStylePr w:type="firstRow">
      <w:rPr>
        <w:rFonts w:asciiTheme="majorHAnsi" w:eastAsiaTheme="majorEastAsia" w:hAnsiTheme="majorHAnsi" w:cstheme="majorBidi"/>
      </w:rPr>
      <w:tblPr/>
      <w:tcPr>
        <w:tcBorders>
          <w:top w:val="nil"/>
          <w:bottom w:val="single" w:sz="8" w:space="0" w:color="488BC9" w:themeColor="accent1"/>
        </w:tcBorders>
      </w:tcPr>
    </w:tblStylePr>
    <w:tblStylePr w:type="lastRow">
      <w:rPr>
        <w:b/>
        <w:bCs/>
        <w:color w:val="8FC6E8" w:themeColor="text2"/>
      </w:rPr>
      <w:tblPr/>
      <w:tcPr>
        <w:tcBorders>
          <w:top w:val="single" w:sz="8" w:space="0" w:color="488BC9" w:themeColor="accent1"/>
          <w:bottom w:val="single" w:sz="8" w:space="0" w:color="488BC9" w:themeColor="accent1"/>
        </w:tcBorders>
      </w:tcPr>
    </w:tblStylePr>
    <w:tblStylePr w:type="firstCol">
      <w:rPr>
        <w:b/>
        <w:bCs/>
      </w:rPr>
    </w:tblStylePr>
    <w:tblStylePr w:type="lastCol">
      <w:rPr>
        <w:b/>
        <w:bCs/>
      </w:rPr>
      <w:tblPr/>
      <w:tcPr>
        <w:tcBorders>
          <w:top w:val="single" w:sz="8" w:space="0" w:color="488BC9" w:themeColor="accent1"/>
          <w:bottom w:val="single" w:sz="8" w:space="0" w:color="488BC9" w:themeColor="accent1"/>
        </w:tcBorders>
      </w:tcPr>
    </w:tblStylePr>
    <w:tblStylePr w:type="band1Vert">
      <w:tblPr/>
      <w:tcPr>
        <w:shd w:val="clear" w:color="auto" w:fill="D1E2F1" w:themeFill="accent1" w:themeFillTint="3F"/>
      </w:tcPr>
    </w:tblStylePr>
    <w:tblStylePr w:type="band1Horz">
      <w:tblPr/>
      <w:tcPr>
        <w:shd w:val="clear" w:color="auto" w:fill="D1E2F1" w:themeFill="accent1" w:themeFillTint="3F"/>
      </w:tcPr>
    </w:tblStylePr>
  </w:style>
  <w:style w:type="table" w:styleId="MediumGrid3-Accent1">
    <w:name w:val="Medium Grid 3 Accent 1"/>
    <w:basedOn w:val="TableNormal"/>
    <w:uiPriority w:val="69"/>
    <w:rsid w:val="00F325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8BC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8BC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8BC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8BC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4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4E4" w:themeFill="accent1" w:themeFillTint="7F"/>
      </w:tcPr>
    </w:tblStylePr>
  </w:style>
  <w:style w:type="table" w:styleId="LightShading-Accent1">
    <w:name w:val="Light Shading Accent 1"/>
    <w:basedOn w:val="TableNormal"/>
    <w:uiPriority w:val="60"/>
    <w:rsid w:val="00F3253E"/>
    <w:rPr>
      <w:color w:val="2E689D" w:themeColor="accent1" w:themeShade="BF"/>
    </w:rPr>
    <w:tblPr>
      <w:tblStyleRowBandSize w:val="1"/>
      <w:tblStyleColBandSize w:val="1"/>
      <w:tblBorders>
        <w:top w:val="single" w:sz="8" w:space="0" w:color="488BC9" w:themeColor="accent1"/>
        <w:bottom w:val="single" w:sz="8" w:space="0" w:color="488BC9" w:themeColor="accent1"/>
      </w:tblBorders>
    </w:tblPr>
    <w:tblStylePr w:type="fir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la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2F1" w:themeFill="accent1" w:themeFillTint="3F"/>
      </w:tcPr>
    </w:tblStylePr>
    <w:tblStylePr w:type="band1Horz">
      <w:tblPr/>
      <w:tcPr>
        <w:tcBorders>
          <w:left w:val="nil"/>
          <w:right w:val="nil"/>
          <w:insideH w:val="nil"/>
          <w:insideV w:val="nil"/>
        </w:tcBorders>
        <w:shd w:val="clear" w:color="auto" w:fill="D1E2F1" w:themeFill="accent1" w:themeFillTint="3F"/>
      </w:tcPr>
    </w:tblStylePr>
  </w:style>
  <w:style w:type="paragraph" w:styleId="ListParagraph">
    <w:name w:val="List Paragraph"/>
    <w:basedOn w:val="Normal"/>
    <w:uiPriority w:val="34"/>
    <w:qFormat/>
    <w:rsid w:val="001B4DBB"/>
    <w:pPr>
      <w:ind w:left="720"/>
      <w:contextualSpacing/>
    </w:pPr>
  </w:style>
  <w:style w:type="table" w:styleId="MediumList1-Accent6">
    <w:name w:val="Medium List 1 Accent 6"/>
    <w:basedOn w:val="TableNormal"/>
    <w:uiPriority w:val="65"/>
    <w:rsid w:val="00694E5C"/>
    <w:rPr>
      <w:color w:val="5C6670" w:themeColor="text1"/>
    </w:rPr>
    <w:tblPr>
      <w:tblStyleRowBandSize w:val="1"/>
      <w:tblStyleColBandSize w:val="1"/>
      <w:tblBorders>
        <w:top w:val="single" w:sz="8" w:space="0" w:color="EF7521" w:themeColor="accent6"/>
        <w:bottom w:val="single" w:sz="8" w:space="0" w:color="EF7521" w:themeColor="accent6"/>
      </w:tblBorders>
    </w:tblPr>
    <w:tblStylePr w:type="firstRow">
      <w:rPr>
        <w:rFonts w:asciiTheme="majorHAnsi" w:eastAsiaTheme="majorEastAsia" w:hAnsiTheme="majorHAnsi" w:cstheme="majorBidi"/>
      </w:rPr>
      <w:tblPr/>
      <w:tcPr>
        <w:tcBorders>
          <w:top w:val="nil"/>
          <w:bottom w:val="single" w:sz="8" w:space="0" w:color="EF7521" w:themeColor="accent6"/>
        </w:tcBorders>
      </w:tcPr>
    </w:tblStylePr>
    <w:tblStylePr w:type="lastRow">
      <w:rPr>
        <w:b/>
        <w:bCs/>
        <w:color w:val="8FC6E8" w:themeColor="text2"/>
      </w:rPr>
      <w:tblPr/>
      <w:tcPr>
        <w:tcBorders>
          <w:top w:val="single" w:sz="8" w:space="0" w:color="EF7521" w:themeColor="accent6"/>
          <w:bottom w:val="single" w:sz="8" w:space="0" w:color="EF7521" w:themeColor="accent6"/>
        </w:tcBorders>
      </w:tcPr>
    </w:tblStylePr>
    <w:tblStylePr w:type="firstCol">
      <w:rPr>
        <w:b/>
        <w:bCs/>
      </w:rPr>
    </w:tblStylePr>
    <w:tblStylePr w:type="lastCol">
      <w:rPr>
        <w:b/>
        <w:bCs/>
      </w:rPr>
      <w:tblPr/>
      <w:tcPr>
        <w:tcBorders>
          <w:top w:val="single" w:sz="8" w:space="0" w:color="EF7521" w:themeColor="accent6"/>
          <w:bottom w:val="single" w:sz="8" w:space="0" w:color="EF7521" w:themeColor="accent6"/>
        </w:tcBorders>
      </w:tcPr>
    </w:tblStylePr>
    <w:tblStylePr w:type="band1Vert">
      <w:tblPr/>
      <w:tcPr>
        <w:shd w:val="clear" w:color="auto" w:fill="FBDCC7" w:themeFill="accent6" w:themeFillTint="3F"/>
      </w:tcPr>
    </w:tblStylePr>
    <w:tblStylePr w:type="band1Horz">
      <w:tblPr/>
      <w:tcPr>
        <w:shd w:val="clear" w:color="auto" w:fill="FBDCC7" w:themeFill="accent6" w:themeFillTint="3F"/>
      </w:tcPr>
    </w:tblStylePr>
  </w:style>
  <w:style w:type="character" w:styleId="Hyperlink">
    <w:name w:val="Hyperlink"/>
    <w:basedOn w:val="DefaultParagraphFont"/>
    <w:uiPriority w:val="99"/>
    <w:rsid w:val="00A33024"/>
    <w:rPr>
      <w:color w:val="0000FF"/>
      <w:u w:val="single"/>
    </w:rPr>
  </w:style>
  <w:style w:type="character" w:styleId="EndnoteReference">
    <w:name w:val="endnote reference"/>
    <w:basedOn w:val="DefaultParagraphFont"/>
    <w:semiHidden/>
    <w:rsid w:val="002A06C6"/>
    <w:rPr>
      <w:vertAlign w:val="superscript"/>
    </w:rPr>
  </w:style>
  <w:style w:type="paragraph" w:styleId="EndnoteText">
    <w:name w:val="endnote text"/>
    <w:basedOn w:val="Normal"/>
    <w:link w:val="EndnoteTextChar"/>
    <w:semiHidden/>
    <w:rsid w:val="00BD3D1B"/>
    <w:rPr>
      <w:rFonts w:eastAsia="Times New Roman" w:cs="Times New Roman"/>
      <w:szCs w:val="20"/>
    </w:rPr>
  </w:style>
  <w:style w:type="character" w:customStyle="1" w:styleId="EndnoteTextChar">
    <w:name w:val="Endnote Text Char"/>
    <w:basedOn w:val="DefaultParagraphFont"/>
    <w:link w:val="EndnoteText"/>
    <w:semiHidden/>
    <w:rsid w:val="00BD3D1B"/>
    <w:rPr>
      <w:rFonts w:ascii="Calibri" w:eastAsia="Times New Roman" w:hAnsi="Calibri" w:cs="Times New Roman"/>
      <w:sz w:val="22"/>
      <w:szCs w:val="20"/>
    </w:rPr>
  </w:style>
  <w:style w:type="paragraph" w:styleId="BodyText">
    <w:name w:val="Body Text"/>
    <w:aliases w:val="Body Text Calibri"/>
    <w:basedOn w:val="Normal"/>
    <w:link w:val="BodyTextChar"/>
    <w:uiPriority w:val="99"/>
    <w:unhideWhenUsed/>
    <w:rsid w:val="00963908"/>
    <w:pPr>
      <w:spacing w:after="100" w:afterAutospacing="1"/>
    </w:pPr>
  </w:style>
  <w:style w:type="character" w:customStyle="1" w:styleId="BodyTextChar">
    <w:name w:val="Body Text Char"/>
    <w:aliases w:val="Body Text Calibri Char"/>
    <w:basedOn w:val="DefaultParagraphFont"/>
    <w:link w:val="BodyText"/>
    <w:uiPriority w:val="99"/>
    <w:rsid w:val="00963908"/>
    <w:rPr>
      <w:rFonts w:ascii="Calibri" w:hAnsi="Calibri"/>
      <w:sz w:val="22"/>
    </w:rPr>
  </w:style>
  <w:style w:type="table" w:styleId="TableWeb1">
    <w:name w:val="Table Web 1"/>
    <w:basedOn w:val="TableNormal"/>
    <w:rsid w:val="00FE3740"/>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ummary">
    <w:name w:val="Summary"/>
    <w:basedOn w:val="Normal"/>
    <w:next w:val="Normal"/>
    <w:autoRedefine/>
    <w:qFormat/>
    <w:rsid w:val="00963908"/>
    <w:pPr>
      <w:spacing w:line="300" w:lineRule="auto"/>
    </w:pPr>
    <w:rPr>
      <w:szCs w:val="36"/>
    </w:rPr>
  </w:style>
  <w:style w:type="table" w:styleId="ColorfulShading-Accent1">
    <w:name w:val="Colorful Shading Accent 1"/>
    <w:basedOn w:val="TableNormal"/>
    <w:uiPriority w:val="71"/>
    <w:rsid w:val="00FE3740"/>
    <w:rPr>
      <w:color w:val="5C6670" w:themeColor="text1"/>
    </w:rPr>
    <w:tblPr>
      <w:tblStyleRowBandSize w:val="1"/>
      <w:tblStyleColBandSize w:val="1"/>
      <w:tblBorders>
        <w:top w:val="single" w:sz="24" w:space="0" w:color="FFC846" w:themeColor="accent2"/>
        <w:left w:val="single" w:sz="4" w:space="0" w:color="488BC9" w:themeColor="accent1"/>
        <w:bottom w:val="single" w:sz="4" w:space="0" w:color="488BC9" w:themeColor="accent1"/>
        <w:right w:val="single" w:sz="4" w:space="0" w:color="488BC9" w:themeColor="accent1"/>
        <w:insideH w:val="single" w:sz="4" w:space="0" w:color="FFFFFF" w:themeColor="background1"/>
        <w:insideV w:val="single" w:sz="4" w:space="0" w:color="FFFFFF" w:themeColor="background1"/>
      </w:tblBorders>
    </w:tblPr>
    <w:tcPr>
      <w:shd w:val="clear" w:color="auto" w:fill="ECF3F9" w:themeFill="accent1" w:themeFillTint="19"/>
    </w:tcPr>
    <w:tblStylePr w:type="firstRow">
      <w:rPr>
        <w:b/>
        <w:bCs/>
      </w:rPr>
      <w:tblPr/>
      <w:tcPr>
        <w:tcBorders>
          <w:top w:val="nil"/>
          <w:left w:val="nil"/>
          <w:bottom w:val="single" w:sz="24" w:space="0" w:color="FFC84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37E" w:themeFill="accent1" w:themeFillShade="99"/>
      </w:tcPr>
    </w:tblStylePr>
    <w:tblStylePr w:type="firstCol">
      <w:rPr>
        <w:color w:val="FFFFFF" w:themeColor="background1"/>
      </w:rPr>
      <w:tblPr/>
      <w:tcPr>
        <w:tcBorders>
          <w:top w:val="nil"/>
          <w:left w:val="nil"/>
          <w:bottom w:val="nil"/>
          <w:right w:val="nil"/>
          <w:insideH w:val="single" w:sz="4" w:space="0" w:color="25537E" w:themeColor="accent1" w:themeShade="99"/>
          <w:insideV w:val="nil"/>
        </w:tcBorders>
        <w:shd w:val="clear" w:color="auto" w:fill="25537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37E" w:themeFill="accent1" w:themeFillShade="99"/>
      </w:tcPr>
    </w:tblStylePr>
    <w:tblStylePr w:type="band1Vert">
      <w:tblPr/>
      <w:tcPr>
        <w:shd w:val="clear" w:color="auto" w:fill="B5D0E9" w:themeFill="accent1" w:themeFillTint="66"/>
      </w:tcPr>
    </w:tblStylePr>
    <w:tblStylePr w:type="band1Horz">
      <w:tblPr/>
      <w:tcPr>
        <w:shd w:val="clear" w:color="auto" w:fill="A3C4E4" w:themeFill="accent1" w:themeFillTint="7F"/>
      </w:tcPr>
    </w:tblStylePr>
    <w:tblStylePr w:type="neCell">
      <w:rPr>
        <w:color w:val="5C6670" w:themeColor="text1"/>
      </w:rPr>
    </w:tblStylePr>
    <w:tblStylePr w:type="nwCell">
      <w:rPr>
        <w:color w:val="5C6670" w:themeColor="text1"/>
      </w:rPr>
    </w:tblStylePr>
  </w:style>
  <w:style w:type="character" w:customStyle="1" w:styleId="apple-style-span">
    <w:name w:val="apple-style-span"/>
    <w:basedOn w:val="DefaultParagraphFont"/>
    <w:rsid w:val="002D6844"/>
  </w:style>
  <w:style w:type="paragraph" w:customStyle="1" w:styleId="SummaryHeadline">
    <w:name w:val="Summary Headline"/>
    <w:basedOn w:val="Heading1"/>
    <w:autoRedefine/>
    <w:qFormat/>
    <w:rsid w:val="00A44BC2"/>
    <w:pPr>
      <w:pBdr>
        <w:bottom w:val="single" w:sz="8" w:space="1" w:color="9AA3AC" w:themeColor="text1" w:themeTint="99"/>
      </w:pBdr>
      <w:spacing w:before="0" w:after="60"/>
    </w:pPr>
    <w:rPr>
      <w:b/>
      <w:sz w:val="32"/>
      <w:szCs w:val="32"/>
    </w:rPr>
  </w:style>
  <w:style w:type="paragraph" w:customStyle="1" w:styleId="SubheadTrebuchet">
    <w:name w:val="Subhead Trebuchet"/>
    <w:basedOn w:val="Normal"/>
    <w:next w:val="Normal"/>
    <w:autoRedefine/>
    <w:qFormat/>
    <w:rsid w:val="003A617A"/>
    <w:pPr>
      <w:spacing w:before="120" w:after="60"/>
    </w:pPr>
    <w:rPr>
      <w:rFonts w:ascii="Trebuchet MS" w:hAnsi="Trebuchet MS"/>
      <w:b/>
      <w:sz w:val="24"/>
    </w:rPr>
  </w:style>
  <w:style w:type="paragraph" w:customStyle="1" w:styleId="PullQuote">
    <w:name w:val="Pull Quote"/>
    <w:basedOn w:val="Normal"/>
    <w:autoRedefine/>
    <w:qFormat/>
    <w:rsid w:val="007B622A"/>
    <w:pPr>
      <w:spacing w:line="300" w:lineRule="auto"/>
      <w:jc w:val="center"/>
    </w:pPr>
    <w:rPr>
      <w:rFonts w:ascii="Museo Slab 500" w:hAnsi="Museo Slab 500"/>
      <w:iCs/>
      <w:color w:val="9AA3AC" w:themeColor="text1" w:themeTint="99"/>
      <w:sz w:val="24"/>
    </w:rPr>
  </w:style>
  <w:style w:type="paragraph" w:customStyle="1" w:styleId="Table">
    <w:name w:val="Table"/>
    <w:basedOn w:val="Normal"/>
    <w:qFormat/>
    <w:rsid w:val="00CF394B"/>
    <w:pPr>
      <w:framePr w:hSpace="180" w:wrap="around" w:vAnchor="page" w:hAnchor="page" w:x="1189" w:y="3909"/>
    </w:pPr>
    <w:rPr>
      <w:b/>
      <w:bCs/>
      <w:color w:val="5C6670" w:themeColor="text1"/>
    </w:rPr>
  </w:style>
  <w:style w:type="table" w:styleId="LightShading">
    <w:name w:val="Light Shading"/>
    <w:basedOn w:val="TableNormal"/>
    <w:uiPriority w:val="60"/>
    <w:rsid w:val="00652F3D"/>
    <w:rPr>
      <w:color w:val="454C53" w:themeColor="text1" w:themeShade="BF"/>
    </w:rPr>
    <w:tblPr>
      <w:tblStyleRowBandSize w:val="1"/>
      <w:tblStyleColBandSize w:val="1"/>
      <w:tblBorders>
        <w:top w:val="single" w:sz="8" w:space="0" w:color="5C6670" w:themeColor="text1"/>
        <w:bottom w:val="single" w:sz="8" w:space="0" w:color="5C6670" w:themeColor="text1"/>
      </w:tblBorders>
    </w:tblPr>
    <w:tblStylePr w:type="fir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la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D" w:themeFill="text1" w:themeFillTint="3F"/>
      </w:tcPr>
    </w:tblStylePr>
    <w:tblStylePr w:type="band1Horz">
      <w:tblPr/>
      <w:tcPr>
        <w:tcBorders>
          <w:left w:val="nil"/>
          <w:right w:val="nil"/>
          <w:insideH w:val="nil"/>
          <w:insideV w:val="nil"/>
        </w:tcBorders>
        <w:shd w:val="clear" w:color="auto" w:fill="D5D9DD" w:themeFill="text1" w:themeFillTint="3F"/>
      </w:tcPr>
    </w:tblStylePr>
  </w:style>
  <w:style w:type="character" w:customStyle="1" w:styleId="TableReference">
    <w:name w:val="Table Reference"/>
    <w:uiPriority w:val="1"/>
    <w:qFormat/>
    <w:rsid w:val="00175A64"/>
    <w:rPr>
      <w:rFonts w:ascii="Calibri" w:hAnsi="Calibri"/>
      <w:b/>
      <w:sz w:val="20"/>
      <w:szCs w:val="20"/>
    </w:rPr>
  </w:style>
  <w:style w:type="paragraph" w:customStyle="1" w:styleId="BulletedLevel1">
    <w:name w:val="Bulleted Level 1"/>
    <w:basedOn w:val="Normal"/>
    <w:next w:val="Normal"/>
    <w:autoRedefine/>
    <w:qFormat/>
    <w:rsid w:val="009D295D"/>
    <w:pPr>
      <w:numPr>
        <w:numId w:val="1"/>
      </w:numPr>
      <w:spacing w:after="120"/>
    </w:pPr>
    <w:rPr>
      <w:szCs w:val="22"/>
    </w:rPr>
  </w:style>
  <w:style w:type="numbering" w:customStyle="1" w:styleId="BulletedList2ndLevel">
    <w:name w:val="Bulleted List 2nd Level"/>
    <w:basedOn w:val="NoList"/>
    <w:uiPriority w:val="99"/>
    <w:rsid w:val="00546F89"/>
    <w:pPr>
      <w:numPr>
        <w:numId w:val="2"/>
      </w:numPr>
    </w:pPr>
  </w:style>
  <w:style w:type="paragraph" w:customStyle="1" w:styleId="Endnotes">
    <w:name w:val="Endnotes"/>
    <w:basedOn w:val="Normal"/>
    <w:qFormat/>
    <w:rsid w:val="00546F89"/>
    <w:rPr>
      <w:rFonts w:asciiTheme="majorHAnsi" w:hAnsiTheme="majorHAnsi"/>
      <w:sz w:val="18"/>
      <w:szCs w:val="18"/>
    </w:rPr>
  </w:style>
  <w:style w:type="paragraph" w:customStyle="1" w:styleId="TableofContentsTitle">
    <w:name w:val="Table of Contents Title"/>
    <w:basedOn w:val="Summary"/>
    <w:next w:val="TOC1"/>
    <w:autoRedefine/>
    <w:qFormat/>
    <w:rsid w:val="00E97BC2"/>
    <w:pPr>
      <w:spacing w:after="240"/>
    </w:pPr>
    <w:rPr>
      <w:rFonts w:ascii="Museo Slab 500" w:hAnsi="Museo Slab 500"/>
      <w:color w:val="5C6670" w:themeColor="text1"/>
      <w:sz w:val="36"/>
    </w:rPr>
  </w:style>
  <w:style w:type="paragraph" w:styleId="TOC2">
    <w:name w:val="toc 2"/>
    <w:basedOn w:val="SubheadTrebuchet"/>
    <w:next w:val="TOC3"/>
    <w:autoRedefine/>
    <w:uiPriority w:val="39"/>
    <w:unhideWhenUsed/>
    <w:rsid w:val="00DE2217"/>
    <w:pPr>
      <w:tabs>
        <w:tab w:val="right" w:pos="7200"/>
      </w:tabs>
      <w:spacing w:after="120"/>
    </w:pPr>
    <w:rPr>
      <w:b w:val="0"/>
      <w:sz w:val="20"/>
    </w:rPr>
  </w:style>
  <w:style w:type="paragraph" w:styleId="TOC1">
    <w:name w:val="toc 1"/>
    <w:basedOn w:val="Heading1"/>
    <w:next w:val="SubheadTrebuchet"/>
    <w:autoRedefine/>
    <w:uiPriority w:val="39"/>
    <w:unhideWhenUsed/>
    <w:qFormat/>
    <w:rsid w:val="00DE2217"/>
    <w:pPr>
      <w:tabs>
        <w:tab w:val="right" w:pos="7200"/>
      </w:tabs>
      <w:spacing w:before="240" w:after="60"/>
    </w:pPr>
    <w:rPr>
      <w:sz w:val="24"/>
    </w:rPr>
  </w:style>
  <w:style w:type="paragraph" w:styleId="TOC4">
    <w:name w:val="toc 4"/>
    <w:basedOn w:val="TOC3"/>
    <w:next w:val="TOC5"/>
    <w:autoRedefine/>
    <w:uiPriority w:val="39"/>
    <w:semiHidden/>
    <w:unhideWhenUsed/>
    <w:qFormat/>
    <w:rsid w:val="00DE2217"/>
    <w:pPr>
      <w:ind w:left="660"/>
    </w:pPr>
  </w:style>
  <w:style w:type="paragraph" w:styleId="TOC3">
    <w:name w:val="toc 3"/>
    <w:basedOn w:val="TOC2"/>
    <w:next w:val="Normal"/>
    <w:autoRedefine/>
    <w:uiPriority w:val="39"/>
    <w:unhideWhenUsed/>
    <w:rsid w:val="00175A64"/>
    <w:pPr>
      <w:spacing w:after="100"/>
      <w:ind w:left="440"/>
    </w:pPr>
  </w:style>
  <w:style w:type="paragraph" w:styleId="TOC5">
    <w:name w:val="toc 5"/>
    <w:basedOn w:val="Normal"/>
    <w:next w:val="Normal"/>
    <w:autoRedefine/>
    <w:uiPriority w:val="39"/>
    <w:semiHidden/>
    <w:unhideWhenUsed/>
    <w:rsid w:val="00DE2217"/>
    <w:pPr>
      <w:spacing w:after="100"/>
      <w:ind w:left="880"/>
    </w:pPr>
  </w:style>
  <w:style w:type="character" w:customStyle="1" w:styleId="Heading3Char">
    <w:name w:val="Heading 3 Char"/>
    <w:basedOn w:val="DefaultParagraphFont"/>
    <w:link w:val="Heading3"/>
    <w:uiPriority w:val="9"/>
    <w:semiHidden/>
    <w:rsid w:val="0030192B"/>
    <w:rPr>
      <w:rFonts w:asciiTheme="majorHAnsi" w:eastAsiaTheme="majorEastAsia" w:hAnsiTheme="majorHAnsi" w:cstheme="majorBidi"/>
      <w:b/>
      <w:bCs/>
      <w:sz w:val="20"/>
    </w:rPr>
  </w:style>
  <w:style w:type="character" w:styleId="SubtleEmphasis">
    <w:name w:val="Subtle Emphasis"/>
    <w:basedOn w:val="DefaultParagraphFont"/>
    <w:uiPriority w:val="19"/>
    <w:qFormat/>
    <w:rsid w:val="0030192B"/>
    <w:rPr>
      <w:i/>
      <w:iCs/>
      <w:color w:val="auto"/>
    </w:rPr>
  </w:style>
  <w:style w:type="character" w:styleId="IntenseEmphasis">
    <w:name w:val="Intense Emphasis"/>
    <w:basedOn w:val="DefaultParagraphFont"/>
    <w:uiPriority w:val="21"/>
    <w:qFormat/>
    <w:rsid w:val="0030192B"/>
    <w:rPr>
      <w:b/>
      <w:bCs/>
      <w:i/>
      <w:iCs/>
      <w:color w:val="auto"/>
    </w:rPr>
  </w:style>
  <w:style w:type="paragraph" w:styleId="Quote">
    <w:name w:val="Quote"/>
    <w:basedOn w:val="Normal"/>
    <w:next w:val="Normal"/>
    <w:link w:val="QuoteChar"/>
    <w:uiPriority w:val="29"/>
    <w:qFormat/>
    <w:rsid w:val="0030192B"/>
    <w:rPr>
      <w:i/>
      <w:iCs/>
    </w:rPr>
  </w:style>
  <w:style w:type="character" w:customStyle="1" w:styleId="QuoteChar">
    <w:name w:val="Quote Char"/>
    <w:basedOn w:val="DefaultParagraphFont"/>
    <w:link w:val="Quote"/>
    <w:uiPriority w:val="29"/>
    <w:rsid w:val="0030192B"/>
    <w:rPr>
      <w:rFonts w:ascii="Palatino Linotype" w:hAnsi="Palatino Linotype"/>
      <w:i/>
      <w:iCs/>
      <w:sz w:val="20"/>
    </w:rPr>
  </w:style>
  <w:style w:type="paragraph" w:styleId="IntenseQuote">
    <w:name w:val="Intense Quote"/>
    <w:basedOn w:val="Normal"/>
    <w:next w:val="Normal"/>
    <w:link w:val="IntenseQuoteChar"/>
    <w:uiPriority w:val="30"/>
    <w:qFormat/>
    <w:rsid w:val="0030192B"/>
    <w:pPr>
      <w:pBdr>
        <w:bottom w:val="single" w:sz="4" w:space="4" w:color="488BC9"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92B"/>
    <w:rPr>
      <w:rFonts w:ascii="Palatino Linotype" w:hAnsi="Palatino Linotype"/>
      <w:b/>
      <w:bCs/>
      <w:i/>
      <w:iCs/>
      <w:sz w:val="20"/>
    </w:rPr>
  </w:style>
  <w:style w:type="character" w:styleId="SubtleReference">
    <w:name w:val="Subtle Reference"/>
    <w:basedOn w:val="DefaultParagraphFont"/>
    <w:uiPriority w:val="31"/>
    <w:qFormat/>
    <w:rsid w:val="0030192B"/>
    <w:rPr>
      <w:smallCaps/>
      <w:color w:val="auto"/>
      <w:u w:val="single"/>
    </w:rPr>
  </w:style>
  <w:style w:type="paragraph" w:styleId="TOCHeading">
    <w:name w:val="TOC Heading"/>
    <w:basedOn w:val="Heading1"/>
    <w:next w:val="Normal"/>
    <w:uiPriority w:val="39"/>
    <w:semiHidden/>
    <w:unhideWhenUsed/>
    <w:qFormat/>
    <w:rsid w:val="00BD3D1B"/>
    <w:pPr>
      <w:keepNext/>
      <w:keepLines/>
      <w:pBdr>
        <w:bottom w:val="none" w:sz="0" w:space="0" w:color="auto"/>
      </w:pBdr>
      <w:tabs>
        <w:tab w:val="clear" w:pos="90"/>
      </w:tabs>
      <w:spacing w:before="480"/>
      <w:outlineLvl w:val="9"/>
    </w:pPr>
    <w:rPr>
      <w:rFonts w:asciiTheme="majorHAnsi" w:eastAsiaTheme="majorEastAsia" w:hAnsiTheme="majorHAnsi" w:cstheme="majorBidi"/>
      <w:b/>
      <w:sz w:val="32"/>
      <w:szCs w:val="32"/>
    </w:rPr>
  </w:style>
  <w:style w:type="paragraph" w:customStyle="1" w:styleId="CompanyInfo">
    <w:name w:val="Company Info"/>
    <w:basedOn w:val="Normal"/>
    <w:qFormat/>
    <w:rsid w:val="003F0927"/>
    <w:pPr>
      <w:spacing w:before="300" w:line="360" w:lineRule="auto"/>
      <w:contextualSpacing/>
      <w:jc w:val="center"/>
    </w:pPr>
    <w:rPr>
      <w:rFonts w:ascii="Palatino Linotype" w:eastAsiaTheme="minorHAnsi" w:hAnsi="Palatino Linotype"/>
      <w:sz w:val="20"/>
      <w:szCs w:val="18"/>
    </w:rPr>
  </w:style>
  <w:style w:type="table" w:customStyle="1" w:styleId="LightList-Accent11">
    <w:name w:val="Light List - Accent 11"/>
    <w:basedOn w:val="TableNormal"/>
    <w:uiPriority w:val="61"/>
    <w:rsid w:val="003F0927"/>
    <w:tblPr>
      <w:tblStyleRowBandSize w:val="1"/>
      <w:tblStyleColBandSize w:val="1"/>
      <w:tblBorders>
        <w:top w:val="single" w:sz="8" w:space="0" w:color="488BC9" w:themeColor="accent1"/>
        <w:left w:val="single" w:sz="8" w:space="0" w:color="488BC9" w:themeColor="accent1"/>
        <w:bottom w:val="single" w:sz="8" w:space="0" w:color="488BC9" w:themeColor="accent1"/>
        <w:right w:val="single" w:sz="8" w:space="0" w:color="488BC9" w:themeColor="accent1"/>
      </w:tblBorders>
    </w:tblPr>
    <w:tblStylePr w:type="firstRow">
      <w:pPr>
        <w:spacing w:before="0" w:after="0" w:line="240" w:lineRule="auto"/>
      </w:pPr>
      <w:rPr>
        <w:b/>
        <w:bCs/>
        <w:color w:val="FFFFFF" w:themeColor="background1"/>
      </w:rPr>
      <w:tblPr/>
      <w:tcPr>
        <w:shd w:val="clear" w:color="auto" w:fill="488BC9" w:themeFill="accent1"/>
      </w:tcPr>
    </w:tblStylePr>
    <w:tblStylePr w:type="lastRow">
      <w:pPr>
        <w:spacing w:before="0" w:after="0" w:line="240" w:lineRule="auto"/>
      </w:pPr>
      <w:rPr>
        <w:b/>
        <w:bCs/>
      </w:rPr>
      <w:tblPr/>
      <w:tcPr>
        <w:tcBorders>
          <w:top w:val="double" w:sz="6" w:space="0" w:color="488BC9" w:themeColor="accent1"/>
          <w:left w:val="single" w:sz="8" w:space="0" w:color="488BC9" w:themeColor="accent1"/>
          <w:bottom w:val="single" w:sz="8" w:space="0" w:color="488BC9" w:themeColor="accent1"/>
          <w:right w:val="single" w:sz="8" w:space="0" w:color="488BC9" w:themeColor="accent1"/>
        </w:tcBorders>
      </w:tcPr>
    </w:tblStylePr>
    <w:tblStylePr w:type="firstCol">
      <w:rPr>
        <w:b/>
        <w:bCs/>
      </w:rPr>
    </w:tblStylePr>
    <w:tblStylePr w:type="lastCol">
      <w:rPr>
        <w:b/>
        <w:bCs/>
      </w:rPr>
    </w:tblStylePr>
    <w:tblStylePr w:type="band1Vert">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tblStylePr w:type="band1Horz">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style>
  <w:style w:type="table" w:customStyle="1" w:styleId="MediumShading1-Accent11">
    <w:name w:val="Medium Shading 1 - Accent 11"/>
    <w:basedOn w:val="TableNormal"/>
    <w:uiPriority w:val="63"/>
    <w:rsid w:val="003F0927"/>
    <w:tblPr>
      <w:tblStyleRowBandSize w:val="1"/>
      <w:tblStyleColBandSize w:val="1"/>
      <w:tbl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single" w:sz="8" w:space="0" w:color="75A7D6" w:themeColor="accent1" w:themeTint="BF"/>
      </w:tblBorders>
    </w:tblPr>
    <w:tblStylePr w:type="firstRow">
      <w:pPr>
        <w:spacing w:before="0" w:after="0" w:line="240" w:lineRule="auto"/>
      </w:pPr>
      <w:rPr>
        <w:b/>
        <w:bCs/>
        <w:color w:val="FFFFFF" w:themeColor="background1"/>
      </w:rPr>
      <w:tblPr/>
      <w:tcPr>
        <w:tc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shd w:val="clear" w:color="auto" w:fill="488BC9" w:themeFill="accent1"/>
      </w:tcPr>
    </w:tblStylePr>
    <w:tblStylePr w:type="lastRow">
      <w:pPr>
        <w:spacing w:before="0" w:after="0" w:line="240" w:lineRule="auto"/>
      </w:pPr>
      <w:rPr>
        <w:b/>
        <w:bCs/>
      </w:rPr>
      <w:tblPr/>
      <w:tcPr>
        <w:tcBorders>
          <w:top w:val="double" w:sz="6"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E2F1" w:themeFill="accent1" w:themeFillTint="3F"/>
      </w:tcPr>
    </w:tblStylePr>
    <w:tblStylePr w:type="band1Horz">
      <w:tblPr/>
      <w:tcPr>
        <w:tcBorders>
          <w:insideH w:val="nil"/>
          <w:insideV w:val="nil"/>
        </w:tcBorders>
        <w:shd w:val="clear" w:color="auto" w:fill="D1E2F1" w:themeFill="accent1" w:themeFillTint="3F"/>
      </w:tcPr>
    </w:tblStylePr>
    <w:tblStylePr w:type="band2Horz">
      <w:tblPr/>
      <w:tcPr>
        <w:tcBorders>
          <w:insideH w:val="nil"/>
          <w:insideV w:val="nil"/>
        </w:tcBorders>
      </w:tcPr>
    </w:tblStylePr>
  </w:style>
  <w:style w:type="table" w:customStyle="1" w:styleId="MediumList1-Accent11">
    <w:name w:val="Medium List 1 - Accent 11"/>
    <w:basedOn w:val="TableNormal"/>
    <w:uiPriority w:val="65"/>
    <w:rsid w:val="003F0927"/>
    <w:rPr>
      <w:color w:val="5C6670" w:themeColor="text1"/>
    </w:rPr>
    <w:tblPr>
      <w:tblStyleRowBandSize w:val="1"/>
      <w:tblStyleColBandSize w:val="1"/>
      <w:tblBorders>
        <w:top w:val="single" w:sz="8" w:space="0" w:color="488BC9" w:themeColor="accent1"/>
        <w:bottom w:val="single" w:sz="8" w:space="0" w:color="488BC9" w:themeColor="accent1"/>
      </w:tblBorders>
    </w:tblPr>
    <w:tblStylePr w:type="firstRow">
      <w:rPr>
        <w:rFonts w:asciiTheme="majorHAnsi" w:eastAsiaTheme="majorEastAsia" w:hAnsiTheme="majorHAnsi" w:cstheme="majorBidi"/>
      </w:rPr>
      <w:tblPr/>
      <w:tcPr>
        <w:tcBorders>
          <w:top w:val="nil"/>
          <w:bottom w:val="single" w:sz="8" w:space="0" w:color="488BC9" w:themeColor="accent1"/>
        </w:tcBorders>
      </w:tcPr>
    </w:tblStylePr>
    <w:tblStylePr w:type="lastRow">
      <w:rPr>
        <w:b/>
        <w:bCs/>
        <w:color w:val="8FC6E8" w:themeColor="text2"/>
      </w:rPr>
      <w:tblPr/>
      <w:tcPr>
        <w:tcBorders>
          <w:top w:val="single" w:sz="8" w:space="0" w:color="488BC9" w:themeColor="accent1"/>
          <w:bottom w:val="single" w:sz="8" w:space="0" w:color="488BC9" w:themeColor="accent1"/>
        </w:tcBorders>
      </w:tcPr>
    </w:tblStylePr>
    <w:tblStylePr w:type="firstCol">
      <w:rPr>
        <w:b/>
        <w:bCs/>
      </w:rPr>
    </w:tblStylePr>
    <w:tblStylePr w:type="lastCol">
      <w:rPr>
        <w:b/>
        <w:bCs/>
      </w:rPr>
      <w:tblPr/>
      <w:tcPr>
        <w:tcBorders>
          <w:top w:val="single" w:sz="8" w:space="0" w:color="488BC9" w:themeColor="accent1"/>
          <w:bottom w:val="single" w:sz="8" w:space="0" w:color="488BC9" w:themeColor="accent1"/>
        </w:tcBorders>
      </w:tcPr>
    </w:tblStylePr>
    <w:tblStylePr w:type="band1Vert">
      <w:tblPr/>
      <w:tcPr>
        <w:shd w:val="clear" w:color="auto" w:fill="D1E2F1" w:themeFill="accent1" w:themeFillTint="3F"/>
      </w:tcPr>
    </w:tblStylePr>
    <w:tblStylePr w:type="band1Horz">
      <w:tblPr/>
      <w:tcPr>
        <w:shd w:val="clear" w:color="auto" w:fill="D1E2F1" w:themeFill="accent1" w:themeFillTint="3F"/>
      </w:tcPr>
    </w:tblStylePr>
  </w:style>
  <w:style w:type="table" w:customStyle="1" w:styleId="LightShading-Accent11">
    <w:name w:val="Light Shading - Accent 11"/>
    <w:basedOn w:val="TableNormal"/>
    <w:uiPriority w:val="60"/>
    <w:rsid w:val="003F0927"/>
    <w:rPr>
      <w:color w:val="2E689D" w:themeColor="accent1" w:themeShade="BF"/>
    </w:rPr>
    <w:tblPr>
      <w:tblStyleRowBandSize w:val="1"/>
      <w:tblStyleColBandSize w:val="1"/>
      <w:tblBorders>
        <w:top w:val="single" w:sz="8" w:space="0" w:color="488BC9" w:themeColor="accent1"/>
        <w:bottom w:val="single" w:sz="8" w:space="0" w:color="488BC9" w:themeColor="accent1"/>
      </w:tblBorders>
    </w:tblPr>
    <w:tblStylePr w:type="fir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la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2F1" w:themeFill="accent1" w:themeFillTint="3F"/>
      </w:tcPr>
    </w:tblStylePr>
    <w:tblStylePr w:type="band1Horz">
      <w:tblPr/>
      <w:tcPr>
        <w:tcBorders>
          <w:left w:val="nil"/>
          <w:right w:val="nil"/>
          <w:insideH w:val="nil"/>
          <w:insideV w:val="nil"/>
        </w:tcBorders>
        <w:shd w:val="clear" w:color="auto" w:fill="D1E2F1" w:themeFill="accent1" w:themeFillTint="3F"/>
      </w:tcPr>
    </w:tblStylePr>
  </w:style>
  <w:style w:type="paragraph" w:customStyle="1" w:styleId="Subhead">
    <w:name w:val="Subhead"/>
    <w:basedOn w:val="Normal"/>
    <w:next w:val="Normal"/>
    <w:autoRedefine/>
    <w:qFormat/>
    <w:rsid w:val="003F0927"/>
    <w:pPr>
      <w:spacing w:before="120" w:after="60"/>
    </w:pPr>
    <w:rPr>
      <w:b/>
      <w:color w:val="7F3809" w:themeColor="accent6" w:themeShade="80"/>
      <w:sz w:val="24"/>
    </w:rPr>
  </w:style>
  <w:style w:type="paragraph" w:customStyle="1" w:styleId="Style1">
    <w:name w:val="Style1"/>
    <w:basedOn w:val="Normal"/>
    <w:autoRedefine/>
    <w:qFormat/>
    <w:rsid w:val="003F0927"/>
    <w:rPr>
      <w:rFonts w:ascii="Palatino Linotype" w:hAnsi="Palatino Linotype"/>
      <w:sz w:val="20"/>
    </w:rPr>
  </w:style>
  <w:style w:type="paragraph" w:customStyle="1" w:styleId="SidebarHeadline">
    <w:name w:val="Sidebar Headline"/>
    <w:basedOn w:val="Normal"/>
    <w:next w:val="Normal"/>
    <w:autoRedefine/>
    <w:qFormat/>
    <w:rsid w:val="003F0927"/>
    <w:pPr>
      <w:jc w:val="center"/>
    </w:pPr>
    <w:rPr>
      <w:rFonts w:ascii="Franklin Gothic Medium" w:hAnsi="Franklin Gothic Medium"/>
      <w:b/>
      <w:bCs/>
      <w:color w:val="FFFFFF" w:themeColor="background1"/>
      <w:sz w:val="20"/>
      <w:szCs w:val="22"/>
    </w:rPr>
  </w:style>
  <w:style w:type="numbering" w:customStyle="1" w:styleId="SidebarBulletedList">
    <w:name w:val="Sidebar Bulleted List"/>
    <w:basedOn w:val="NoList"/>
    <w:uiPriority w:val="99"/>
    <w:rsid w:val="003F0927"/>
    <w:pPr>
      <w:numPr>
        <w:numId w:val="6"/>
      </w:numPr>
    </w:pPr>
  </w:style>
  <w:style w:type="character" w:customStyle="1" w:styleId="ChartTitle">
    <w:name w:val="Chart Title"/>
    <w:basedOn w:val="DefaultParagraphFont"/>
    <w:uiPriority w:val="1"/>
    <w:qFormat/>
    <w:rsid w:val="003F0927"/>
    <w:rPr>
      <w:rFonts w:ascii="Franklin Gothic Medium" w:hAnsi="Franklin Gothic Medium"/>
      <w:b/>
      <w:bCs/>
      <w:caps/>
      <w:smallCaps w:val="0"/>
      <w:strike w:val="0"/>
      <w:dstrike w:val="0"/>
      <w:vanish w:val="0"/>
      <w:color w:val="auto"/>
      <w:spacing w:val="0"/>
      <w:sz w:val="22"/>
      <w:szCs w:val="22"/>
      <w:u w:val="none"/>
      <w:vertAlign w:val="baseline"/>
    </w:rPr>
  </w:style>
  <w:style w:type="table" w:customStyle="1" w:styleId="LightShading1">
    <w:name w:val="Light Shading1"/>
    <w:basedOn w:val="TableNormal"/>
    <w:uiPriority w:val="60"/>
    <w:rsid w:val="003F0927"/>
    <w:rPr>
      <w:color w:val="454C53" w:themeColor="text1" w:themeShade="BF"/>
    </w:rPr>
    <w:tblPr>
      <w:tblStyleRowBandSize w:val="1"/>
      <w:tblStyleColBandSize w:val="1"/>
      <w:tblBorders>
        <w:top w:val="single" w:sz="8" w:space="0" w:color="5C6670" w:themeColor="text1"/>
        <w:bottom w:val="single" w:sz="8" w:space="0" w:color="5C6670" w:themeColor="text1"/>
      </w:tblBorders>
    </w:tblPr>
    <w:tblStylePr w:type="fir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la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D" w:themeFill="text1" w:themeFillTint="3F"/>
      </w:tcPr>
    </w:tblStylePr>
    <w:tblStylePr w:type="band1Horz">
      <w:tblPr/>
      <w:tcPr>
        <w:tcBorders>
          <w:left w:val="nil"/>
          <w:right w:val="nil"/>
          <w:insideH w:val="nil"/>
          <w:insideV w:val="nil"/>
        </w:tcBorders>
        <w:shd w:val="clear" w:color="auto" w:fill="D5D9DD" w:themeFill="text1" w:themeFillTint="3F"/>
      </w:tcPr>
    </w:tblStylePr>
  </w:style>
  <w:style w:type="numbering" w:customStyle="1" w:styleId="Style2">
    <w:name w:val="Style2"/>
    <w:basedOn w:val="NoList"/>
    <w:uiPriority w:val="99"/>
    <w:rsid w:val="003F0927"/>
    <w:pPr>
      <w:numPr>
        <w:numId w:val="7"/>
      </w:numPr>
    </w:pPr>
  </w:style>
  <w:style w:type="numbering" w:customStyle="1" w:styleId="Style3">
    <w:name w:val="Style3"/>
    <w:basedOn w:val="NoList"/>
    <w:uiPriority w:val="99"/>
    <w:rsid w:val="003F0927"/>
    <w:pPr>
      <w:numPr>
        <w:numId w:val="8"/>
      </w:numPr>
    </w:pPr>
  </w:style>
  <w:style w:type="paragraph" w:customStyle="1" w:styleId="Subhead2">
    <w:name w:val="Subhead 2"/>
    <w:basedOn w:val="Subhead"/>
    <w:next w:val="Normal"/>
    <w:qFormat/>
    <w:rsid w:val="003F0927"/>
    <w:pPr>
      <w:spacing w:before="0"/>
    </w:pPr>
    <w:rPr>
      <w:sz w:val="22"/>
    </w:rPr>
  </w:style>
  <w:style w:type="character" w:styleId="FollowedHyperlink">
    <w:name w:val="FollowedHyperlink"/>
    <w:basedOn w:val="DefaultParagraphFont"/>
    <w:uiPriority w:val="99"/>
    <w:semiHidden/>
    <w:unhideWhenUsed/>
    <w:rsid w:val="003F0927"/>
    <w:rPr>
      <w:color w:val="800080"/>
      <w:u w:val="single"/>
    </w:rPr>
  </w:style>
  <w:style w:type="paragraph" w:customStyle="1" w:styleId="xl66">
    <w:name w:val="xl66"/>
    <w:basedOn w:val="Normal"/>
    <w:rsid w:val="003F0927"/>
    <w:pPr>
      <w:spacing w:before="100" w:beforeAutospacing="1" w:after="100" w:afterAutospacing="1"/>
    </w:pPr>
    <w:rPr>
      <w:rFonts w:ascii="Arial" w:eastAsia="Times New Roman" w:hAnsi="Arial" w:cs="Arial"/>
      <w:szCs w:val="22"/>
    </w:rPr>
  </w:style>
  <w:style w:type="paragraph" w:customStyle="1" w:styleId="xl67">
    <w:name w:val="xl67"/>
    <w:basedOn w:val="Normal"/>
    <w:rsid w:val="003F0927"/>
    <w:pPr>
      <w:spacing w:before="100" w:beforeAutospacing="1" w:after="100" w:afterAutospacing="1"/>
      <w:jc w:val="both"/>
    </w:pPr>
    <w:rPr>
      <w:rFonts w:eastAsia="Times New Roman" w:cs="Times New Roman"/>
      <w:b/>
      <w:bCs/>
      <w:szCs w:val="22"/>
    </w:rPr>
  </w:style>
  <w:style w:type="paragraph" w:customStyle="1" w:styleId="xl68">
    <w:name w:val="xl68"/>
    <w:basedOn w:val="Normal"/>
    <w:rsid w:val="003F0927"/>
    <w:pPr>
      <w:spacing w:before="100" w:beforeAutospacing="1" w:after="100" w:afterAutospacing="1"/>
    </w:pPr>
    <w:rPr>
      <w:rFonts w:eastAsia="Times New Roman" w:cs="Times New Roman"/>
      <w:szCs w:val="22"/>
    </w:rPr>
  </w:style>
  <w:style w:type="paragraph" w:customStyle="1" w:styleId="xl69">
    <w:name w:val="xl69"/>
    <w:basedOn w:val="Normal"/>
    <w:rsid w:val="003F0927"/>
    <w:pPr>
      <w:spacing w:before="100" w:beforeAutospacing="1" w:after="100" w:afterAutospacing="1"/>
    </w:pPr>
    <w:rPr>
      <w:rFonts w:eastAsia="Times New Roman" w:cs="Times New Roman"/>
      <w:sz w:val="24"/>
    </w:rPr>
  </w:style>
  <w:style w:type="paragraph" w:customStyle="1" w:styleId="xl70">
    <w:name w:val="xl70"/>
    <w:basedOn w:val="Normal"/>
    <w:rsid w:val="003F0927"/>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eastAsia="Times New Roman" w:cs="Times New Roman"/>
      <w:b/>
      <w:bCs/>
      <w:szCs w:val="22"/>
    </w:rPr>
  </w:style>
  <w:style w:type="paragraph" w:customStyle="1" w:styleId="xl71">
    <w:name w:val="xl71"/>
    <w:basedOn w:val="Normal"/>
    <w:rsid w:val="003F0927"/>
    <w:pPr>
      <w:pBdr>
        <w:top w:val="single" w:sz="4" w:space="0" w:color="auto"/>
        <w:bottom w:val="single" w:sz="4" w:space="0" w:color="auto"/>
      </w:pBdr>
      <w:shd w:val="clear" w:color="000000" w:fill="BFBFBF"/>
      <w:spacing w:before="100" w:beforeAutospacing="1" w:after="100" w:afterAutospacing="1"/>
      <w:jc w:val="center"/>
    </w:pPr>
    <w:rPr>
      <w:rFonts w:eastAsia="Times New Roman" w:cs="Times New Roman"/>
      <w:szCs w:val="22"/>
    </w:rPr>
  </w:style>
  <w:style w:type="paragraph" w:customStyle="1" w:styleId="xl72">
    <w:name w:val="xl72"/>
    <w:basedOn w:val="Normal"/>
    <w:rsid w:val="003F0927"/>
    <w:pPr>
      <w:pBdr>
        <w:top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szCs w:val="22"/>
    </w:rPr>
  </w:style>
  <w:style w:type="paragraph" w:customStyle="1" w:styleId="xl73">
    <w:name w:val="xl73"/>
    <w:basedOn w:val="Normal"/>
    <w:rsid w:val="003F0927"/>
    <w:pPr>
      <w:pBdr>
        <w:top w:val="single" w:sz="4" w:space="0" w:color="auto"/>
        <w:bottom w:val="single" w:sz="4" w:space="0" w:color="auto"/>
      </w:pBdr>
      <w:spacing w:before="100" w:beforeAutospacing="1" w:after="100" w:afterAutospacing="1"/>
      <w:jc w:val="center"/>
    </w:pPr>
    <w:rPr>
      <w:rFonts w:eastAsia="Times New Roman" w:cs="Times New Roman"/>
      <w:b/>
      <w:bCs/>
      <w:szCs w:val="22"/>
    </w:rPr>
  </w:style>
  <w:style w:type="paragraph" w:customStyle="1" w:styleId="xl74">
    <w:name w:val="xl74"/>
    <w:basedOn w:val="Normal"/>
    <w:rsid w:val="003F0927"/>
    <w:pPr>
      <w:spacing w:before="100" w:beforeAutospacing="1" w:after="100" w:afterAutospacing="1"/>
      <w:jc w:val="right"/>
    </w:pPr>
    <w:rPr>
      <w:rFonts w:eastAsia="Times New Roman" w:cs="Times New Roman"/>
      <w:b/>
      <w:bCs/>
      <w:szCs w:val="22"/>
    </w:rPr>
  </w:style>
  <w:style w:type="paragraph" w:customStyle="1" w:styleId="xl75">
    <w:name w:val="xl75"/>
    <w:basedOn w:val="Normal"/>
    <w:rsid w:val="003F0927"/>
    <w:pPr>
      <w:spacing w:before="100" w:beforeAutospacing="1" w:after="100" w:afterAutospacing="1"/>
      <w:jc w:val="center"/>
    </w:pPr>
    <w:rPr>
      <w:rFonts w:eastAsia="Times New Roman" w:cs="Times New Roman"/>
      <w:b/>
      <w:bCs/>
      <w:szCs w:val="22"/>
    </w:rPr>
  </w:style>
  <w:style w:type="paragraph" w:customStyle="1" w:styleId="xl76">
    <w:name w:val="xl76"/>
    <w:basedOn w:val="Normal"/>
    <w:rsid w:val="003F0927"/>
    <w:pPr>
      <w:spacing w:before="100" w:beforeAutospacing="1" w:after="100" w:afterAutospacing="1"/>
      <w:jc w:val="center"/>
    </w:pPr>
    <w:rPr>
      <w:rFonts w:eastAsia="Times New Roman" w:cs="Times New Roman"/>
      <w:b/>
      <w:bCs/>
      <w:szCs w:val="22"/>
    </w:rPr>
  </w:style>
  <w:style w:type="paragraph" w:customStyle="1" w:styleId="xl77">
    <w:name w:val="xl77"/>
    <w:basedOn w:val="Normal"/>
    <w:rsid w:val="003F0927"/>
    <w:pPr>
      <w:spacing w:before="100" w:beforeAutospacing="1" w:after="100" w:afterAutospacing="1"/>
      <w:jc w:val="center"/>
    </w:pPr>
    <w:rPr>
      <w:rFonts w:eastAsia="Times New Roman" w:cs="Times New Roman"/>
      <w:b/>
      <w:bCs/>
      <w:szCs w:val="22"/>
    </w:rPr>
  </w:style>
  <w:style w:type="paragraph" w:customStyle="1" w:styleId="xl78">
    <w:name w:val="xl78"/>
    <w:basedOn w:val="Normal"/>
    <w:rsid w:val="003F0927"/>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jc w:val="center"/>
      <w:textAlignment w:val="center"/>
    </w:pPr>
    <w:rPr>
      <w:rFonts w:eastAsia="Times New Roman" w:cs="Times New Roman"/>
      <w:b/>
      <w:bCs/>
      <w:szCs w:val="22"/>
    </w:rPr>
  </w:style>
  <w:style w:type="paragraph" w:customStyle="1" w:styleId="xl79">
    <w:name w:val="xl79"/>
    <w:basedOn w:val="Normal"/>
    <w:rsid w:val="003F092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eastAsia="Times New Roman" w:cs="Times New Roman"/>
      <w:b/>
      <w:bCs/>
      <w:szCs w:val="22"/>
    </w:rPr>
  </w:style>
  <w:style w:type="paragraph" w:customStyle="1" w:styleId="xl80">
    <w:name w:val="xl80"/>
    <w:basedOn w:val="Normal"/>
    <w:rsid w:val="003F0927"/>
    <w:pPr>
      <w:spacing w:before="100" w:beforeAutospacing="1" w:after="100" w:afterAutospacing="1"/>
      <w:jc w:val="center"/>
    </w:pPr>
    <w:rPr>
      <w:rFonts w:eastAsia="Times New Roman" w:cs="Times New Roman"/>
      <w:sz w:val="24"/>
    </w:rPr>
  </w:style>
  <w:style w:type="table" w:styleId="LightGrid-Accent6">
    <w:name w:val="Light Grid Accent 6"/>
    <w:basedOn w:val="TableNormal"/>
    <w:uiPriority w:val="62"/>
    <w:rsid w:val="003F0927"/>
    <w:tblPr>
      <w:tblStyleRowBandSize w:val="1"/>
      <w:tblStyleColBandSize w:val="1"/>
      <w:tblBorders>
        <w:top w:val="single" w:sz="8" w:space="0" w:color="EF7521" w:themeColor="accent6"/>
        <w:left w:val="single" w:sz="8" w:space="0" w:color="EF7521" w:themeColor="accent6"/>
        <w:bottom w:val="single" w:sz="8" w:space="0" w:color="EF7521" w:themeColor="accent6"/>
        <w:right w:val="single" w:sz="8" w:space="0" w:color="EF7521" w:themeColor="accent6"/>
        <w:insideH w:val="single" w:sz="8" w:space="0" w:color="EF7521" w:themeColor="accent6"/>
        <w:insideV w:val="single" w:sz="8" w:space="0" w:color="EF752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7521" w:themeColor="accent6"/>
          <w:left w:val="single" w:sz="8" w:space="0" w:color="EF7521" w:themeColor="accent6"/>
          <w:bottom w:val="single" w:sz="18" w:space="0" w:color="EF7521" w:themeColor="accent6"/>
          <w:right w:val="single" w:sz="8" w:space="0" w:color="EF7521" w:themeColor="accent6"/>
          <w:insideH w:val="nil"/>
          <w:insideV w:val="single" w:sz="8" w:space="0" w:color="EF752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7521" w:themeColor="accent6"/>
          <w:left w:val="single" w:sz="8" w:space="0" w:color="EF7521" w:themeColor="accent6"/>
          <w:bottom w:val="single" w:sz="8" w:space="0" w:color="EF7521" w:themeColor="accent6"/>
          <w:right w:val="single" w:sz="8" w:space="0" w:color="EF7521" w:themeColor="accent6"/>
          <w:insideH w:val="nil"/>
          <w:insideV w:val="single" w:sz="8" w:space="0" w:color="EF752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7521" w:themeColor="accent6"/>
          <w:left w:val="single" w:sz="8" w:space="0" w:color="EF7521" w:themeColor="accent6"/>
          <w:bottom w:val="single" w:sz="8" w:space="0" w:color="EF7521" w:themeColor="accent6"/>
          <w:right w:val="single" w:sz="8" w:space="0" w:color="EF7521" w:themeColor="accent6"/>
        </w:tcBorders>
      </w:tcPr>
    </w:tblStylePr>
    <w:tblStylePr w:type="band1Vert">
      <w:tblPr/>
      <w:tcPr>
        <w:tcBorders>
          <w:top w:val="single" w:sz="8" w:space="0" w:color="EF7521" w:themeColor="accent6"/>
          <w:left w:val="single" w:sz="8" w:space="0" w:color="EF7521" w:themeColor="accent6"/>
          <w:bottom w:val="single" w:sz="8" w:space="0" w:color="EF7521" w:themeColor="accent6"/>
          <w:right w:val="single" w:sz="8" w:space="0" w:color="EF7521" w:themeColor="accent6"/>
        </w:tcBorders>
        <w:shd w:val="clear" w:color="auto" w:fill="FBDCC7" w:themeFill="accent6" w:themeFillTint="3F"/>
      </w:tcPr>
    </w:tblStylePr>
    <w:tblStylePr w:type="band1Horz">
      <w:tblPr/>
      <w:tcPr>
        <w:tcBorders>
          <w:top w:val="single" w:sz="8" w:space="0" w:color="EF7521" w:themeColor="accent6"/>
          <w:left w:val="single" w:sz="8" w:space="0" w:color="EF7521" w:themeColor="accent6"/>
          <w:bottom w:val="single" w:sz="8" w:space="0" w:color="EF7521" w:themeColor="accent6"/>
          <w:right w:val="single" w:sz="8" w:space="0" w:color="EF7521" w:themeColor="accent6"/>
          <w:insideV w:val="single" w:sz="8" w:space="0" w:color="EF7521" w:themeColor="accent6"/>
        </w:tcBorders>
        <w:shd w:val="clear" w:color="auto" w:fill="FBDCC7" w:themeFill="accent6" w:themeFillTint="3F"/>
      </w:tcPr>
    </w:tblStylePr>
    <w:tblStylePr w:type="band2Horz">
      <w:tblPr/>
      <w:tcPr>
        <w:tcBorders>
          <w:top w:val="single" w:sz="8" w:space="0" w:color="EF7521" w:themeColor="accent6"/>
          <w:left w:val="single" w:sz="8" w:space="0" w:color="EF7521" w:themeColor="accent6"/>
          <w:bottom w:val="single" w:sz="8" w:space="0" w:color="EF7521" w:themeColor="accent6"/>
          <w:right w:val="single" w:sz="8" w:space="0" w:color="EF7521" w:themeColor="accent6"/>
          <w:insideV w:val="single" w:sz="8" w:space="0" w:color="EF7521" w:themeColor="accent6"/>
        </w:tcBorders>
      </w:tcPr>
    </w:tblStylePr>
  </w:style>
  <w:style w:type="paragraph" w:customStyle="1" w:styleId="xl81">
    <w:name w:val="xl81"/>
    <w:basedOn w:val="Normal"/>
    <w:rsid w:val="003F09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Palatino Linotype" w:eastAsia="Times New Roman" w:hAnsi="Palatino Linotype" w:cs="Times New Roman"/>
      <w:color w:val="000000"/>
      <w:sz w:val="24"/>
    </w:rPr>
  </w:style>
  <w:style w:type="table" w:customStyle="1" w:styleId="LightGrid-Accent11">
    <w:name w:val="Light Grid - Accent 11"/>
    <w:basedOn w:val="TableNormal"/>
    <w:uiPriority w:val="62"/>
    <w:rsid w:val="003F0927"/>
    <w:tblPr>
      <w:tblStyleRowBandSize w:val="1"/>
      <w:tblStyleColBandSize w:val="1"/>
      <w:tblBorders>
        <w:top w:val="single" w:sz="8" w:space="0" w:color="488BC9" w:themeColor="accent1"/>
        <w:left w:val="single" w:sz="8" w:space="0" w:color="488BC9" w:themeColor="accent1"/>
        <w:bottom w:val="single" w:sz="8" w:space="0" w:color="488BC9" w:themeColor="accent1"/>
        <w:right w:val="single" w:sz="8" w:space="0" w:color="488BC9" w:themeColor="accent1"/>
        <w:insideH w:val="single" w:sz="8" w:space="0" w:color="488BC9" w:themeColor="accent1"/>
        <w:insideV w:val="single" w:sz="8" w:space="0" w:color="488BC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8BC9" w:themeColor="accent1"/>
          <w:left w:val="single" w:sz="8" w:space="0" w:color="488BC9" w:themeColor="accent1"/>
          <w:bottom w:val="single" w:sz="18" w:space="0" w:color="488BC9" w:themeColor="accent1"/>
          <w:right w:val="single" w:sz="8" w:space="0" w:color="488BC9" w:themeColor="accent1"/>
          <w:insideH w:val="nil"/>
          <w:insideV w:val="single" w:sz="8" w:space="0" w:color="488BC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8BC9" w:themeColor="accent1"/>
          <w:left w:val="single" w:sz="8" w:space="0" w:color="488BC9" w:themeColor="accent1"/>
          <w:bottom w:val="single" w:sz="8" w:space="0" w:color="488BC9" w:themeColor="accent1"/>
          <w:right w:val="single" w:sz="8" w:space="0" w:color="488BC9" w:themeColor="accent1"/>
          <w:insideH w:val="nil"/>
          <w:insideV w:val="single" w:sz="8" w:space="0" w:color="488BC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tblStylePr w:type="band1Vert">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shd w:val="clear" w:color="auto" w:fill="D1E2F1" w:themeFill="accent1" w:themeFillTint="3F"/>
      </w:tcPr>
    </w:tblStylePr>
    <w:tblStylePr w:type="band1Horz">
      <w:tblPr/>
      <w:tcPr>
        <w:tcBorders>
          <w:top w:val="single" w:sz="8" w:space="0" w:color="488BC9" w:themeColor="accent1"/>
          <w:left w:val="single" w:sz="8" w:space="0" w:color="488BC9" w:themeColor="accent1"/>
          <w:bottom w:val="single" w:sz="8" w:space="0" w:color="488BC9" w:themeColor="accent1"/>
          <w:right w:val="single" w:sz="8" w:space="0" w:color="488BC9" w:themeColor="accent1"/>
          <w:insideV w:val="single" w:sz="8" w:space="0" w:color="488BC9" w:themeColor="accent1"/>
        </w:tcBorders>
        <w:shd w:val="clear" w:color="auto" w:fill="D1E2F1" w:themeFill="accent1" w:themeFillTint="3F"/>
      </w:tcPr>
    </w:tblStylePr>
    <w:tblStylePr w:type="band2Horz">
      <w:tblPr/>
      <w:tcPr>
        <w:tcBorders>
          <w:top w:val="single" w:sz="8" w:space="0" w:color="488BC9" w:themeColor="accent1"/>
          <w:left w:val="single" w:sz="8" w:space="0" w:color="488BC9" w:themeColor="accent1"/>
          <w:bottom w:val="single" w:sz="8" w:space="0" w:color="488BC9" w:themeColor="accent1"/>
          <w:right w:val="single" w:sz="8" w:space="0" w:color="488BC9" w:themeColor="accent1"/>
          <w:insideV w:val="single" w:sz="8" w:space="0" w:color="488BC9" w:themeColor="accent1"/>
        </w:tcBorders>
      </w:tcPr>
    </w:tblStylePr>
  </w:style>
  <w:style w:type="paragraph" w:customStyle="1" w:styleId="Default">
    <w:name w:val="Default"/>
    <w:rsid w:val="003F0927"/>
    <w:pPr>
      <w:autoSpaceDE w:val="0"/>
      <w:autoSpaceDN w:val="0"/>
      <w:adjustRightInd w:val="0"/>
    </w:pPr>
    <w:rPr>
      <w:rFonts w:ascii="Calibri" w:hAnsi="Calibri" w:cs="Calibri"/>
      <w:color w:val="000000"/>
    </w:rPr>
  </w:style>
  <w:style w:type="paragraph" w:styleId="NormalWeb">
    <w:name w:val="Normal (Web)"/>
    <w:basedOn w:val="Normal"/>
    <w:uiPriority w:val="99"/>
    <w:semiHidden/>
    <w:unhideWhenUsed/>
    <w:rsid w:val="00C8079F"/>
    <w:pPr>
      <w:spacing w:before="100" w:beforeAutospacing="1" w:after="100" w:afterAutospacing="1"/>
    </w:pPr>
    <w:rPr>
      <w:rFonts w:ascii="Times New Roman" w:eastAsiaTheme="minorHAns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4569">
      <w:bodyDiv w:val="1"/>
      <w:marLeft w:val="0"/>
      <w:marRight w:val="0"/>
      <w:marTop w:val="0"/>
      <w:marBottom w:val="0"/>
      <w:divBdr>
        <w:top w:val="none" w:sz="0" w:space="0" w:color="auto"/>
        <w:left w:val="none" w:sz="0" w:space="0" w:color="auto"/>
        <w:bottom w:val="none" w:sz="0" w:space="0" w:color="auto"/>
        <w:right w:val="none" w:sz="0" w:space="0" w:color="auto"/>
      </w:divBdr>
    </w:div>
    <w:div w:id="67308923">
      <w:bodyDiv w:val="1"/>
      <w:marLeft w:val="0"/>
      <w:marRight w:val="0"/>
      <w:marTop w:val="0"/>
      <w:marBottom w:val="0"/>
      <w:divBdr>
        <w:top w:val="none" w:sz="0" w:space="0" w:color="auto"/>
        <w:left w:val="none" w:sz="0" w:space="0" w:color="auto"/>
        <w:bottom w:val="none" w:sz="0" w:space="0" w:color="auto"/>
        <w:right w:val="none" w:sz="0" w:space="0" w:color="auto"/>
      </w:divBdr>
    </w:div>
    <w:div w:id="85349198">
      <w:bodyDiv w:val="1"/>
      <w:marLeft w:val="0"/>
      <w:marRight w:val="0"/>
      <w:marTop w:val="0"/>
      <w:marBottom w:val="0"/>
      <w:divBdr>
        <w:top w:val="none" w:sz="0" w:space="0" w:color="auto"/>
        <w:left w:val="none" w:sz="0" w:space="0" w:color="auto"/>
        <w:bottom w:val="none" w:sz="0" w:space="0" w:color="auto"/>
        <w:right w:val="none" w:sz="0" w:space="0" w:color="auto"/>
      </w:divBdr>
    </w:div>
    <w:div w:id="109597046">
      <w:bodyDiv w:val="1"/>
      <w:marLeft w:val="0"/>
      <w:marRight w:val="0"/>
      <w:marTop w:val="0"/>
      <w:marBottom w:val="0"/>
      <w:divBdr>
        <w:top w:val="none" w:sz="0" w:space="0" w:color="auto"/>
        <w:left w:val="none" w:sz="0" w:space="0" w:color="auto"/>
        <w:bottom w:val="none" w:sz="0" w:space="0" w:color="auto"/>
        <w:right w:val="none" w:sz="0" w:space="0" w:color="auto"/>
      </w:divBdr>
    </w:div>
    <w:div w:id="125855725">
      <w:bodyDiv w:val="1"/>
      <w:marLeft w:val="0"/>
      <w:marRight w:val="0"/>
      <w:marTop w:val="0"/>
      <w:marBottom w:val="0"/>
      <w:divBdr>
        <w:top w:val="none" w:sz="0" w:space="0" w:color="auto"/>
        <w:left w:val="none" w:sz="0" w:space="0" w:color="auto"/>
        <w:bottom w:val="none" w:sz="0" w:space="0" w:color="auto"/>
        <w:right w:val="none" w:sz="0" w:space="0" w:color="auto"/>
      </w:divBdr>
    </w:div>
    <w:div w:id="139926613">
      <w:bodyDiv w:val="1"/>
      <w:marLeft w:val="0"/>
      <w:marRight w:val="0"/>
      <w:marTop w:val="0"/>
      <w:marBottom w:val="0"/>
      <w:divBdr>
        <w:top w:val="none" w:sz="0" w:space="0" w:color="auto"/>
        <w:left w:val="none" w:sz="0" w:space="0" w:color="auto"/>
        <w:bottom w:val="none" w:sz="0" w:space="0" w:color="auto"/>
        <w:right w:val="none" w:sz="0" w:space="0" w:color="auto"/>
      </w:divBdr>
    </w:div>
    <w:div w:id="145633242">
      <w:bodyDiv w:val="1"/>
      <w:marLeft w:val="0"/>
      <w:marRight w:val="0"/>
      <w:marTop w:val="0"/>
      <w:marBottom w:val="0"/>
      <w:divBdr>
        <w:top w:val="none" w:sz="0" w:space="0" w:color="auto"/>
        <w:left w:val="none" w:sz="0" w:space="0" w:color="auto"/>
        <w:bottom w:val="none" w:sz="0" w:space="0" w:color="auto"/>
        <w:right w:val="none" w:sz="0" w:space="0" w:color="auto"/>
      </w:divBdr>
    </w:div>
    <w:div w:id="188690554">
      <w:bodyDiv w:val="1"/>
      <w:marLeft w:val="0"/>
      <w:marRight w:val="0"/>
      <w:marTop w:val="0"/>
      <w:marBottom w:val="0"/>
      <w:divBdr>
        <w:top w:val="none" w:sz="0" w:space="0" w:color="auto"/>
        <w:left w:val="none" w:sz="0" w:space="0" w:color="auto"/>
        <w:bottom w:val="none" w:sz="0" w:space="0" w:color="auto"/>
        <w:right w:val="none" w:sz="0" w:space="0" w:color="auto"/>
      </w:divBdr>
    </w:div>
    <w:div w:id="197862168">
      <w:bodyDiv w:val="1"/>
      <w:marLeft w:val="0"/>
      <w:marRight w:val="0"/>
      <w:marTop w:val="0"/>
      <w:marBottom w:val="0"/>
      <w:divBdr>
        <w:top w:val="none" w:sz="0" w:space="0" w:color="auto"/>
        <w:left w:val="none" w:sz="0" w:space="0" w:color="auto"/>
        <w:bottom w:val="none" w:sz="0" w:space="0" w:color="auto"/>
        <w:right w:val="none" w:sz="0" w:space="0" w:color="auto"/>
      </w:divBdr>
    </w:div>
    <w:div w:id="218905791">
      <w:bodyDiv w:val="1"/>
      <w:marLeft w:val="0"/>
      <w:marRight w:val="0"/>
      <w:marTop w:val="0"/>
      <w:marBottom w:val="0"/>
      <w:divBdr>
        <w:top w:val="none" w:sz="0" w:space="0" w:color="auto"/>
        <w:left w:val="none" w:sz="0" w:space="0" w:color="auto"/>
        <w:bottom w:val="none" w:sz="0" w:space="0" w:color="auto"/>
        <w:right w:val="none" w:sz="0" w:space="0" w:color="auto"/>
      </w:divBdr>
    </w:div>
    <w:div w:id="229508347">
      <w:bodyDiv w:val="1"/>
      <w:marLeft w:val="0"/>
      <w:marRight w:val="0"/>
      <w:marTop w:val="0"/>
      <w:marBottom w:val="0"/>
      <w:divBdr>
        <w:top w:val="none" w:sz="0" w:space="0" w:color="auto"/>
        <w:left w:val="none" w:sz="0" w:space="0" w:color="auto"/>
        <w:bottom w:val="none" w:sz="0" w:space="0" w:color="auto"/>
        <w:right w:val="none" w:sz="0" w:space="0" w:color="auto"/>
      </w:divBdr>
    </w:div>
    <w:div w:id="246426086">
      <w:bodyDiv w:val="1"/>
      <w:marLeft w:val="0"/>
      <w:marRight w:val="0"/>
      <w:marTop w:val="0"/>
      <w:marBottom w:val="0"/>
      <w:divBdr>
        <w:top w:val="none" w:sz="0" w:space="0" w:color="auto"/>
        <w:left w:val="none" w:sz="0" w:space="0" w:color="auto"/>
        <w:bottom w:val="none" w:sz="0" w:space="0" w:color="auto"/>
        <w:right w:val="none" w:sz="0" w:space="0" w:color="auto"/>
      </w:divBdr>
    </w:div>
    <w:div w:id="247078609">
      <w:bodyDiv w:val="1"/>
      <w:marLeft w:val="0"/>
      <w:marRight w:val="0"/>
      <w:marTop w:val="0"/>
      <w:marBottom w:val="0"/>
      <w:divBdr>
        <w:top w:val="none" w:sz="0" w:space="0" w:color="auto"/>
        <w:left w:val="none" w:sz="0" w:space="0" w:color="auto"/>
        <w:bottom w:val="none" w:sz="0" w:space="0" w:color="auto"/>
        <w:right w:val="none" w:sz="0" w:space="0" w:color="auto"/>
      </w:divBdr>
    </w:div>
    <w:div w:id="247857392">
      <w:bodyDiv w:val="1"/>
      <w:marLeft w:val="0"/>
      <w:marRight w:val="0"/>
      <w:marTop w:val="0"/>
      <w:marBottom w:val="0"/>
      <w:divBdr>
        <w:top w:val="none" w:sz="0" w:space="0" w:color="auto"/>
        <w:left w:val="none" w:sz="0" w:space="0" w:color="auto"/>
        <w:bottom w:val="none" w:sz="0" w:space="0" w:color="auto"/>
        <w:right w:val="none" w:sz="0" w:space="0" w:color="auto"/>
      </w:divBdr>
    </w:div>
    <w:div w:id="265189499">
      <w:bodyDiv w:val="1"/>
      <w:marLeft w:val="0"/>
      <w:marRight w:val="0"/>
      <w:marTop w:val="0"/>
      <w:marBottom w:val="0"/>
      <w:divBdr>
        <w:top w:val="none" w:sz="0" w:space="0" w:color="auto"/>
        <w:left w:val="none" w:sz="0" w:space="0" w:color="auto"/>
        <w:bottom w:val="none" w:sz="0" w:space="0" w:color="auto"/>
        <w:right w:val="none" w:sz="0" w:space="0" w:color="auto"/>
      </w:divBdr>
    </w:div>
    <w:div w:id="308050691">
      <w:bodyDiv w:val="1"/>
      <w:marLeft w:val="0"/>
      <w:marRight w:val="0"/>
      <w:marTop w:val="0"/>
      <w:marBottom w:val="0"/>
      <w:divBdr>
        <w:top w:val="none" w:sz="0" w:space="0" w:color="auto"/>
        <w:left w:val="none" w:sz="0" w:space="0" w:color="auto"/>
        <w:bottom w:val="none" w:sz="0" w:space="0" w:color="auto"/>
        <w:right w:val="none" w:sz="0" w:space="0" w:color="auto"/>
      </w:divBdr>
    </w:div>
    <w:div w:id="363139742">
      <w:bodyDiv w:val="1"/>
      <w:marLeft w:val="0"/>
      <w:marRight w:val="0"/>
      <w:marTop w:val="0"/>
      <w:marBottom w:val="0"/>
      <w:divBdr>
        <w:top w:val="none" w:sz="0" w:space="0" w:color="auto"/>
        <w:left w:val="none" w:sz="0" w:space="0" w:color="auto"/>
        <w:bottom w:val="none" w:sz="0" w:space="0" w:color="auto"/>
        <w:right w:val="none" w:sz="0" w:space="0" w:color="auto"/>
      </w:divBdr>
    </w:div>
    <w:div w:id="423109837">
      <w:bodyDiv w:val="1"/>
      <w:marLeft w:val="0"/>
      <w:marRight w:val="0"/>
      <w:marTop w:val="0"/>
      <w:marBottom w:val="0"/>
      <w:divBdr>
        <w:top w:val="none" w:sz="0" w:space="0" w:color="auto"/>
        <w:left w:val="none" w:sz="0" w:space="0" w:color="auto"/>
        <w:bottom w:val="none" w:sz="0" w:space="0" w:color="auto"/>
        <w:right w:val="none" w:sz="0" w:space="0" w:color="auto"/>
      </w:divBdr>
    </w:div>
    <w:div w:id="433788931">
      <w:bodyDiv w:val="1"/>
      <w:marLeft w:val="0"/>
      <w:marRight w:val="0"/>
      <w:marTop w:val="0"/>
      <w:marBottom w:val="0"/>
      <w:divBdr>
        <w:top w:val="none" w:sz="0" w:space="0" w:color="auto"/>
        <w:left w:val="none" w:sz="0" w:space="0" w:color="auto"/>
        <w:bottom w:val="none" w:sz="0" w:space="0" w:color="auto"/>
        <w:right w:val="none" w:sz="0" w:space="0" w:color="auto"/>
      </w:divBdr>
    </w:div>
    <w:div w:id="445930134">
      <w:bodyDiv w:val="1"/>
      <w:marLeft w:val="0"/>
      <w:marRight w:val="0"/>
      <w:marTop w:val="0"/>
      <w:marBottom w:val="0"/>
      <w:divBdr>
        <w:top w:val="none" w:sz="0" w:space="0" w:color="auto"/>
        <w:left w:val="none" w:sz="0" w:space="0" w:color="auto"/>
        <w:bottom w:val="none" w:sz="0" w:space="0" w:color="auto"/>
        <w:right w:val="none" w:sz="0" w:space="0" w:color="auto"/>
      </w:divBdr>
    </w:div>
    <w:div w:id="466092179">
      <w:bodyDiv w:val="1"/>
      <w:marLeft w:val="0"/>
      <w:marRight w:val="0"/>
      <w:marTop w:val="0"/>
      <w:marBottom w:val="0"/>
      <w:divBdr>
        <w:top w:val="none" w:sz="0" w:space="0" w:color="auto"/>
        <w:left w:val="none" w:sz="0" w:space="0" w:color="auto"/>
        <w:bottom w:val="none" w:sz="0" w:space="0" w:color="auto"/>
        <w:right w:val="none" w:sz="0" w:space="0" w:color="auto"/>
      </w:divBdr>
    </w:div>
    <w:div w:id="480389509">
      <w:bodyDiv w:val="1"/>
      <w:marLeft w:val="0"/>
      <w:marRight w:val="0"/>
      <w:marTop w:val="0"/>
      <w:marBottom w:val="0"/>
      <w:divBdr>
        <w:top w:val="none" w:sz="0" w:space="0" w:color="auto"/>
        <w:left w:val="none" w:sz="0" w:space="0" w:color="auto"/>
        <w:bottom w:val="none" w:sz="0" w:space="0" w:color="auto"/>
        <w:right w:val="none" w:sz="0" w:space="0" w:color="auto"/>
      </w:divBdr>
    </w:div>
    <w:div w:id="490802204">
      <w:bodyDiv w:val="1"/>
      <w:marLeft w:val="0"/>
      <w:marRight w:val="0"/>
      <w:marTop w:val="0"/>
      <w:marBottom w:val="0"/>
      <w:divBdr>
        <w:top w:val="none" w:sz="0" w:space="0" w:color="auto"/>
        <w:left w:val="none" w:sz="0" w:space="0" w:color="auto"/>
        <w:bottom w:val="none" w:sz="0" w:space="0" w:color="auto"/>
        <w:right w:val="none" w:sz="0" w:space="0" w:color="auto"/>
      </w:divBdr>
    </w:div>
    <w:div w:id="490950638">
      <w:bodyDiv w:val="1"/>
      <w:marLeft w:val="0"/>
      <w:marRight w:val="0"/>
      <w:marTop w:val="0"/>
      <w:marBottom w:val="0"/>
      <w:divBdr>
        <w:top w:val="none" w:sz="0" w:space="0" w:color="auto"/>
        <w:left w:val="none" w:sz="0" w:space="0" w:color="auto"/>
        <w:bottom w:val="none" w:sz="0" w:space="0" w:color="auto"/>
        <w:right w:val="none" w:sz="0" w:space="0" w:color="auto"/>
      </w:divBdr>
    </w:div>
    <w:div w:id="524560530">
      <w:bodyDiv w:val="1"/>
      <w:marLeft w:val="0"/>
      <w:marRight w:val="0"/>
      <w:marTop w:val="0"/>
      <w:marBottom w:val="0"/>
      <w:divBdr>
        <w:top w:val="none" w:sz="0" w:space="0" w:color="auto"/>
        <w:left w:val="none" w:sz="0" w:space="0" w:color="auto"/>
        <w:bottom w:val="none" w:sz="0" w:space="0" w:color="auto"/>
        <w:right w:val="none" w:sz="0" w:space="0" w:color="auto"/>
      </w:divBdr>
    </w:div>
    <w:div w:id="537670220">
      <w:bodyDiv w:val="1"/>
      <w:marLeft w:val="0"/>
      <w:marRight w:val="0"/>
      <w:marTop w:val="0"/>
      <w:marBottom w:val="0"/>
      <w:divBdr>
        <w:top w:val="none" w:sz="0" w:space="0" w:color="auto"/>
        <w:left w:val="none" w:sz="0" w:space="0" w:color="auto"/>
        <w:bottom w:val="none" w:sz="0" w:space="0" w:color="auto"/>
        <w:right w:val="none" w:sz="0" w:space="0" w:color="auto"/>
      </w:divBdr>
    </w:div>
    <w:div w:id="590118842">
      <w:bodyDiv w:val="1"/>
      <w:marLeft w:val="0"/>
      <w:marRight w:val="0"/>
      <w:marTop w:val="0"/>
      <w:marBottom w:val="0"/>
      <w:divBdr>
        <w:top w:val="none" w:sz="0" w:space="0" w:color="auto"/>
        <w:left w:val="none" w:sz="0" w:space="0" w:color="auto"/>
        <w:bottom w:val="none" w:sz="0" w:space="0" w:color="auto"/>
        <w:right w:val="none" w:sz="0" w:space="0" w:color="auto"/>
      </w:divBdr>
    </w:div>
    <w:div w:id="629213785">
      <w:bodyDiv w:val="1"/>
      <w:marLeft w:val="0"/>
      <w:marRight w:val="0"/>
      <w:marTop w:val="0"/>
      <w:marBottom w:val="0"/>
      <w:divBdr>
        <w:top w:val="none" w:sz="0" w:space="0" w:color="auto"/>
        <w:left w:val="none" w:sz="0" w:space="0" w:color="auto"/>
        <w:bottom w:val="none" w:sz="0" w:space="0" w:color="auto"/>
        <w:right w:val="none" w:sz="0" w:space="0" w:color="auto"/>
      </w:divBdr>
    </w:div>
    <w:div w:id="664016661">
      <w:bodyDiv w:val="1"/>
      <w:marLeft w:val="0"/>
      <w:marRight w:val="0"/>
      <w:marTop w:val="0"/>
      <w:marBottom w:val="0"/>
      <w:divBdr>
        <w:top w:val="none" w:sz="0" w:space="0" w:color="auto"/>
        <w:left w:val="none" w:sz="0" w:space="0" w:color="auto"/>
        <w:bottom w:val="none" w:sz="0" w:space="0" w:color="auto"/>
        <w:right w:val="none" w:sz="0" w:space="0" w:color="auto"/>
      </w:divBdr>
    </w:div>
    <w:div w:id="681518277">
      <w:bodyDiv w:val="1"/>
      <w:marLeft w:val="0"/>
      <w:marRight w:val="0"/>
      <w:marTop w:val="0"/>
      <w:marBottom w:val="0"/>
      <w:divBdr>
        <w:top w:val="none" w:sz="0" w:space="0" w:color="auto"/>
        <w:left w:val="none" w:sz="0" w:space="0" w:color="auto"/>
        <w:bottom w:val="none" w:sz="0" w:space="0" w:color="auto"/>
        <w:right w:val="none" w:sz="0" w:space="0" w:color="auto"/>
      </w:divBdr>
    </w:div>
    <w:div w:id="688289883">
      <w:bodyDiv w:val="1"/>
      <w:marLeft w:val="0"/>
      <w:marRight w:val="0"/>
      <w:marTop w:val="0"/>
      <w:marBottom w:val="0"/>
      <w:divBdr>
        <w:top w:val="none" w:sz="0" w:space="0" w:color="auto"/>
        <w:left w:val="none" w:sz="0" w:space="0" w:color="auto"/>
        <w:bottom w:val="none" w:sz="0" w:space="0" w:color="auto"/>
        <w:right w:val="none" w:sz="0" w:space="0" w:color="auto"/>
      </w:divBdr>
    </w:div>
    <w:div w:id="692340864">
      <w:bodyDiv w:val="1"/>
      <w:marLeft w:val="0"/>
      <w:marRight w:val="0"/>
      <w:marTop w:val="0"/>
      <w:marBottom w:val="0"/>
      <w:divBdr>
        <w:top w:val="none" w:sz="0" w:space="0" w:color="auto"/>
        <w:left w:val="none" w:sz="0" w:space="0" w:color="auto"/>
        <w:bottom w:val="none" w:sz="0" w:space="0" w:color="auto"/>
        <w:right w:val="none" w:sz="0" w:space="0" w:color="auto"/>
      </w:divBdr>
    </w:div>
    <w:div w:id="716854379">
      <w:bodyDiv w:val="1"/>
      <w:marLeft w:val="0"/>
      <w:marRight w:val="0"/>
      <w:marTop w:val="0"/>
      <w:marBottom w:val="0"/>
      <w:divBdr>
        <w:top w:val="none" w:sz="0" w:space="0" w:color="auto"/>
        <w:left w:val="none" w:sz="0" w:space="0" w:color="auto"/>
        <w:bottom w:val="none" w:sz="0" w:space="0" w:color="auto"/>
        <w:right w:val="none" w:sz="0" w:space="0" w:color="auto"/>
      </w:divBdr>
      <w:divsChild>
        <w:div w:id="1203326912">
          <w:marLeft w:val="0"/>
          <w:marRight w:val="0"/>
          <w:marTop w:val="0"/>
          <w:marBottom w:val="0"/>
          <w:divBdr>
            <w:top w:val="none" w:sz="0" w:space="0" w:color="auto"/>
            <w:left w:val="none" w:sz="0" w:space="0" w:color="auto"/>
            <w:bottom w:val="none" w:sz="0" w:space="0" w:color="auto"/>
            <w:right w:val="none" w:sz="0" w:space="0" w:color="auto"/>
          </w:divBdr>
        </w:div>
      </w:divsChild>
    </w:div>
    <w:div w:id="718361318">
      <w:bodyDiv w:val="1"/>
      <w:marLeft w:val="0"/>
      <w:marRight w:val="0"/>
      <w:marTop w:val="0"/>
      <w:marBottom w:val="0"/>
      <w:divBdr>
        <w:top w:val="none" w:sz="0" w:space="0" w:color="auto"/>
        <w:left w:val="none" w:sz="0" w:space="0" w:color="auto"/>
        <w:bottom w:val="none" w:sz="0" w:space="0" w:color="auto"/>
        <w:right w:val="none" w:sz="0" w:space="0" w:color="auto"/>
      </w:divBdr>
    </w:div>
    <w:div w:id="719285504">
      <w:bodyDiv w:val="1"/>
      <w:marLeft w:val="0"/>
      <w:marRight w:val="0"/>
      <w:marTop w:val="0"/>
      <w:marBottom w:val="0"/>
      <w:divBdr>
        <w:top w:val="none" w:sz="0" w:space="0" w:color="auto"/>
        <w:left w:val="none" w:sz="0" w:space="0" w:color="auto"/>
        <w:bottom w:val="none" w:sz="0" w:space="0" w:color="auto"/>
        <w:right w:val="none" w:sz="0" w:space="0" w:color="auto"/>
      </w:divBdr>
    </w:div>
    <w:div w:id="724990184">
      <w:bodyDiv w:val="1"/>
      <w:marLeft w:val="0"/>
      <w:marRight w:val="0"/>
      <w:marTop w:val="0"/>
      <w:marBottom w:val="0"/>
      <w:divBdr>
        <w:top w:val="none" w:sz="0" w:space="0" w:color="auto"/>
        <w:left w:val="none" w:sz="0" w:space="0" w:color="auto"/>
        <w:bottom w:val="none" w:sz="0" w:space="0" w:color="auto"/>
        <w:right w:val="none" w:sz="0" w:space="0" w:color="auto"/>
      </w:divBdr>
    </w:div>
    <w:div w:id="726535384">
      <w:bodyDiv w:val="1"/>
      <w:marLeft w:val="0"/>
      <w:marRight w:val="0"/>
      <w:marTop w:val="0"/>
      <w:marBottom w:val="0"/>
      <w:divBdr>
        <w:top w:val="none" w:sz="0" w:space="0" w:color="auto"/>
        <w:left w:val="none" w:sz="0" w:space="0" w:color="auto"/>
        <w:bottom w:val="none" w:sz="0" w:space="0" w:color="auto"/>
        <w:right w:val="none" w:sz="0" w:space="0" w:color="auto"/>
      </w:divBdr>
    </w:div>
    <w:div w:id="759760697">
      <w:bodyDiv w:val="1"/>
      <w:marLeft w:val="0"/>
      <w:marRight w:val="0"/>
      <w:marTop w:val="0"/>
      <w:marBottom w:val="0"/>
      <w:divBdr>
        <w:top w:val="none" w:sz="0" w:space="0" w:color="auto"/>
        <w:left w:val="none" w:sz="0" w:space="0" w:color="auto"/>
        <w:bottom w:val="none" w:sz="0" w:space="0" w:color="auto"/>
        <w:right w:val="none" w:sz="0" w:space="0" w:color="auto"/>
      </w:divBdr>
    </w:div>
    <w:div w:id="762726945">
      <w:bodyDiv w:val="1"/>
      <w:marLeft w:val="0"/>
      <w:marRight w:val="0"/>
      <w:marTop w:val="0"/>
      <w:marBottom w:val="0"/>
      <w:divBdr>
        <w:top w:val="none" w:sz="0" w:space="0" w:color="auto"/>
        <w:left w:val="none" w:sz="0" w:space="0" w:color="auto"/>
        <w:bottom w:val="none" w:sz="0" w:space="0" w:color="auto"/>
        <w:right w:val="none" w:sz="0" w:space="0" w:color="auto"/>
      </w:divBdr>
    </w:div>
    <w:div w:id="781729348">
      <w:bodyDiv w:val="1"/>
      <w:marLeft w:val="0"/>
      <w:marRight w:val="0"/>
      <w:marTop w:val="0"/>
      <w:marBottom w:val="0"/>
      <w:divBdr>
        <w:top w:val="none" w:sz="0" w:space="0" w:color="auto"/>
        <w:left w:val="none" w:sz="0" w:space="0" w:color="auto"/>
        <w:bottom w:val="none" w:sz="0" w:space="0" w:color="auto"/>
        <w:right w:val="none" w:sz="0" w:space="0" w:color="auto"/>
      </w:divBdr>
    </w:div>
    <w:div w:id="799154435">
      <w:bodyDiv w:val="1"/>
      <w:marLeft w:val="0"/>
      <w:marRight w:val="0"/>
      <w:marTop w:val="0"/>
      <w:marBottom w:val="0"/>
      <w:divBdr>
        <w:top w:val="none" w:sz="0" w:space="0" w:color="auto"/>
        <w:left w:val="none" w:sz="0" w:space="0" w:color="auto"/>
        <w:bottom w:val="none" w:sz="0" w:space="0" w:color="auto"/>
        <w:right w:val="none" w:sz="0" w:space="0" w:color="auto"/>
      </w:divBdr>
    </w:div>
    <w:div w:id="841628571">
      <w:bodyDiv w:val="1"/>
      <w:marLeft w:val="0"/>
      <w:marRight w:val="0"/>
      <w:marTop w:val="0"/>
      <w:marBottom w:val="0"/>
      <w:divBdr>
        <w:top w:val="none" w:sz="0" w:space="0" w:color="auto"/>
        <w:left w:val="none" w:sz="0" w:space="0" w:color="auto"/>
        <w:bottom w:val="none" w:sz="0" w:space="0" w:color="auto"/>
        <w:right w:val="none" w:sz="0" w:space="0" w:color="auto"/>
      </w:divBdr>
    </w:div>
    <w:div w:id="846872747">
      <w:bodyDiv w:val="1"/>
      <w:marLeft w:val="0"/>
      <w:marRight w:val="0"/>
      <w:marTop w:val="0"/>
      <w:marBottom w:val="0"/>
      <w:divBdr>
        <w:top w:val="none" w:sz="0" w:space="0" w:color="auto"/>
        <w:left w:val="none" w:sz="0" w:space="0" w:color="auto"/>
        <w:bottom w:val="none" w:sz="0" w:space="0" w:color="auto"/>
        <w:right w:val="none" w:sz="0" w:space="0" w:color="auto"/>
      </w:divBdr>
    </w:div>
    <w:div w:id="876284381">
      <w:bodyDiv w:val="1"/>
      <w:marLeft w:val="0"/>
      <w:marRight w:val="0"/>
      <w:marTop w:val="0"/>
      <w:marBottom w:val="0"/>
      <w:divBdr>
        <w:top w:val="none" w:sz="0" w:space="0" w:color="auto"/>
        <w:left w:val="none" w:sz="0" w:space="0" w:color="auto"/>
        <w:bottom w:val="none" w:sz="0" w:space="0" w:color="auto"/>
        <w:right w:val="none" w:sz="0" w:space="0" w:color="auto"/>
      </w:divBdr>
    </w:div>
    <w:div w:id="891111712">
      <w:bodyDiv w:val="1"/>
      <w:marLeft w:val="0"/>
      <w:marRight w:val="0"/>
      <w:marTop w:val="0"/>
      <w:marBottom w:val="0"/>
      <w:divBdr>
        <w:top w:val="none" w:sz="0" w:space="0" w:color="auto"/>
        <w:left w:val="none" w:sz="0" w:space="0" w:color="auto"/>
        <w:bottom w:val="none" w:sz="0" w:space="0" w:color="auto"/>
        <w:right w:val="none" w:sz="0" w:space="0" w:color="auto"/>
      </w:divBdr>
    </w:div>
    <w:div w:id="917136502">
      <w:bodyDiv w:val="1"/>
      <w:marLeft w:val="0"/>
      <w:marRight w:val="0"/>
      <w:marTop w:val="0"/>
      <w:marBottom w:val="0"/>
      <w:divBdr>
        <w:top w:val="none" w:sz="0" w:space="0" w:color="auto"/>
        <w:left w:val="none" w:sz="0" w:space="0" w:color="auto"/>
        <w:bottom w:val="none" w:sz="0" w:space="0" w:color="auto"/>
        <w:right w:val="none" w:sz="0" w:space="0" w:color="auto"/>
      </w:divBdr>
    </w:div>
    <w:div w:id="973874300">
      <w:bodyDiv w:val="1"/>
      <w:marLeft w:val="0"/>
      <w:marRight w:val="0"/>
      <w:marTop w:val="0"/>
      <w:marBottom w:val="0"/>
      <w:divBdr>
        <w:top w:val="none" w:sz="0" w:space="0" w:color="auto"/>
        <w:left w:val="none" w:sz="0" w:space="0" w:color="auto"/>
        <w:bottom w:val="none" w:sz="0" w:space="0" w:color="auto"/>
        <w:right w:val="none" w:sz="0" w:space="0" w:color="auto"/>
      </w:divBdr>
    </w:div>
    <w:div w:id="986016339">
      <w:bodyDiv w:val="1"/>
      <w:marLeft w:val="0"/>
      <w:marRight w:val="0"/>
      <w:marTop w:val="0"/>
      <w:marBottom w:val="0"/>
      <w:divBdr>
        <w:top w:val="none" w:sz="0" w:space="0" w:color="auto"/>
        <w:left w:val="none" w:sz="0" w:space="0" w:color="auto"/>
        <w:bottom w:val="none" w:sz="0" w:space="0" w:color="auto"/>
        <w:right w:val="none" w:sz="0" w:space="0" w:color="auto"/>
      </w:divBdr>
    </w:div>
    <w:div w:id="1002469182">
      <w:bodyDiv w:val="1"/>
      <w:marLeft w:val="0"/>
      <w:marRight w:val="0"/>
      <w:marTop w:val="0"/>
      <w:marBottom w:val="0"/>
      <w:divBdr>
        <w:top w:val="none" w:sz="0" w:space="0" w:color="auto"/>
        <w:left w:val="none" w:sz="0" w:space="0" w:color="auto"/>
        <w:bottom w:val="none" w:sz="0" w:space="0" w:color="auto"/>
        <w:right w:val="none" w:sz="0" w:space="0" w:color="auto"/>
      </w:divBdr>
    </w:div>
    <w:div w:id="1015958153">
      <w:bodyDiv w:val="1"/>
      <w:marLeft w:val="0"/>
      <w:marRight w:val="0"/>
      <w:marTop w:val="0"/>
      <w:marBottom w:val="0"/>
      <w:divBdr>
        <w:top w:val="none" w:sz="0" w:space="0" w:color="auto"/>
        <w:left w:val="none" w:sz="0" w:space="0" w:color="auto"/>
        <w:bottom w:val="none" w:sz="0" w:space="0" w:color="auto"/>
        <w:right w:val="none" w:sz="0" w:space="0" w:color="auto"/>
      </w:divBdr>
    </w:div>
    <w:div w:id="1037510048">
      <w:bodyDiv w:val="1"/>
      <w:marLeft w:val="0"/>
      <w:marRight w:val="0"/>
      <w:marTop w:val="0"/>
      <w:marBottom w:val="0"/>
      <w:divBdr>
        <w:top w:val="none" w:sz="0" w:space="0" w:color="auto"/>
        <w:left w:val="none" w:sz="0" w:space="0" w:color="auto"/>
        <w:bottom w:val="none" w:sz="0" w:space="0" w:color="auto"/>
        <w:right w:val="none" w:sz="0" w:space="0" w:color="auto"/>
      </w:divBdr>
    </w:div>
    <w:div w:id="1047995430">
      <w:bodyDiv w:val="1"/>
      <w:marLeft w:val="0"/>
      <w:marRight w:val="0"/>
      <w:marTop w:val="0"/>
      <w:marBottom w:val="0"/>
      <w:divBdr>
        <w:top w:val="none" w:sz="0" w:space="0" w:color="auto"/>
        <w:left w:val="none" w:sz="0" w:space="0" w:color="auto"/>
        <w:bottom w:val="none" w:sz="0" w:space="0" w:color="auto"/>
        <w:right w:val="none" w:sz="0" w:space="0" w:color="auto"/>
      </w:divBdr>
    </w:div>
    <w:div w:id="1050493000">
      <w:bodyDiv w:val="1"/>
      <w:marLeft w:val="0"/>
      <w:marRight w:val="0"/>
      <w:marTop w:val="0"/>
      <w:marBottom w:val="0"/>
      <w:divBdr>
        <w:top w:val="none" w:sz="0" w:space="0" w:color="auto"/>
        <w:left w:val="none" w:sz="0" w:space="0" w:color="auto"/>
        <w:bottom w:val="none" w:sz="0" w:space="0" w:color="auto"/>
        <w:right w:val="none" w:sz="0" w:space="0" w:color="auto"/>
      </w:divBdr>
    </w:div>
    <w:div w:id="1053238226">
      <w:bodyDiv w:val="1"/>
      <w:marLeft w:val="0"/>
      <w:marRight w:val="0"/>
      <w:marTop w:val="0"/>
      <w:marBottom w:val="0"/>
      <w:divBdr>
        <w:top w:val="none" w:sz="0" w:space="0" w:color="auto"/>
        <w:left w:val="none" w:sz="0" w:space="0" w:color="auto"/>
        <w:bottom w:val="none" w:sz="0" w:space="0" w:color="auto"/>
        <w:right w:val="none" w:sz="0" w:space="0" w:color="auto"/>
      </w:divBdr>
    </w:div>
    <w:div w:id="1096443047">
      <w:bodyDiv w:val="1"/>
      <w:marLeft w:val="0"/>
      <w:marRight w:val="0"/>
      <w:marTop w:val="0"/>
      <w:marBottom w:val="0"/>
      <w:divBdr>
        <w:top w:val="none" w:sz="0" w:space="0" w:color="auto"/>
        <w:left w:val="none" w:sz="0" w:space="0" w:color="auto"/>
        <w:bottom w:val="none" w:sz="0" w:space="0" w:color="auto"/>
        <w:right w:val="none" w:sz="0" w:space="0" w:color="auto"/>
      </w:divBdr>
    </w:div>
    <w:div w:id="1103527821">
      <w:bodyDiv w:val="1"/>
      <w:marLeft w:val="0"/>
      <w:marRight w:val="0"/>
      <w:marTop w:val="0"/>
      <w:marBottom w:val="0"/>
      <w:divBdr>
        <w:top w:val="none" w:sz="0" w:space="0" w:color="auto"/>
        <w:left w:val="none" w:sz="0" w:space="0" w:color="auto"/>
        <w:bottom w:val="none" w:sz="0" w:space="0" w:color="auto"/>
        <w:right w:val="none" w:sz="0" w:space="0" w:color="auto"/>
      </w:divBdr>
    </w:div>
    <w:div w:id="1141507317">
      <w:bodyDiv w:val="1"/>
      <w:marLeft w:val="0"/>
      <w:marRight w:val="0"/>
      <w:marTop w:val="0"/>
      <w:marBottom w:val="0"/>
      <w:divBdr>
        <w:top w:val="none" w:sz="0" w:space="0" w:color="auto"/>
        <w:left w:val="none" w:sz="0" w:space="0" w:color="auto"/>
        <w:bottom w:val="none" w:sz="0" w:space="0" w:color="auto"/>
        <w:right w:val="none" w:sz="0" w:space="0" w:color="auto"/>
      </w:divBdr>
    </w:div>
    <w:div w:id="1142502077">
      <w:bodyDiv w:val="1"/>
      <w:marLeft w:val="0"/>
      <w:marRight w:val="0"/>
      <w:marTop w:val="0"/>
      <w:marBottom w:val="0"/>
      <w:divBdr>
        <w:top w:val="none" w:sz="0" w:space="0" w:color="auto"/>
        <w:left w:val="none" w:sz="0" w:space="0" w:color="auto"/>
        <w:bottom w:val="none" w:sz="0" w:space="0" w:color="auto"/>
        <w:right w:val="none" w:sz="0" w:space="0" w:color="auto"/>
      </w:divBdr>
    </w:div>
    <w:div w:id="1147939281">
      <w:bodyDiv w:val="1"/>
      <w:marLeft w:val="0"/>
      <w:marRight w:val="0"/>
      <w:marTop w:val="0"/>
      <w:marBottom w:val="0"/>
      <w:divBdr>
        <w:top w:val="none" w:sz="0" w:space="0" w:color="auto"/>
        <w:left w:val="none" w:sz="0" w:space="0" w:color="auto"/>
        <w:bottom w:val="none" w:sz="0" w:space="0" w:color="auto"/>
        <w:right w:val="none" w:sz="0" w:space="0" w:color="auto"/>
      </w:divBdr>
    </w:div>
    <w:div w:id="1150436750">
      <w:bodyDiv w:val="1"/>
      <w:marLeft w:val="0"/>
      <w:marRight w:val="0"/>
      <w:marTop w:val="0"/>
      <w:marBottom w:val="0"/>
      <w:divBdr>
        <w:top w:val="none" w:sz="0" w:space="0" w:color="auto"/>
        <w:left w:val="none" w:sz="0" w:space="0" w:color="auto"/>
        <w:bottom w:val="none" w:sz="0" w:space="0" w:color="auto"/>
        <w:right w:val="none" w:sz="0" w:space="0" w:color="auto"/>
      </w:divBdr>
    </w:div>
    <w:div w:id="1160541148">
      <w:bodyDiv w:val="1"/>
      <w:marLeft w:val="0"/>
      <w:marRight w:val="0"/>
      <w:marTop w:val="0"/>
      <w:marBottom w:val="0"/>
      <w:divBdr>
        <w:top w:val="none" w:sz="0" w:space="0" w:color="auto"/>
        <w:left w:val="none" w:sz="0" w:space="0" w:color="auto"/>
        <w:bottom w:val="none" w:sz="0" w:space="0" w:color="auto"/>
        <w:right w:val="none" w:sz="0" w:space="0" w:color="auto"/>
      </w:divBdr>
    </w:div>
    <w:div w:id="1176773078">
      <w:bodyDiv w:val="1"/>
      <w:marLeft w:val="0"/>
      <w:marRight w:val="0"/>
      <w:marTop w:val="0"/>
      <w:marBottom w:val="0"/>
      <w:divBdr>
        <w:top w:val="none" w:sz="0" w:space="0" w:color="auto"/>
        <w:left w:val="none" w:sz="0" w:space="0" w:color="auto"/>
        <w:bottom w:val="none" w:sz="0" w:space="0" w:color="auto"/>
        <w:right w:val="none" w:sz="0" w:space="0" w:color="auto"/>
      </w:divBdr>
    </w:div>
    <w:div w:id="1191988839">
      <w:bodyDiv w:val="1"/>
      <w:marLeft w:val="0"/>
      <w:marRight w:val="0"/>
      <w:marTop w:val="0"/>
      <w:marBottom w:val="0"/>
      <w:divBdr>
        <w:top w:val="none" w:sz="0" w:space="0" w:color="auto"/>
        <w:left w:val="none" w:sz="0" w:space="0" w:color="auto"/>
        <w:bottom w:val="none" w:sz="0" w:space="0" w:color="auto"/>
        <w:right w:val="none" w:sz="0" w:space="0" w:color="auto"/>
      </w:divBdr>
    </w:div>
    <w:div w:id="1216427987">
      <w:bodyDiv w:val="1"/>
      <w:marLeft w:val="0"/>
      <w:marRight w:val="0"/>
      <w:marTop w:val="0"/>
      <w:marBottom w:val="0"/>
      <w:divBdr>
        <w:top w:val="none" w:sz="0" w:space="0" w:color="auto"/>
        <w:left w:val="none" w:sz="0" w:space="0" w:color="auto"/>
        <w:bottom w:val="none" w:sz="0" w:space="0" w:color="auto"/>
        <w:right w:val="none" w:sz="0" w:space="0" w:color="auto"/>
      </w:divBdr>
    </w:div>
    <w:div w:id="1256473133">
      <w:bodyDiv w:val="1"/>
      <w:marLeft w:val="0"/>
      <w:marRight w:val="0"/>
      <w:marTop w:val="0"/>
      <w:marBottom w:val="0"/>
      <w:divBdr>
        <w:top w:val="none" w:sz="0" w:space="0" w:color="auto"/>
        <w:left w:val="none" w:sz="0" w:space="0" w:color="auto"/>
        <w:bottom w:val="none" w:sz="0" w:space="0" w:color="auto"/>
        <w:right w:val="none" w:sz="0" w:space="0" w:color="auto"/>
      </w:divBdr>
    </w:div>
    <w:div w:id="1275668574">
      <w:bodyDiv w:val="1"/>
      <w:marLeft w:val="0"/>
      <w:marRight w:val="0"/>
      <w:marTop w:val="0"/>
      <w:marBottom w:val="0"/>
      <w:divBdr>
        <w:top w:val="none" w:sz="0" w:space="0" w:color="auto"/>
        <w:left w:val="none" w:sz="0" w:space="0" w:color="auto"/>
        <w:bottom w:val="none" w:sz="0" w:space="0" w:color="auto"/>
        <w:right w:val="none" w:sz="0" w:space="0" w:color="auto"/>
      </w:divBdr>
    </w:div>
    <w:div w:id="1280994444">
      <w:bodyDiv w:val="1"/>
      <w:marLeft w:val="0"/>
      <w:marRight w:val="0"/>
      <w:marTop w:val="0"/>
      <w:marBottom w:val="0"/>
      <w:divBdr>
        <w:top w:val="none" w:sz="0" w:space="0" w:color="auto"/>
        <w:left w:val="none" w:sz="0" w:space="0" w:color="auto"/>
        <w:bottom w:val="none" w:sz="0" w:space="0" w:color="auto"/>
        <w:right w:val="none" w:sz="0" w:space="0" w:color="auto"/>
      </w:divBdr>
    </w:div>
    <w:div w:id="1295915263">
      <w:bodyDiv w:val="1"/>
      <w:marLeft w:val="0"/>
      <w:marRight w:val="0"/>
      <w:marTop w:val="0"/>
      <w:marBottom w:val="0"/>
      <w:divBdr>
        <w:top w:val="none" w:sz="0" w:space="0" w:color="auto"/>
        <w:left w:val="none" w:sz="0" w:space="0" w:color="auto"/>
        <w:bottom w:val="none" w:sz="0" w:space="0" w:color="auto"/>
        <w:right w:val="none" w:sz="0" w:space="0" w:color="auto"/>
      </w:divBdr>
    </w:div>
    <w:div w:id="1307510492">
      <w:bodyDiv w:val="1"/>
      <w:marLeft w:val="0"/>
      <w:marRight w:val="0"/>
      <w:marTop w:val="0"/>
      <w:marBottom w:val="0"/>
      <w:divBdr>
        <w:top w:val="none" w:sz="0" w:space="0" w:color="auto"/>
        <w:left w:val="none" w:sz="0" w:space="0" w:color="auto"/>
        <w:bottom w:val="none" w:sz="0" w:space="0" w:color="auto"/>
        <w:right w:val="none" w:sz="0" w:space="0" w:color="auto"/>
      </w:divBdr>
    </w:div>
    <w:div w:id="1314798553">
      <w:bodyDiv w:val="1"/>
      <w:marLeft w:val="0"/>
      <w:marRight w:val="0"/>
      <w:marTop w:val="0"/>
      <w:marBottom w:val="0"/>
      <w:divBdr>
        <w:top w:val="none" w:sz="0" w:space="0" w:color="auto"/>
        <w:left w:val="none" w:sz="0" w:space="0" w:color="auto"/>
        <w:bottom w:val="none" w:sz="0" w:space="0" w:color="auto"/>
        <w:right w:val="none" w:sz="0" w:space="0" w:color="auto"/>
      </w:divBdr>
    </w:div>
    <w:div w:id="1333989493">
      <w:bodyDiv w:val="1"/>
      <w:marLeft w:val="0"/>
      <w:marRight w:val="0"/>
      <w:marTop w:val="0"/>
      <w:marBottom w:val="0"/>
      <w:divBdr>
        <w:top w:val="none" w:sz="0" w:space="0" w:color="auto"/>
        <w:left w:val="none" w:sz="0" w:space="0" w:color="auto"/>
        <w:bottom w:val="none" w:sz="0" w:space="0" w:color="auto"/>
        <w:right w:val="none" w:sz="0" w:space="0" w:color="auto"/>
      </w:divBdr>
    </w:div>
    <w:div w:id="1349719029">
      <w:bodyDiv w:val="1"/>
      <w:marLeft w:val="0"/>
      <w:marRight w:val="0"/>
      <w:marTop w:val="0"/>
      <w:marBottom w:val="0"/>
      <w:divBdr>
        <w:top w:val="none" w:sz="0" w:space="0" w:color="auto"/>
        <w:left w:val="none" w:sz="0" w:space="0" w:color="auto"/>
        <w:bottom w:val="none" w:sz="0" w:space="0" w:color="auto"/>
        <w:right w:val="none" w:sz="0" w:space="0" w:color="auto"/>
      </w:divBdr>
    </w:div>
    <w:div w:id="1364014932">
      <w:bodyDiv w:val="1"/>
      <w:marLeft w:val="0"/>
      <w:marRight w:val="0"/>
      <w:marTop w:val="0"/>
      <w:marBottom w:val="0"/>
      <w:divBdr>
        <w:top w:val="none" w:sz="0" w:space="0" w:color="auto"/>
        <w:left w:val="none" w:sz="0" w:space="0" w:color="auto"/>
        <w:bottom w:val="none" w:sz="0" w:space="0" w:color="auto"/>
        <w:right w:val="none" w:sz="0" w:space="0" w:color="auto"/>
      </w:divBdr>
    </w:div>
    <w:div w:id="1382288249">
      <w:bodyDiv w:val="1"/>
      <w:marLeft w:val="0"/>
      <w:marRight w:val="0"/>
      <w:marTop w:val="0"/>
      <w:marBottom w:val="0"/>
      <w:divBdr>
        <w:top w:val="none" w:sz="0" w:space="0" w:color="auto"/>
        <w:left w:val="none" w:sz="0" w:space="0" w:color="auto"/>
        <w:bottom w:val="none" w:sz="0" w:space="0" w:color="auto"/>
        <w:right w:val="none" w:sz="0" w:space="0" w:color="auto"/>
      </w:divBdr>
      <w:divsChild>
        <w:div w:id="393818064">
          <w:marLeft w:val="0"/>
          <w:marRight w:val="0"/>
          <w:marTop w:val="0"/>
          <w:marBottom w:val="0"/>
          <w:divBdr>
            <w:top w:val="none" w:sz="0" w:space="0" w:color="auto"/>
            <w:left w:val="none" w:sz="0" w:space="0" w:color="auto"/>
            <w:bottom w:val="none" w:sz="0" w:space="0" w:color="auto"/>
            <w:right w:val="none" w:sz="0" w:space="0" w:color="auto"/>
          </w:divBdr>
        </w:div>
      </w:divsChild>
    </w:div>
    <w:div w:id="1416509232">
      <w:bodyDiv w:val="1"/>
      <w:marLeft w:val="0"/>
      <w:marRight w:val="0"/>
      <w:marTop w:val="0"/>
      <w:marBottom w:val="0"/>
      <w:divBdr>
        <w:top w:val="none" w:sz="0" w:space="0" w:color="auto"/>
        <w:left w:val="none" w:sz="0" w:space="0" w:color="auto"/>
        <w:bottom w:val="none" w:sz="0" w:space="0" w:color="auto"/>
        <w:right w:val="none" w:sz="0" w:space="0" w:color="auto"/>
      </w:divBdr>
    </w:div>
    <w:div w:id="1422095559">
      <w:bodyDiv w:val="1"/>
      <w:marLeft w:val="0"/>
      <w:marRight w:val="0"/>
      <w:marTop w:val="0"/>
      <w:marBottom w:val="0"/>
      <w:divBdr>
        <w:top w:val="none" w:sz="0" w:space="0" w:color="auto"/>
        <w:left w:val="none" w:sz="0" w:space="0" w:color="auto"/>
        <w:bottom w:val="none" w:sz="0" w:space="0" w:color="auto"/>
        <w:right w:val="none" w:sz="0" w:space="0" w:color="auto"/>
      </w:divBdr>
    </w:div>
    <w:div w:id="1439377201">
      <w:bodyDiv w:val="1"/>
      <w:marLeft w:val="0"/>
      <w:marRight w:val="0"/>
      <w:marTop w:val="0"/>
      <w:marBottom w:val="0"/>
      <w:divBdr>
        <w:top w:val="none" w:sz="0" w:space="0" w:color="auto"/>
        <w:left w:val="none" w:sz="0" w:space="0" w:color="auto"/>
        <w:bottom w:val="none" w:sz="0" w:space="0" w:color="auto"/>
        <w:right w:val="none" w:sz="0" w:space="0" w:color="auto"/>
      </w:divBdr>
    </w:div>
    <w:div w:id="1445425322">
      <w:bodyDiv w:val="1"/>
      <w:marLeft w:val="0"/>
      <w:marRight w:val="0"/>
      <w:marTop w:val="0"/>
      <w:marBottom w:val="0"/>
      <w:divBdr>
        <w:top w:val="none" w:sz="0" w:space="0" w:color="auto"/>
        <w:left w:val="none" w:sz="0" w:space="0" w:color="auto"/>
        <w:bottom w:val="none" w:sz="0" w:space="0" w:color="auto"/>
        <w:right w:val="none" w:sz="0" w:space="0" w:color="auto"/>
      </w:divBdr>
    </w:div>
    <w:div w:id="1446462722">
      <w:bodyDiv w:val="1"/>
      <w:marLeft w:val="0"/>
      <w:marRight w:val="0"/>
      <w:marTop w:val="0"/>
      <w:marBottom w:val="0"/>
      <w:divBdr>
        <w:top w:val="none" w:sz="0" w:space="0" w:color="auto"/>
        <w:left w:val="none" w:sz="0" w:space="0" w:color="auto"/>
        <w:bottom w:val="none" w:sz="0" w:space="0" w:color="auto"/>
        <w:right w:val="none" w:sz="0" w:space="0" w:color="auto"/>
      </w:divBdr>
    </w:div>
    <w:div w:id="1492673053">
      <w:bodyDiv w:val="1"/>
      <w:marLeft w:val="0"/>
      <w:marRight w:val="0"/>
      <w:marTop w:val="0"/>
      <w:marBottom w:val="0"/>
      <w:divBdr>
        <w:top w:val="none" w:sz="0" w:space="0" w:color="auto"/>
        <w:left w:val="none" w:sz="0" w:space="0" w:color="auto"/>
        <w:bottom w:val="none" w:sz="0" w:space="0" w:color="auto"/>
        <w:right w:val="none" w:sz="0" w:space="0" w:color="auto"/>
      </w:divBdr>
    </w:div>
    <w:div w:id="1522553563">
      <w:bodyDiv w:val="1"/>
      <w:marLeft w:val="0"/>
      <w:marRight w:val="0"/>
      <w:marTop w:val="0"/>
      <w:marBottom w:val="0"/>
      <w:divBdr>
        <w:top w:val="none" w:sz="0" w:space="0" w:color="auto"/>
        <w:left w:val="none" w:sz="0" w:space="0" w:color="auto"/>
        <w:bottom w:val="none" w:sz="0" w:space="0" w:color="auto"/>
        <w:right w:val="none" w:sz="0" w:space="0" w:color="auto"/>
      </w:divBdr>
    </w:div>
    <w:div w:id="1549535161">
      <w:bodyDiv w:val="1"/>
      <w:marLeft w:val="0"/>
      <w:marRight w:val="0"/>
      <w:marTop w:val="0"/>
      <w:marBottom w:val="0"/>
      <w:divBdr>
        <w:top w:val="none" w:sz="0" w:space="0" w:color="auto"/>
        <w:left w:val="none" w:sz="0" w:space="0" w:color="auto"/>
        <w:bottom w:val="none" w:sz="0" w:space="0" w:color="auto"/>
        <w:right w:val="none" w:sz="0" w:space="0" w:color="auto"/>
      </w:divBdr>
    </w:div>
    <w:div w:id="1581983919">
      <w:bodyDiv w:val="1"/>
      <w:marLeft w:val="0"/>
      <w:marRight w:val="0"/>
      <w:marTop w:val="0"/>
      <w:marBottom w:val="0"/>
      <w:divBdr>
        <w:top w:val="none" w:sz="0" w:space="0" w:color="auto"/>
        <w:left w:val="none" w:sz="0" w:space="0" w:color="auto"/>
        <w:bottom w:val="none" w:sz="0" w:space="0" w:color="auto"/>
        <w:right w:val="none" w:sz="0" w:space="0" w:color="auto"/>
      </w:divBdr>
    </w:div>
    <w:div w:id="1582762987">
      <w:bodyDiv w:val="1"/>
      <w:marLeft w:val="0"/>
      <w:marRight w:val="0"/>
      <w:marTop w:val="0"/>
      <w:marBottom w:val="0"/>
      <w:divBdr>
        <w:top w:val="none" w:sz="0" w:space="0" w:color="auto"/>
        <w:left w:val="none" w:sz="0" w:space="0" w:color="auto"/>
        <w:bottom w:val="none" w:sz="0" w:space="0" w:color="auto"/>
        <w:right w:val="none" w:sz="0" w:space="0" w:color="auto"/>
      </w:divBdr>
    </w:div>
    <w:div w:id="1626038855">
      <w:bodyDiv w:val="1"/>
      <w:marLeft w:val="0"/>
      <w:marRight w:val="0"/>
      <w:marTop w:val="0"/>
      <w:marBottom w:val="0"/>
      <w:divBdr>
        <w:top w:val="none" w:sz="0" w:space="0" w:color="auto"/>
        <w:left w:val="none" w:sz="0" w:space="0" w:color="auto"/>
        <w:bottom w:val="none" w:sz="0" w:space="0" w:color="auto"/>
        <w:right w:val="none" w:sz="0" w:space="0" w:color="auto"/>
      </w:divBdr>
    </w:div>
    <w:div w:id="1646274138">
      <w:bodyDiv w:val="1"/>
      <w:marLeft w:val="0"/>
      <w:marRight w:val="0"/>
      <w:marTop w:val="0"/>
      <w:marBottom w:val="0"/>
      <w:divBdr>
        <w:top w:val="none" w:sz="0" w:space="0" w:color="auto"/>
        <w:left w:val="none" w:sz="0" w:space="0" w:color="auto"/>
        <w:bottom w:val="none" w:sz="0" w:space="0" w:color="auto"/>
        <w:right w:val="none" w:sz="0" w:space="0" w:color="auto"/>
      </w:divBdr>
    </w:div>
    <w:div w:id="1648582376">
      <w:bodyDiv w:val="1"/>
      <w:marLeft w:val="0"/>
      <w:marRight w:val="0"/>
      <w:marTop w:val="0"/>
      <w:marBottom w:val="0"/>
      <w:divBdr>
        <w:top w:val="none" w:sz="0" w:space="0" w:color="auto"/>
        <w:left w:val="none" w:sz="0" w:space="0" w:color="auto"/>
        <w:bottom w:val="none" w:sz="0" w:space="0" w:color="auto"/>
        <w:right w:val="none" w:sz="0" w:space="0" w:color="auto"/>
      </w:divBdr>
    </w:div>
    <w:div w:id="1667053768">
      <w:bodyDiv w:val="1"/>
      <w:marLeft w:val="0"/>
      <w:marRight w:val="0"/>
      <w:marTop w:val="0"/>
      <w:marBottom w:val="0"/>
      <w:divBdr>
        <w:top w:val="none" w:sz="0" w:space="0" w:color="auto"/>
        <w:left w:val="none" w:sz="0" w:space="0" w:color="auto"/>
        <w:bottom w:val="none" w:sz="0" w:space="0" w:color="auto"/>
        <w:right w:val="none" w:sz="0" w:space="0" w:color="auto"/>
      </w:divBdr>
    </w:div>
    <w:div w:id="1716196778">
      <w:bodyDiv w:val="1"/>
      <w:marLeft w:val="0"/>
      <w:marRight w:val="0"/>
      <w:marTop w:val="0"/>
      <w:marBottom w:val="0"/>
      <w:divBdr>
        <w:top w:val="none" w:sz="0" w:space="0" w:color="auto"/>
        <w:left w:val="none" w:sz="0" w:space="0" w:color="auto"/>
        <w:bottom w:val="none" w:sz="0" w:space="0" w:color="auto"/>
        <w:right w:val="none" w:sz="0" w:space="0" w:color="auto"/>
      </w:divBdr>
    </w:div>
    <w:div w:id="1718551155">
      <w:bodyDiv w:val="1"/>
      <w:marLeft w:val="0"/>
      <w:marRight w:val="0"/>
      <w:marTop w:val="0"/>
      <w:marBottom w:val="0"/>
      <w:divBdr>
        <w:top w:val="none" w:sz="0" w:space="0" w:color="auto"/>
        <w:left w:val="none" w:sz="0" w:space="0" w:color="auto"/>
        <w:bottom w:val="none" w:sz="0" w:space="0" w:color="auto"/>
        <w:right w:val="none" w:sz="0" w:space="0" w:color="auto"/>
      </w:divBdr>
    </w:div>
    <w:div w:id="1726291745">
      <w:bodyDiv w:val="1"/>
      <w:marLeft w:val="0"/>
      <w:marRight w:val="0"/>
      <w:marTop w:val="0"/>
      <w:marBottom w:val="0"/>
      <w:divBdr>
        <w:top w:val="none" w:sz="0" w:space="0" w:color="auto"/>
        <w:left w:val="none" w:sz="0" w:space="0" w:color="auto"/>
        <w:bottom w:val="none" w:sz="0" w:space="0" w:color="auto"/>
        <w:right w:val="none" w:sz="0" w:space="0" w:color="auto"/>
      </w:divBdr>
    </w:div>
    <w:div w:id="1731729739">
      <w:bodyDiv w:val="1"/>
      <w:marLeft w:val="0"/>
      <w:marRight w:val="0"/>
      <w:marTop w:val="0"/>
      <w:marBottom w:val="0"/>
      <w:divBdr>
        <w:top w:val="none" w:sz="0" w:space="0" w:color="auto"/>
        <w:left w:val="none" w:sz="0" w:space="0" w:color="auto"/>
        <w:bottom w:val="none" w:sz="0" w:space="0" w:color="auto"/>
        <w:right w:val="none" w:sz="0" w:space="0" w:color="auto"/>
      </w:divBdr>
    </w:div>
    <w:div w:id="1746369293">
      <w:bodyDiv w:val="1"/>
      <w:marLeft w:val="0"/>
      <w:marRight w:val="0"/>
      <w:marTop w:val="0"/>
      <w:marBottom w:val="0"/>
      <w:divBdr>
        <w:top w:val="none" w:sz="0" w:space="0" w:color="auto"/>
        <w:left w:val="none" w:sz="0" w:space="0" w:color="auto"/>
        <w:bottom w:val="none" w:sz="0" w:space="0" w:color="auto"/>
        <w:right w:val="none" w:sz="0" w:space="0" w:color="auto"/>
      </w:divBdr>
    </w:div>
    <w:div w:id="1750230784">
      <w:bodyDiv w:val="1"/>
      <w:marLeft w:val="0"/>
      <w:marRight w:val="0"/>
      <w:marTop w:val="0"/>
      <w:marBottom w:val="0"/>
      <w:divBdr>
        <w:top w:val="none" w:sz="0" w:space="0" w:color="auto"/>
        <w:left w:val="none" w:sz="0" w:space="0" w:color="auto"/>
        <w:bottom w:val="none" w:sz="0" w:space="0" w:color="auto"/>
        <w:right w:val="none" w:sz="0" w:space="0" w:color="auto"/>
      </w:divBdr>
    </w:div>
    <w:div w:id="1754738376">
      <w:bodyDiv w:val="1"/>
      <w:marLeft w:val="0"/>
      <w:marRight w:val="0"/>
      <w:marTop w:val="0"/>
      <w:marBottom w:val="0"/>
      <w:divBdr>
        <w:top w:val="none" w:sz="0" w:space="0" w:color="auto"/>
        <w:left w:val="none" w:sz="0" w:space="0" w:color="auto"/>
        <w:bottom w:val="none" w:sz="0" w:space="0" w:color="auto"/>
        <w:right w:val="none" w:sz="0" w:space="0" w:color="auto"/>
      </w:divBdr>
    </w:div>
    <w:div w:id="1757509548">
      <w:bodyDiv w:val="1"/>
      <w:marLeft w:val="0"/>
      <w:marRight w:val="0"/>
      <w:marTop w:val="0"/>
      <w:marBottom w:val="0"/>
      <w:divBdr>
        <w:top w:val="none" w:sz="0" w:space="0" w:color="auto"/>
        <w:left w:val="none" w:sz="0" w:space="0" w:color="auto"/>
        <w:bottom w:val="none" w:sz="0" w:space="0" w:color="auto"/>
        <w:right w:val="none" w:sz="0" w:space="0" w:color="auto"/>
      </w:divBdr>
    </w:div>
    <w:div w:id="1809124809">
      <w:bodyDiv w:val="1"/>
      <w:marLeft w:val="0"/>
      <w:marRight w:val="0"/>
      <w:marTop w:val="0"/>
      <w:marBottom w:val="0"/>
      <w:divBdr>
        <w:top w:val="none" w:sz="0" w:space="0" w:color="auto"/>
        <w:left w:val="none" w:sz="0" w:space="0" w:color="auto"/>
        <w:bottom w:val="none" w:sz="0" w:space="0" w:color="auto"/>
        <w:right w:val="none" w:sz="0" w:space="0" w:color="auto"/>
      </w:divBdr>
    </w:div>
    <w:div w:id="1814635530">
      <w:bodyDiv w:val="1"/>
      <w:marLeft w:val="0"/>
      <w:marRight w:val="0"/>
      <w:marTop w:val="0"/>
      <w:marBottom w:val="0"/>
      <w:divBdr>
        <w:top w:val="none" w:sz="0" w:space="0" w:color="auto"/>
        <w:left w:val="none" w:sz="0" w:space="0" w:color="auto"/>
        <w:bottom w:val="none" w:sz="0" w:space="0" w:color="auto"/>
        <w:right w:val="none" w:sz="0" w:space="0" w:color="auto"/>
      </w:divBdr>
    </w:div>
    <w:div w:id="1822961504">
      <w:bodyDiv w:val="1"/>
      <w:marLeft w:val="0"/>
      <w:marRight w:val="0"/>
      <w:marTop w:val="0"/>
      <w:marBottom w:val="0"/>
      <w:divBdr>
        <w:top w:val="none" w:sz="0" w:space="0" w:color="auto"/>
        <w:left w:val="none" w:sz="0" w:space="0" w:color="auto"/>
        <w:bottom w:val="none" w:sz="0" w:space="0" w:color="auto"/>
        <w:right w:val="none" w:sz="0" w:space="0" w:color="auto"/>
      </w:divBdr>
    </w:div>
    <w:div w:id="1848789333">
      <w:bodyDiv w:val="1"/>
      <w:marLeft w:val="0"/>
      <w:marRight w:val="0"/>
      <w:marTop w:val="0"/>
      <w:marBottom w:val="0"/>
      <w:divBdr>
        <w:top w:val="none" w:sz="0" w:space="0" w:color="auto"/>
        <w:left w:val="none" w:sz="0" w:space="0" w:color="auto"/>
        <w:bottom w:val="none" w:sz="0" w:space="0" w:color="auto"/>
        <w:right w:val="none" w:sz="0" w:space="0" w:color="auto"/>
      </w:divBdr>
    </w:div>
    <w:div w:id="1870143820">
      <w:bodyDiv w:val="1"/>
      <w:marLeft w:val="0"/>
      <w:marRight w:val="0"/>
      <w:marTop w:val="0"/>
      <w:marBottom w:val="0"/>
      <w:divBdr>
        <w:top w:val="none" w:sz="0" w:space="0" w:color="auto"/>
        <w:left w:val="none" w:sz="0" w:space="0" w:color="auto"/>
        <w:bottom w:val="none" w:sz="0" w:space="0" w:color="auto"/>
        <w:right w:val="none" w:sz="0" w:space="0" w:color="auto"/>
      </w:divBdr>
    </w:div>
    <w:div w:id="1880622467">
      <w:bodyDiv w:val="1"/>
      <w:marLeft w:val="0"/>
      <w:marRight w:val="0"/>
      <w:marTop w:val="0"/>
      <w:marBottom w:val="0"/>
      <w:divBdr>
        <w:top w:val="none" w:sz="0" w:space="0" w:color="auto"/>
        <w:left w:val="none" w:sz="0" w:space="0" w:color="auto"/>
        <w:bottom w:val="none" w:sz="0" w:space="0" w:color="auto"/>
        <w:right w:val="none" w:sz="0" w:space="0" w:color="auto"/>
      </w:divBdr>
    </w:div>
    <w:div w:id="1894928916">
      <w:bodyDiv w:val="1"/>
      <w:marLeft w:val="0"/>
      <w:marRight w:val="0"/>
      <w:marTop w:val="0"/>
      <w:marBottom w:val="0"/>
      <w:divBdr>
        <w:top w:val="none" w:sz="0" w:space="0" w:color="auto"/>
        <w:left w:val="none" w:sz="0" w:space="0" w:color="auto"/>
        <w:bottom w:val="none" w:sz="0" w:space="0" w:color="auto"/>
        <w:right w:val="none" w:sz="0" w:space="0" w:color="auto"/>
      </w:divBdr>
    </w:div>
    <w:div w:id="1928921907">
      <w:bodyDiv w:val="1"/>
      <w:marLeft w:val="0"/>
      <w:marRight w:val="0"/>
      <w:marTop w:val="0"/>
      <w:marBottom w:val="0"/>
      <w:divBdr>
        <w:top w:val="none" w:sz="0" w:space="0" w:color="auto"/>
        <w:left w:val="none" w:sz="0" w:space="0" w:color="auto"/>
        <w:bottom w:val="none" w:sz="0" w:space="0" w:color="auto"/>
        <w:right w:val="none" w:sz="0" w:space="0" w:color="auto"/>
      </w:divBdr>
    </w:div>
    <w:div w:id="1944651491">
      <w:bodyDiv w:val="1"/>
      <w:marLeft w:val="0"/>
      <w:marRight w:val="0"/>
      <w:marTop w:val="0"/>
      <w:marBottom w:val="0"/>
      <w:divBdr>
        <w:top w:val="none" w:sz="0" w:space="0" w:color="auto"/>
        <w:left w:val="none" w:sz="0" w:space="0" w:color="auto"/>
        <w:bottom w:val="none" w:sz="0" w:space="0" w:color="auto"/>
        <w:right w:val="none" w:sz="0" w:space="0" w:color="auto"/>
      </w:divBdr>
    </w:div>
    <w:div w:id="1963416814">
      <w:bodyDiv w:val="1"/>
      <w:marLeft w:val="0"/>
      <w:marRight w:val="0"/>
      <w:marTop w:val="0"/>
      <w:marBottom w:val="0"/>
      <w:divBdr>
        <w:top w:val="none" w:sz="0" w:space="0" w:color="auto"/>
        <w:left w:val="none" w:sz="0" w:space="0" w:color="auto"/>
        <w:bottom w:val="none" w:sz="0" w:space="0" w:color="auto"/>
        <w:right w:val="none" w:sz="0" w:space="0" w:color="auto"/>
      </w:divBdr>
    </w:div>
    <w:div w:id="1968391284">
      <w:bodyDiv w:val="1"/>
      <w:marLeft w:val="0"/>
      <w:marRight w:val="0"/>
      <w:marTop w:val="0"/>
      <w:marBottom w:val="0"/>
      <w:divBdr>
        <w:top w:val="none" w:sz="0" w:space="0" w:color="auto"/>
        <w:left w:val="none" w:sz="0" w:space="0" w:color="auto"/>
        <w:bottom w:val="none" w:sz="0" w:space="0" w:color="auto"/>
        <w:right w:val="none" w:sz="0" w:space="0" w:color="auto"/>
      </w:divBdr>
    </w:div>
    <w:div w:id="1985621851">
      <w:bodyDiv w:val="1"/>
      <w:marLeft w:val="0"/>
      <w:marRight w:val="0"/>
      <w:marTop w:val="0"/>
      <w:marBottom w:val="0"/>
      <w:divBdr>
        <w:top w:val="none" w:sz="0" w:space="0" w:color="auto"/>
        <w:left w:val="none" w:sz="0" w:space="0" w:color="auto"/>
        <w:bottom w:val="none" w:sz="0" w:space="0" w:color="auto"/>
        <w:right w:val="none" w:sz="0" w:space="0" w:color="auto"/>
      </w:divBdr>
    </w:div>
    <w:div w:id="1999920898">
      <w:bodyDiv w:val="1"/>
      <w:marLeft w:val="0"/>
      <w:marRight w:val="0"/>
      <w:marTop w:val="0"/>
      <w:marBottom w:val="0"/>
      <w:divBdr>
        <w:top w:val="none" w:sz="0" w:space="0" w:color="auto"/>
        <w:left w:val="none" w:sz="0" w:space="0" w:color="auto"/>
        <w:bottom w:val="none" w:sz="0" w:space="0" w:color="auto"/>
        <w:right w:val="none" w:sz="0" w:space="0" w:color="auto"/>
      </w:divBdr>
    </w:div>
    <w:div w:id="2038043481">
      <w:bodyDiv w:val="1"/>
      <w:marLeft w:val="0"/>
      <w:marRight w:val="0"/>
      <w:marTop w:val="0"/>
      <w:marBottom w:val="0"/>
      <w:divBdr>
        <w:top w:val="none" w:sz="0" w:space="0" w:color="auto"/>
        <w:left w:val="none" w:sz="0" w:space="0" w:color="auto"/>
        <w:bottom w:val="none" w:sz="0" w:space="0" w:color="auto"/>
        <w:right w:val="none" w:sz="0" w:space="0" w:color="auto"/>
      </w:divBdr>
    </w:div>
    <w:div w:id="2047633450">
      <w:bodyDiv w:val="1"/>
      <w:marLeft w:val="0"/>
      <w:marRight w:val="0"/>
      <w:marTop w:val="0"/>
      <w:marBottom w:val="0"/>
      <w:divBdr>
        <w:top w:val="none" w:sz="0" w:space="0" w:color="auto"/>
        <w:left w:val="none" w:sz="0" w:space="0" w:color="auto"/>
        <w:bottom w:val="none" w:sz="0" w:space="0" w:color="auto"/>
        <w:right w:val="none" w:sz="0" w:space="0" w:color="auto"/>
      </w:divBdr>
    </w:div>
    <w:div w:id="2061055941">
      <w:bodyDiv w:val="1"/>
      <w:marLeft w:val="0"/>
      <w:marRight w:val="0"/>
      <w:marTop w:val="0"/>
      <w:marBottom w:val="0"/>
      <w:divBdr>
        <w:top w:val="none" w:sz="0" w:space="0" w:color="auto"/>
        <w:left w:val="none" w:sz="0" w:space="0" w:color="auto"/>
        <w:bottom w:val="none" w:sz="0" w:space="0" w:color="auto"/>
        <w:right w:val="none" w:sz="0" w:space="0" w:color="auto"/>
      </w:divBdr>
    </w:div>
    <w:div w:id="2064480977">
      <w:bodyDiv w:val="1"/>
      <w:marLeft w:val="0"/>
      <w:marRight w:val="0"/>
      <w:marTop w:val="0"/>
      <w:marBottom w:val="0"/>
      <w:divBdr>
        <w:top w:val="none" w:sz="0" w:space="0" w:color="auto"/>
        <w:left w:val="none" w:sz="0" w:space="0" w:color="auto"/>
        <w:bottom w:val="none" w:sz="0" w:space="0" w:color="auto"/>
        <w:right w:val="none" w:sz="0" w:space="0" w:color="auto"/>
      </w:divBdr>
    </w:div>
    <w:div w:id="2083407915">
      <w:bodyDiv w:val="1"/>
      <w:marLeft w:val="0"/>
      <w:marRight w:val="0"/>
      <w:marTop w:val="0"/>
      <w:marBottom w:val="0"/>
      <w:divBdr>
        <w:top w:val="none" w:sz="0" w:space="0" w:color="auto"/>
        <w:left w:val="none" w:sz="0" w:space="0" w:color="auto"/>
        <w:bottom w:val="none" w:sz="0" w:space="0" w:color="auto"/>
        <w:right w:val="none" w:sz="0" w:space="0" w:color="auto"/>
      </w:divBdr>
    </w:div>
    <w:div w:id="21151744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BCo CDE MS Theme 2">
  <a:themeElements>
    <a:clrScheme name="BCo CDE MS Theme 2">
      <a:dk1>
        <a:srgbClr val="5C6670"/>
      </a:dk1>
      <a:lt1>
        <a:sysClr val="window" lastClr="FFFFFF"/>
      </a:lt1>
      <a:dk2>
        <a:srgbClr val="8FC6E8"/>
      </a:dk2>
      <a:lt2>
        <a:srgbClr val="A9ABA0"/>
      </a:lt2>
      <a:accent1>
        <a:srgbClr val="488BC9"/>
      </a:accent1>
      <a:accent2>
        <a:srgbClr val="FFC846"/>
      </a:accent2>
      <a:accent3>
        <a:srgbClr val="8DC63F"/>
      </a:accent3>
      <a:accent4>
        <a:srgbClr val="6D3A5D"/>
      </a:accent4>
      <a:accent5>
        <a:srgbClr val="46797A"/>
      </a:accent5>
      <a:accent6>
        <a:srgbClr val="EF7521"/>
      </a:accent6>
      <a:hlink>
        <a:srgbClr val="101E8E"/>
      </a:hlink>
      <a:folHlink>
        <a:srgbClr val="18375D"/>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rid">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effectStyle>
        <a:effectStyle>
          <a:effectLst>
            <a:outerShdw blurRad="31750" dist="25400" dir="5400000" rotWithShape="0">
              <a:srgbClr val="000000">
                <a:alpha val="5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0000"/>
            <a:shade val="93000"/>
            <a:satMod val="150000"/>
          </a:schemeClr>
        </a:solidFill>
        <a:blipFill rotWithShape="1">
          <a:blip xmlns:r="http://schemas.openxmlformats.org/officeDocument/2006/relationships" r:embed="rId1">
            <a:duotone>
              <a:schemeClr val="phClr">
                <a:tint val="95000"/>
              </a:schemeClr>
              <a:schemeClr val="phClr">
                <a:shade val="93000"/>
                <a:satMod val="11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9E840-0B9D-4F87-B308-2B475209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Mill Levy Override Revenue Report: Fiscal Year 2023-2024</vt:lpstr>
    </vt:vector>
  </TitlesOfParts>
  <Company>Colorado State Education</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 Levy Override Revenue Report: Fiscal Year 2024-2025</dc:title>
  <dc:creator>Beth Hunter</dc:creator>
  <dc:description>Building Excellent Schools Today (BEST) Annual Report</dc:description>
  <cp:lastModifiedBy>Lucero, Yolanda</cp:lastModifiedBy>
  <cp:revision>5</cp:revision>
  <cp:lastPrinted>2025-09-03T15:18:00Z</cp:lastPrinted>
  <dcterms:created xsi:type="dcterms:W3CDTF">2025-09-03T15:19:00Z</dcterms:created>
  <dcterms:modified xsi:type="dcterms:W3CDTF">2026-08-24T20:47:00Z</dcterms:modified>
</cp:coreProperties>
</file>