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Regular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May 27, 2026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Wednesday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Approval of Agenda (action)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Public Forum- Speakers will be allotted 3 minutes each to speak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Approval of Minutes (action)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Approval of Cash Flow Reports (action)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Approval of Monthly Bills (action)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Administrator’s Report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Resolution of Intent to Issue the Bonds and to Revise the FY27 LTFM ten year plan (action)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FFA Nationals (action)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Workers Comp Renewal - Insurance Services (action)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Insurance Renewal - Insurance Services (action)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6"/>
          <w:szCs w:val="26"/>
          <w:rtl w:val="0"/>
        </w:rPr>
        <w:t xml:space="preserve">MSHSL Resolution for Membership for the 2025-2026 School Year (action)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FY26 Revised Budget (action)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Non-Certified Contracts (action)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Resignation (action)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Final Approval of Policies (516 &amp; 516.5)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Donation (action)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Building Project (action)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Painting Exterior of Kindergarten (action)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HS Report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Elementary/Supt Report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Adjournment</w:t>
      </w:r>
    </w:p>
    <w:sectPr>
      <w:pgSz w:h="15840" w:w="12240" w:orient="portrait"/>
      <w:pgMar w:bottom="1440" w:top="12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z w:val="28"/>
        <w:szCs w:val="28"/>
        <w:u w:val="none"/>
        <w:shd w:fill="auto" w:val="clear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kRaLO1ekCjRFQfpQuJ0ZTD/0fQ==">CgMxLjA4AHIhMXBPSlRwS3ZDdnlmU2huaXNMSURGdW5CSHdYVkRLdGhR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