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center"/>
        <w:rPr>
          <w:rFonts w:ascii="Arimo" w:cs="Arimo" w:eastAsia="Arimo" w:hAnsi="Arimo"/>
          <w:color w:val="434343"/>
          <w:sz w:val="60"/>
          <w:szCs w:val="60"/>
        </w:rPr>
      </w:pPr>
      <w:bookmarkStart w:colFirst="0" w:colLast="0" w:name="_5rl96u8eb4aq" w:id="0"/>
      <w:bookmarkEnd w:id="0"/>
      <w:r w:rsidDel="00000000" w:rsidR="00000000" w:rsidRPr="00000000">
        <w:rPr>
          <w:rFonts w:ascii="Arimo" w:cs="Arimo" w:eastAsia="Arimo" w:hAnsi="Arimo"/>
          <w:color w:val="434343"/>
          <w:sz w:val="60"/>
          <w:szCs w:val="60"/>
          <w:rtl w:val="0"/>
        </w:rPr>
        <w:t xml:space="preserve">Collegiate High School</w:t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4305"/>
        <w:gridCol w:w="4335"/>
        <w:tblGridChange w:id="0">
          <w:tblGrid>
            <w:gridCol w:w="4320"/>
            <w:gridCol w:w="4305"/>
            <w:gridCol w:w="4335"/>
          </w:tblGrid>
        </w:tblGridChange>
      </w:tblGrid>
      <w:tr>
        <w:trPr>
          <w:cantSplit w:val="0"/>
          <w:tblHeader w:val="1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 1: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The percentage of HS scholars (9th/10th graders) at Masters on STAAR Reading will increase from 22% in August 2025 to 30% in June 2026.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By June 2026, the percentage of 9th-grade scholars scoring at the Masters level on STAAR EOC English I will increase from 35% to 40%.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Teachers will embed advanced reading and writing tasks that emphasize synthesis across multiple texts, rhetorical analysis, and evidence-based writing. Scholars will regularly use AVID Cornell notes and academic discussion protocols to deepen comprehension.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By June 2026, the percentage of 10th-grade scholars scoring at the Masters level on STAAR EOC English II will increase from 9% to 20%.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highlight w:val="white"/>
                <w:rtl w:val="0"/>
              </w:rPr>
              <w:t xml:space="preserve">Teachers will implement targeted intervention cycles that focus on inferencing, author's craft, and complex text structures, with scaffolded use of organizers (e.g., Frayer models for vocabulary, graphic organizers for theme/evidence). Scholars will also complete timed writing practice aligned to STAAR Masters-level prompts.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 2: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The percentage of AP scholars achieving a 3+ will increase from 46% in August 2025  to 50% in June 2026.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Teachers will implement aligned instructional pacing and progress monitoring to ensure AP Human Geography and World History scholars are consistently prepared for AP-level rigor.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AP teachers will develop and follow unit pacing calendars aligned with College Board frameworks, administer bi-weekly checks for understanding using AP-style multiple-choice and free-response questions (FRQs), and track scholar progress through campus data meetings.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highlight w:val="white"/>
                <w:rtl w:val="0"/>
              </w:rPr>
              <w:t xml:space="preserve">Scholars in Human Geography and World History will engage in structured AP-level practice and targeted supports to build confidence and mastery.</w:t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highlight w:val="white"/>
                <w:rtl w:val="0"/>
              </w:rPr>
              <w:t xml:space="preserve">Teachers will embed weekly AP-level practice (timed FRQs, document-based questions, and stimulus-based multiple-choice items) and provide after-school or Saturday tutorials focused on test-taking strategies for first-time AP scholars.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.988281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The percentage of scholars HS Scholars (9th-10th grade) College Career and Military Ready, as measured by TSIA success, will increase from 67% in August 2025 to 90% in May 2026.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By May 2026, the percentage of ninth-grade scholars meeting TSIA Reading will increase from 55% to 90%.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Teachers will integrate evidence-based reading practices (close reading, annotation, and reciprocal teaching) into weekly instruction, with targeted interventions on informational text comprehension and academic vocabulary.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By May 2026, the percentage of ninth-grade scholars meeting TSIA Math benchmarks will increase from 23% to 85%.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Teachers will implement daily fluency practice in algebraic foundations (linear equations, inequalities, functions) and problem-solving with real-world applications, supported by calculator strategies for efficiency.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By May 2026, the percentage of tenth-grade scholars meeting TSIA ELAR benchmarks will increase from 87% to 100%.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Teachers will provide targeted support for the remaining non-benchmark scholars through small-group tutorials that emphasize text analysis, argument structure, and evidence-based writing, aligned with TSIA expectations.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By May 2026, the percentage of tenth-grade scholars meeting TSIA Math benchmarks will increase from 61% to 85%.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Teachers will deliver targeted intervention cycles in quadratic functions, systems of equations, and problem-solving using TSIA-style practice sets, with explicit instruction on calculator functions to ensure accuracy.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 4: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The percentage of ninth-graders achieving Masters on Biology STAAR will grow from 25% in August 2025 to 35% in June 2026.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By June 2026, the percentage of ninth-grade scholars scoring at the Masters level on STAAR EOC Biology will increase from 25% to 35%.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Teachers will embed higher-order scientific reasoning tasks in daily instruction, including data analysis of lab results, graph interpretation, and claim-evidence-reasoning writing, and integrate STAAR-aligned practice questions that target the application and synthesis of biology concepts, such as cell processes, genetics, and ecosystems.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 5: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By June 2026, the percentage of students reporting positive perceptions of teacher-student relationships will increase from 25% to 45%, moving the campus to at least the 40th percentile nationally.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Teachers will strengthen relational practices by building consistent personal connections and demonstrating fairness and respect, fostering a culture of trust and belonging.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645"/>
                <w:sz w:val="24"/>
                <w:szCs w:val="24"/>
                <w:rtl w:val="0"/>
              </w:rPr>
              <w:t xml:space="preserve">Teachers will implement intentional relationship-building routines (e.g., daily positive greetings, weekly check-ins, and restorative circles) while incorporating student voice through feedback surveys and classroom discussions.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6" w:type="first"/>
      <w:footerReference r:id="rId7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/>
      <w:drawing>
        <wp:inline distB="114300" distT="114300" distL="114300" distR="114300">
          <wp:extent cx="8229600" cy="2057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9600" cy="2057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