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0A3" w:rsidRDefault="00EA7EEA">
      <w:pPr>
        <w:pStyle w:val="Galaxy-WPBLevel0"/>
        <w:keepNext w:val="0"/>
        <w:rPr>
          <w:color w:val="000000"/>
        </w:rPr>
      </w:pPr>
      <w:r>
        <w:rPr>
          <w:color w:val="000000"/>
        </w:rPr>
        <w:t>SECTION 09 67 00</w:t>
      </w:r>
    </w:p>
    <w:p w:rsidR="00CB00A3" w:rsidRDefault="00EA7EEA">
      <w:pPr>
        <w:pStyle w:val="Galaxy-WPBLevel0"/>
        <w:keepNext w:val="0"/>
        <w:rPr>
          <w:color w:val="000000"/>
        </w:rPr>
      </w:pPr>
      <w:bookmarkStart w:id="0" w:name="_GoBack"/>
      <w:r>
        <w:rPr>
          <w:color w:val="000000"/>
        </w:rPr>
        <w:t>FLUID-APPLIED EPOXY FLOORING</w:t>
      </w:r>
    </w:p>
    <w:bookmarkEnd w:id="0"/>
    <w:p w:rsidR="00CB00A3" w:rsidRDefault="00EA7EEA">
      <w:pPr>
        <w:pStyle w:val="Galaxy-WPBLevel1N"/>
        <w:rPr>
          <w:color w:val="000000"/>
        </w:rPr>
      </w:pPr>
      <w:r>
        <w:rPr>
          <w:color w:val="000000"/>
        </w:rPr>
        <w:t>PART 1  GENERAL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1.1</w:t>
      </w:r>
      <w:r>
        <w:rPr>
          <w:b w:val="0"/>
          <w:color w:val="000000"/>
        </w:rPr>
        <w:tab/>
      </w:r>
      <w:r>
        <w:rPr>
          <w:color w:val="000000"/>
        </w:rPr>
        <w:t>SECTION INCLUDES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Fluid-applied flooring and base.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1.2</w:t>
      </w:r>
      <w:r>
        <w:rPr>
          <w:b w:val="0"/>
          <w:color w:val="000000"/>
        </w:rPr>
        <w:tab/>
      </w:r>
      <w:r>
        <w:rPr>
          <w:color w:val="000000"/>
        </w:rPr>
        <w:t>RELATED REQUIREMENTS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Section 07 92 00 - Joint Sealants:  Sealing joints between fluid-applied flooring and adjacent construction and fixtures.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Section 09 05 61 - Common Work Results for Flooring Preparation:  Concrete slab moisture and alkalinity testing and remediation procedures.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1.3</w:t>
      </w:r>
      <w:r>
        <w:rPr>
          <w:b w:val="0"/>
          <w:color w:val="000000"/>
        </w:rPr>
        <w:tab/>
      </w:r>
      <w:r>
        <w:rPr>
          <w:color w:val="000000"/>
        </w:rPr>
        <w:t>REFERENCE STANDARDS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</w:r>
      <w:hyperlink r:id="rId6" w:history="1">
        <w:r>
          <w:rPr>
            <w:color w:val="000000"/>
          </w:rPr>
          <w:t>ASTM D570</w:t>
        </w:r>
      </w:hyperlink>
      <w:r>
        <w:rPr>
          <w:color w:val="000000"/>
        </w:rPr>
        <w:t xml:space="preserve"> - Standard Test Method for Water Absorption of Plastics; 1998 (Reapproved 2010).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</w:r>
      <w:hyperlink r:id="rId7" w:history="1">
        <w:r>
          <w:rPr>
            <w:color w:val="000000"/>
          </w:rPr>
          <w:t>ASTM D638</w:t>
        </w:r>
      </w:hyperlink>
      <w:r>
        <w:rPr>
          <w:color w:val="000000"/>
        </w:rPr>
        <w:t xml:space="preserve"> - Standard Test Method for Tensile Properties of Plastics; 2014.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</w:r>
      <w:hyperlink r:id="rId8" w:history="1">
        <w:r>
          <w:rPr>
            <w:color w:val="000000"/>
          </w:rPr>
          <w:t>ASTM D695</w:t>
        </w:r>
      </w:hyperlink>
      <w:r>
        <w:rPr>
          <w:color w:val="000000"/>
        </w:rPr>
        <w:t xml:space="preserve"> - Standard Test Method for Compressive Properties of Rigid Plastics; 2015.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D.</w:t>
      </w:r>
      <w:r>
        <w:rPr>
          <w:color w:val="000000"/>
        </w:rPr>
        <w:tab/>
        <w:t>ASTM D790 - Standard Test Methods for Flexural Properties of Unreinforced and Reinforced Plastics and Electrical Insulating Materials; 2017.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E.</w:t>
      </w:r>
      <w:r>
        <w:rPr>
          <w:color w:val="000000"/>
        </w:rPr>
        <w:tab/>
      </w:r>
      <w:hyperlink r:id="rId9" w:history="1">
        <w:r>
          <w:rPr>
            <w:color w:val="000000"/>
          </w:rPr>
          <w:t>ASTM D905</w:t>
        </w:r>
      </w:hyperlink>
      <w:r>
        <w:rPr>
          <w:color w:val="000000"/>
        </w:rPr>
        <w:t xml:space="preserve"> - Standard Test Method for Strength Properties of Adhesive Bonds in Shear by Compression Loading; 2008 (Reapproved 2013).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F.</w:t>
      </w:r>
      <w:r>
        <w:rPr>
          <w:color w:val="000000"/>
        </w:rPr>
        <w:tab/>
        <w:t>ASTM D2794 - Standard Test Method for Resistance of Organic Coatings to the Effects of Rapid Deformation (Impact); 2019.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G.</w:t>
      </w:r>
      <w:r>
        <w:rPr>
          <w:color w:val="000000"/>
        </w:rPr>
        <w:tab/>
      </w:r>
      <w:hyperlink r:id="rId10" w:history="1">
        <w:r>
          <w:rPr>
            <w:color w:val="000000"/>
          </w:rPr>
          <w:t>ASTM D4060</w:t>
        </w:r>
      </w:hyperlink>
      <w:r>
        <w:rPr>
          <w:color w:val="000000"/>
        </w:rPr>
        <w:t xml:space="preserve"> - Standard Test Method for Abrasion Resistance of Organic Coatings by the Taber </w:t>
      </w:r>
      <w:proofErr w:type="spellStart"/>
      <w:r>
        <w:rPr>
          <w:color w:val="000000"/>
        </w:rPr>
        <w:t>Abraser</w:t>
      </w:r>
      <w:proofErr w:type="spellEnd"/>
      <w:r>
        <w:rPr>
          <w:color w:val="000000"/>
        </w:rPr>
        <w:t>; 2014.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H.</w:t>
      </w:r>
      <w:r>
        <w:rPr>
          <w:color w:val="000000"/>
        </w:rPr>
        <w:tab/>
      </w:r>
      <w:hyperlink r:id="rId11" w:history="1">
        <w:r>
          <w:rPr>
            <w:color w:val="000000"/>
          </w:rPr>
          <w:t>ASTM E96/E96M</w:t>
        </w:r>
      </w:hyperlink>
      <w:r>
        <w:rPr>
          <w:color w:val="000000"/>
        </w:rPr>
        <w:t xml:space="preserve"> - Standard Test Methods for Water Vapor Transmission of Materials; 2016.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I.</w:t>
      </w:r>
      <w:r>
        <w:rPr>
          <w:color w:val="000000"/>
        </w:rPr>
        <w:tab/>
      </w:r>
      <w:hyperlink r:id="rId12" w:history="1">
        <w:r>
          <w:rPr>
            <w:color w:val="000000"/>
          </w:rPr>
          <w:t>ASTM E648</w:t>
        </w:r>
      </w:hyperlink>
      <w:r>
        <w:rPr>
          <w:color w:val="000000"/>
        </w:rPr>
        <w:t xml:space="preserve"> - Standard Test Method for Critical Radiant Flux of Floor-Covering Systems Using a Radiant Heat Energy Source; 2017.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J.</w:t>
      </w:r>
      <w:r>
        <w:rPr>
          <w:color w:val="000000"/>
        </w:rPr>
        <w:tab/>
      </w:r>
      <w:hyperlink r:id="rId13" w:history="1">
        <w:r>
          <w:rPr>
            <w:color w:val="000000"/>
          </w:rPr>
          <w:t>ASTM F710</w:t>
        </w:r>
      </w:hyperlink>
      <w:r>
        <w:rPr>
          <w:color w:val="000000"/>
        </w:rPr>
        <w:t xml:space="preserve"> - Standard Practice for Preparing Concrete Floors to Receive Resilient Flooring; 2017.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K.</w:t>
      </w:r>
      <w:r>
        <w:rPr>
          <w:color w:val="000000"/>
        </w:rPr>
        <w:tab/>
      </w:r>
      <w:hyperlink r:id="rId14" w:history="1">
        <w:r>
          <w:rPr>
            <w:color w:val="000000"/>
          </w:rPr>
          <w:t>ASTM F1869</w:t>
        </w:r>
      </w:hyperlink>
      <w:r>
        <w:rPr>
          <w:color w:val="000000"/>
        </w:rPr>
        <w:t xml:space="preserve"> - Standard Test Method for Measuring Moisture Vapor Emission Rate of Concrete Subfloor Using Anhydrous Calcium Chloride; 2016a.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L.</w:t>
      </w:r>
      <w:r>
        <w:rPr>
          <w:color w:val="000000"/>
        </w:rPr>
        <w:tab/>
      </w:r>
      <w:hyperlink r:id="rId15" w:history="1">
        <w:r>
          <w:rPr>
            <w:color w:val="000000"/>
          </w:rPr>
          <w:t>ASTM F2170</w:t>
        </w:r>
      </w:hyperlink>
      <w:r>
        <w:rPr>
          <w:color w:val="000000"/>
        </w:rPr>
        <w:t xml:space="preserve"> - Standard Test Method for Determining Relative Humidity in Concrete Floor Slabs Using in situ Probes; 2017.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M.</w:t>
      </w:r>
      <w:r>
        <w:rPr>
          <w:color w:val="000000"/>
        </w:rPr>
        <w:tab/>
      </w:r>
      <w:hyperlink r:id="rId16" w:history="1">
        <w:r>
          <w:rPr>
            <w:color w:val="000000"/>
          </w:rPr>
          <w:t>ICRI 310.2R</w:t>
        </w:r>
      </w:hyperlink>
      <w:r>
        <w:rPr>
          <w:color w:val="000000"/>
        </w:rPr>
        <w:t xml:space="preserve"> - Selecting and Specifying Concrete Surface Preparation for Sealers, Coatings, Polymer Overlays, and Concrete Repair; 2013.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1.4</w:t>
      </w:r>
      <w:r>
        <w:rPr>
          <w:b w:val="0"/>
          <w:color w:val="000000"/>
        </w:rPr>
        <w:tab/>
      </w:r>
      <w:r>
        <w:rPr>
          <w:color w:val="000000"/>
        </w:rPr>
        <w:t>SUBMITTALS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See Section 01 33 00 - Submittal Procedures.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Product Data:  Provide data on specified products, describing physical and performance characteristics; sizes, patterns and colors available.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lastRenderedPageBreak/>
        <w:t>C.</w:t>
      </w:r>
      <w:r>
        <w:rPr>
          <w:color w:val="000000"/>
        </w:rPr>
        <w:tab/>
        <w:t>Samples:  Submit two samples, 12 by 12 inches in size illustrating color and pattern for each floor material for each color specified.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D.</w:t>
      </w:r>
      <w:r>
        <w:rPr>
          <w:color w:val="000000"/>
        </w:rPr>
        <w:tab/>
        <w:t>Concrete Subfloor Test Report:  Submit a copy of the moisture and alkalinity (pH) test reports.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E.</w:t>
      </w:r>
      <w:r>
        <w:rPr>
          <w:color w:val="000000"/>
        </w:rPr>
        <w:tab/>
        <w:t>Field Quality Control Reports:  Submit a copy of the Temperature and Coverage Rate reports.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F.</w:t>
      </w:r>
      <w:r>
        <w:rPr>
          <w:color w:val="000000"/>
        </w:rPr>
        <w:tab/>
        <w:t>Manufacturer's Installation Instructions:  Indicate special procedures.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G.</w:t>
      </w:r>
      <w:r>
        <w:rPr>
          <w:color w:val="000000"/>
        </w:rPr>
        <w:tab/>
        <w:t>Manufacturer's Qualification Statement.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H.</w:t>
      </w:r>
      <w:r>
        <w:rPr>
          <w:color w:val="000000"/>
        </w:rPr>
        <w:tab/>
        <w:t>Applicator's Qualification Statement.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I.</w:t>
      </w:r>
      <w:r>
        <w:rPr>
          <w:color w:val="000000"/>
        </w:rPr>
        <w:tab/>
        <w:t>Maintenance Data:  Include maintenance procedures, recommended maintenance materials, procedures for stain removal, repairing surface, and suggested schedule for cleaning.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1.5</w:t>
      </w:r>
      <w:r>
        <w:rPr>
          <w:b w:val="0"/>
          <w:color w:val="000000"/>
        </w:rPr>
        <w:tab/>
      </w:r>
      <w:r>
        <w:rPr>
          <w:color w:val="000000"/>
        </w:rPr>
        <w:t>QUALITY ASSURANCE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Manufacturer Qualifications:  Company specializing in manufacturing products specified in this section with minimum three years documented experience.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Applicator Qualifications:  Company specializing in performing the work of this section.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Minimum three years of documented experience.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Approved by manufacturer.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1.6</w:t>
      </w:r>
      <w:r>
        <w:rPr>
          <w:b w:val="0"/>
          <w:color w:val="000000"/>
        </w:rPr>
        <w:tab/>
      </w:r>
      <w:r>
        <w:rPr>
          <w:color w:val="000000"/>
        </w:rPr>
        <w:t>MOCK-UP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Construct mock-up(s) of fluid applied flooring to serve as basis for evaluation of texture, slip resistance and workmanship.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Number of Mock-Ups to be Prepared:  One.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Use same materials and methods for use in the work.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Use approved design samples as basis for mock-ups.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>Locate where directed.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ab/>
        <w:t>Minimum Size:  48 inches by 48 inches.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See Section 01 40 00 - Quality Control for additional requirements.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  <w:t>Approved mock-up may remain as part of the Work.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1.7</w:t>
      </w:r>
      <w:r>
        <w:rPr>
          <w:b w:val="0"/>
          <w:color w:val="000000"/>
        </w:rPr>
        <w:tab/>
      </w:r>
      <w:r>
        <w:rPr>
          <w:color w:val="000000"/>
        </w:rPr>
        <w:t>DELIVERY, STORAGE, AND HANDLING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Store resin materials in a dry, secure area.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Store materials for three days prior to installation in area of installation to achieve temperature stability.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1.8</w:t>
      </w:r>
      <w:r>
        <w:rPr>
          <w:b w:val="0"/>
          <w:color w:val="000000"/>
        </w:rPr>
        <w:tab/>
      </w:r>
      <w:r>
        <w:rPr>
          <w:color w:val="000000"/>
        </w:rPr>
        <w:t>FIELD CONDITIONS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Store materials in area of installation for minimum period of 24 hours prior to installation.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Maintain ambient temperature required by manufacturer 72 hours prior to, during, and 24 hours after installation of materials.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1.9</w:t>
      </w:r>
      <w:r>
        <w:rPr>
          <w:b w:val="0"/>
          <w:color w:val="000000"/>
        </w:rPr>
        <w:tab/>
      </w:r>
      <w:r>
        <w:rPr>
          <w:color w:val="000000"/>
        </w:rPr>
        <w:t>WARRANTY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Manufacturer’s warranty covering the fluid-applied flooring against defects in materials for a minimum of one year from date of installation.</w:t>
      </w:r>
    </w:p>
    <w:p w:rsidR="00CB00A3" w:rsidRDefault="00EA7EEA">
      <w:pPr>
        <w:pStyle w:val="Galaxy-WPBLevel1N"/>
        <w:rPr>
          <w:color w:val="000000"/>
        </w:rPr>
      </w:pPr>
      <w:r>
        <w:rPr>
          <w:color w:val="000000"/>
        </w:rPr>
        <w:lastRenderedPageBreak/>
        <w:t>PART 2  PRODUCTS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2.1</w:t>
      </w:r>
      <w:r>
        <w:rPr>
          <w:b w:val="0"/>
          <w:color w:val="000000"/>
        </w:rPr>
        <w:tab/>
      </w:r>
      <w:r>
        <w:rPr>
          <w:color w:val="000000"/>
        </w:rPr>
        <w:t>MANUFACTURERS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Fluid-Applied Flooring: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Basis of Design:  Dur-A-Flex:  www.dur-a-flex.com.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 xml:space="preserve">Crossfield Products Corp; </w:t>
      </w:r>
      <w:proofErr w:type="spellStart"/>
      <w:r>
        <w:rPr>
          <w:color w:val="000000"/>
        </w:rPr>
        <w:t>Dex</w:t>
      </w:r>
      <w:proofErr w:type="spellEnd"/>
      <w:r>
        <w:rPr>
          <w:color w:val="000000"/>
        </w:rPr>
        <w:t>-O-</w:t>
      </w:r>
      <w:proofErr w:type="spellStart"/>
      <w:r>
        <w:rPr>
          <w:color w:val="000000"/>
        </w:rPr>
        <w:t>Tex</w:t>
      </w:r>
      <w:proofErr w:type="spellEnd"/>
      <w:r>
        <w:rPr>
          <w:color w:val="000000"/>
        </w:rPr>
        <w:t>:  www.crossfieldproducts.com/#sle.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Sherwin-Williams Company: General Polymers Brand: www.generalpolymers.com/#sle.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>Sika Corporation:  www.sikafloorusa.com/#sle.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ab/>
        <w:t>or Approved Equal:  See Section 01 60 00 - Material Equipment and Approved Equals.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2.2</w:t>
      </w:r>
      <w:r>
        <w:rPr>
          <w:b w:val="0"/>
          <w:color w:val="000000"/>
        </w:rPr>
        <w:tab/>
      </w:r>
      <w:r>
        <w:rPr>
          <w:color w:val="000000"/>
        </w:rPr>
        <w:t>FLUID-APPLIED FLOORING SYSTEMS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Fluid-Applied Flooring:  Cementitious urethane based self-leveling seamless flooring system with decorative epoxy quartz aggregate broadcast and epoxy/aliphatic urethane topcoats.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System Thickness:  3/16 - 1/4 inch, nominal, when dry.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Texture:  Slip resistant, as determined in Mock-up.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Color:  As selected by Architect from manufacturer's full line.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>Physical Properties: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 xml:space="preserve">Tensile Strength:  4000 psi, when tested in accordance with </w:t>
      </w:r>
      <w:hyperlink r:id="rId17" w:history="1">
        <w:r>
          <w:rPr>
            <w:color w:val="000000"/>
          </w:rPr>
          <w:t>ASTM D638</w:t>
        </w:r>
      </w:hyperlink>
      <w:r>
        <w:rPr>
          <w:color w:val="000000"/>
        </w:rPr>
        <w:t>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 xml:space="preserve">Compressive Strength:  17500 psi, when tested in accordance with </w:t>
      </w:r>
      <w:hyperlink r:id="rId18" w:history="1">
        <w:r>
          <w:rPr>
            <w:color w:val="000000"/>
          </w:rPr>
          <w:t>ASTM D695</w:t>
        </w:r>
      </w:hyperlink>
      <w:r>
        <w:rPr>
          <w:color w:val="000000"/>
        </w:rPr>
        <w:t>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  <w:t>Flexural Strength:  6250 psi, when tested in accordance with ASTM D790.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d.</w:t>
      </w:r>
      <w:r>
        <w:rPr>
          <w:color w:val="000000"/>
        </w:rPr>
        <w:tab/>
        <w:t>Impact Resistance:  &gt;160 inch-</w:t>
      </w:r>
      <w:proofErr w:type="spellStart"/>
      <w:r>
        <w:rPr>
          <w:color w:val="000000"/>
        </w:rPr>
        <w:t>lbs</w:t>
      </w:r>
      <w:proofErr w:type="spellEnd"/>
      <w:r>
        <w:rPr>
          <w:color w:val="000000"/>
        </w:rPr>
        <w:t>,  when tested in accordance with ASTM D2794.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e.</w:t>
      </w:r>
      <w:r>
        <w:rPr>
          <w:color w:val="000000"/>
        </w:rPr>
        <w:tab/>
        <w:t xml:space="preserve">Water Absorption:  0.04 percent, when tested in accordance with </w:t>
      </w:r>
      <w:hyperlink r:id="rId19" w:history="1">
        <w:r>
          <w:rPr>
            <w:color w:val="000000"/>
          </w:rPr>
          <w:t>ASTM D570</w:t>
        </w:r>
      </w:hyperlink>
      <w:r>
        <w:rPr>
          <w:color w:val="000000"/>
        </w:rPr>
        <w:t xml:space="preserve"> for 24 hr.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f.</w:t>
      </w:r>
      <w:r>
        <w:rPr>
          <w:color w:val="000000"/>
        </w:rPr>
        <w:tab/>
        <w:t>Static Coefficient of Friction:  &gt;0.6, when tested in accordance with ANSI B101.1.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g.</w:t>
      </w:r>
      <w:r>
        <w:rPr>
          <w:color w:val="000000"/>
        </w:rPr>
        <w:tab/>
        <w:t>Dynamic Coefficient of Friction - Wet:  &gt;0.42 when tested in accordance with ANSI A326.3.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ab/>
        <w:t>Basis of Design Product:  Dur-A-Flex; HYBRI-FLEX EQ:  www.dur-a-flex.com.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System Materials:</w:t>
      </w:r>
    </w:p>
    <w:p w:rsidR="00CB00A3" w:rsidRDefault="00EA7EEA">
      <w:pPr>
        <w:pStyle w:val="Galaxy-WPBLevel6N"/>
        <w:tabs>
          <w:tab w:val="left" w:pos="15876"/>
        </w:tabs>
        <w:rPr>
          <w:color w:val="000000"/>
        </w:rPr>
      </w:pPr>
      <w:r>
        <w:rPr>
          <w:color w:val="000000"/>
        </w:rPr>
        <w:t>1)</w:t>
      </w:r>
      <w:r>
        <w:rPr>
          <w:color w:val="000000"/>
        </w:rPr>
        <w:tab/>
        <w:t>Body Coat:  Dur-A-Flex, Inc, Poly-Crete SL resin, hardener and SL aggregate, cementitious urethane system.</w:t>
      </w:r>
    </w:p>
    <w:p w:rsidR="00CB00A3" w:rsidRDefault="00EA7EEA">
      <w:pPr>
        <w:pStyle w:val="Galaxy-WPBLevel6N"/>
        <w:tabs>
          <w:tab w:val="left" w:pos="15876"/>
        </w:tabs>
        <w:rPr>
          <w:color w:val="000000"/>
        </w:rPr>
      </w:pPr>
      <w:r>
        <w:rPr>
          <w:color w:val="000000"/>
        </w:rPr>
        <w:t>2)</w:t>
      </w:r>
      <w:r>
        <w:rPr>
          <w:color w:val="000000"/>
        </w:rPr>
        <w:tab/>
        <w:t>Aggregate:  Quartz granules.</w:t>
      </w:r>
    </w:p>
    <w:p w:rsidR="00CB00A3" w:rsidRDefault="00EA7EEA">
      <w:pPr>
        <w:pStyle w:val="Galaxy-WPBLevel6N"/>
        <w:tabs>
          <w:tab w:val="left" w:pos="15876"/>
        </w:tabs>
        <w:rPr>
          <w:color w:val="000000"/>
        </w:rPr>
      </w:pPr>
      <w:r>
        <w:rPr>
          <w:color w:val="000000"/>
        </w:rPr>
        <w:t>3)</w:t>
      </w:r>
      <w:r>
        <w:rPr>
          <w:color w:val="000000"/>
        </w:rPr>
        <w:tab/>
        <w:t>Broadcast Coat:  Dur-A-Flex, Inc. Dur-A-Glaze #4, epoxy based two-component resin.</w:t>
      </w:r>
    </w:p>
    <w:p w:rsidR="00CB00A3" w:rsidRDefault="00EA7EEA">
      <w:pPr>
        <w:pStyle w:val="Galaxy-WPBLevel6N"/>
        <w:tabs>
          <w:tab w:val="left" w:pos="15876"/>
        </w:tabs>
        <w:rPr>
          <w:color w:val="000000"/>
        </w:rPr>
      </w:pPr>
      <w:r>
        <w:rPr>
          <w:color w:val="000000"/>
        </w:rPr>
        <w:t>4)</w:t>
      </w:r>
      <w:r>
        <w:rPr>
          <w:color w:val="000000"/>
        </w:rPr>
        <w:tab/>
        <w:t>Grout Coat:  Dur-A-Flex, Inc Dur-A-Glaze #4 Water Clear, epoxy-based, resin and Hardener.</w:t>
      </w:r>
    </w:p>
    <w:p w:rsidR="00CB00A3" w:rsidRDefault="00EA7EEA">
      <w:pPr>
        <w:pStyle w:val="Galaxy-WPBLevel6N"/>
        <w:tabs>
          <w:tab w:val="left" w:pos="15876"/>
        </w:tabs>
        <w:rPr>
          <w:color w:val="000000"/>
        </w:rPr>
      </w:pPr>
      <w:r>
        <w:rPr>
          <w:color w:val="000000"/>
        </w:rPr>
        <w:t>5)</w:t>
      </w:r>
      <w:r>
        <w:rPr>
          <w:color w:val="000000"/>
        </w:rPr>
        <w:tab/>
        <w:t>Top coat:  Dur-A-Flex, Inc. Armor Top aliphatic urethane two-component resin.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2.3</w:t>
      </w:r>
      <w:r>
        <w:rPr>
          <w:b w:val="0"/>
          <w:color w:val="000000"/>
        </w:rPr>
        <w:tab/>
      </w:r>
      <w:r>
        <w:rPr>
          <w:color w:val="000000"/>
        </w:rPr>
        <w:t>ACCESSORIES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Integral Cove base:  4 inch, unless otherwise noted.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Provide metal L-strip at termination.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Basis of Design:  Schluter Jolly.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Align face of base with face of wall finish at tiled walls.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Patch Materials: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Basis of Design :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Shallow Fill and Patching (up to ¼ inch):  Dur-A-Flex, Inc. Poly-Crete MD.</w:t>
      </w:r>
    </w:p>
    <w:p w:rsidR="00CB00A3" w:rsidRDefault="00EA7EEA">
      <w:pPr>
        <w:pStyle w:val="Galaxy-WPBLevel5N"/>
        <w:tabs>
          <w:tab w:val="left" w:pos="15876"/>
        </w:tabs>
        <w:rPr>
          <w:color w:val="000000"/>
        </w:rPr>
      </w:pPr>
      <w:r>
        <w:rPr>
          <w:color w:val="000000"/>
        </w:rPr>
        <w:lastRenderedPageBreak/>
        <w:t>b.</w:t>
      </w:r>
      <w:r>
        <w:rPr>
          <w:color w:val="000000"/>
        </w:rPr>
        <w:tab/>
        <w:t>Deep Fill and Sloping Material (over ¼ inch):  Dur-A-Flex, Inc. Poly-Crete WR or Dur-A-</w:t>
      </w:r>
      <w:proofErr w:type="spellStart"/>
      <w:r>
        <w:rPr>
          <w:color w:val="000000"/>
        </w:rPr>
        <w:t>Tex</w:t>
      </w:r>
      <w:proofErr w:type="spellEnd"/>
      <w:r>
        <w:rPr>
          <w:color w:val="000000"/>
        </w:rPr>
        <w:t xml:space="preserve"> UM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  <w:t>Primer:  Type recommended by fluid-applied flooring manufacturer.</w:t>
      </w:r>
    </w:p>
    <w:p w:rsidR="00CB00A3" w:rsidRDefault="00EA7EEA">
      <w:pPr>
        <w:pStyle w:val="Galaxy-WPBLevel1N"/>
        <w:rPr>
          <w:color w:val="000000"/>
        </w:rPr>
      </w:pPr>
      <w:r>
        <w:rPr>
          <w:color w:val="000000"/>
        </w:rPr>
        <w:t>PART 3  EXECUTION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3.1</w:t>
      </w:r>
      <w:r>
        <w:rPr>
          <w:b w:val="0"/>
          <w:color w:val="000000"/>
        </w:rPr>
        <w:tab/>
      </w:r>
      <w:r>
        <w:rPr>
          <w:color w:val="000000"/>
        </w:rPr>
        <w:t>EXAMINATION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Verify that subfloor surfaces are smooth and flat within the tolerances specified for that type of work and are ready to receive flooring.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Verify that subfloor and wall base surfaces are dust-free and free of substances that could impair bonding of materials to subfloor surfaces.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  <w:t>Cementitious Subfloor Surfaces:  Verify that substrates are ready for fluid-applied flooring installation by testing for moisture and alkalinity (pH).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Test in accordance with Section 09 05 61.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Obtain instructions if test results are not within limits recommended by fluid-applied flooring manufacturer.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D.</w:t>
      </w:r>
      <w:r>
        <w:rPr>
          <w:color w:val="000000"/>
        </w:rPr>
        <w:tab/>
        <w:t>Verify that required floor-mounted utilities are in correct location.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3.2</w:t>
      </w:r>
      <w:r>
        <w:rPr>
          <w:b w:val="0"/>
          <w:color w:val="000000"/>
        </w:rPr>
        <w:tab/>
      </w:r>
      <w:r>
        <w:rPr>
          <w:color w:val="000000"/>
        </w:rPr>
        <w:t>PREPARATION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Remove subfloor ridges and bumps.  Fill low spots, cracks, joints, holes, and other defects with subfloor filler.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 xml:space="preserve">Prepare concrete surfaces according to </w:t>
      </w:r>
      <w:hyperlink r:id="rId20" w:history="1">
        <w:r>
          <w:rPr>
            <w:color w:val="000000"/>
          </w:rPr>
          <w:t>ICRI 310.2R</w:t>
        </w:r>
      </w:hyperlink>
      <w:r>
        <w:rPr>
          <w:color w:val="000000"/>
        </w:rPr>
        <w:t>, CSP 4-5, and manufacturer's instructions.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  <w:t>Apply, trowel, and float filler to achieve smooth, flat, hard surface.  Prohibit traffic until filler is cured.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D.</w:t>
      </w:r>
      <w:r>
        <w:rPr>
          <w:color w:val="000000"/>
        </w:rPr>
        <w:tab/>
        <w:t>Vacuum clean substrate.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E.</w:t>
      </w:r>
      <w:r>
        <w:rPr>
          <w:color w:val="000000"/>
        </w:rPr>
        <w:tab/>
        <w:t>Apply primer to surfaces required by flooring manufacturer.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3.3</w:t>
      </w:r>
      <w:r>
        <w:rPr>
          <w:b w:val="0"/>
          <w:color w:val="000000"/>
        </w:rPr>
        <w:tab/>
      </w:r>
      <w:r>
        <w:rPr>
          <w:color w:val="000000"/>
        </w:rPr>
        <w:t>INSTALLATION - FLOORING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Apply in accordance with manufacturer's instructions.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Apply each coat to minimum thickness required by manufacturer.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  <w:t>Finish to smooth level surface.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D.</w:t>
      </w:r>
      <w:r>
        <w:rPr>
          <w:color w:val="000000"/>
        </w:rPr>
        <w:tab/>
        <w:t>Fillet and cove at vertical surfaces.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E.</w:t>
      </w:r>
      <w:r>
        <w:rPr>
          <w:color w:val="000000"/>
        </w:rPr>
        <w:tab/>
        <w:t>Install cove base in accordance with manufacturer's instructions.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3.4</w:t>
      </w:r>
      <w:r>
        <w:rPr>
          <w:b w:val="0"/>
          <w:color w:val="000000"/>
        </w:rPr>
        <w:tab/>
      </w:r>
      <w:r>
        <w:rPr>
          <w:color w:val="000000"/>
        </w:rPr>
        <w:t>FIELD QUALITY CONTROL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See Section 01 40 00 - Quality Control, for additional requirements.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The following tests are to be conducted by the Applicator, submit written reports: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Temperature:  Check and report air, substrate temperatures and dew point.</w:t>
      </w:r>
    </w:p>
    <w:p w:rsidR="00CB00A3" w:rsidRDefault="00EA7EEA">
      <w:pPr>
        <w:pStyle w:val="Galaxy-WPBLevel4N"/>
        <w:tabs>
          <w:tab w:val="left" w:pos="15876"/>
        </w:tabs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Coverage Rates:  Monitor and report quantity of material used against the area covered for each system layer.</w:t>
      </w:r>
    </w:p>
    <w:p w:rsidR="00CB00A3" w:rsidRDefault="00EA7EEA">
      <w:pPr>
        <w:pStyle w:val="Galaxy-WPBLevel2N"/>
        <w:rPr>
          <w:color w:val="000000"/>
        </w:rPr>
      </w:pPr>
      <w:r>
        <w:rPr>
          <w:color w:val="000000"/>
        </w:rPr>
        <w:t>3.5</w:t>
      </w:r>
      <w:r>
        <w:rPr>
          <w:b w:val="0"/>
          <w:color w:val="000000"/>
        </w:rPr>
        <w:tab/>
      </w:r>
      <w:r>
        <w:rPr>
          <w:color w:val="000000"/>
        </w:rPr>
        <w:t>PROTECTION</w:t>
      </w:r>
    </w:p>
    <w:p w:rsidR="00CB00A3" w:rsidRDefault="00EA7EEA">
      <w:pPr>
        <w:pStyle w:val="Galaxy-WPBLevel3N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Prohibit traffic on floor finish for 48 hours after installation.</w:t>
      </w:r>
    </w:p>
    <w:p w:rsidR="00CB00A3" w:rsidRDefault="00EA7EEA">
      <w:pPr>
        <w:pStyle w:val="Galaxy-WPBLevel3N"/>
        <w:keepNext/>
        <w:rPr>
          <w:color w:val="000000"/>
        </w:rPr>
      </w:pPr>
      <w:r>
        <w:rPr>
          <w:color w:val="000000"/>
        </w:rPr>
        <w:lastRenderedPageBreak/>
        <w:t>B.</w:t>
      </w:r>
      <w:r>
        <w:rPr>
          <w:color w:val="000000"/>
        </w:rPr>
        <w:tab/>
        <w:t>Barricade area to protect flooring until fully cured.</w:t>
      </w:r>
    </w:p>
    <w:p w:rsidR="00CB00A3" w:rsidRDefault="00EA7EEA">
      <w:pPr>
        <w:pStyle w:val="Galaxy-WPBLevel0"/>
        <w:keepNext w:val="0"/>
        <w:rPr>
          <w:color w:val="000000"/>
        </w:rPr>
      </w:pPr>
      <w:r>
        <w:rPr>
          <w:color w:val="000000"/>
        </w:rPr>
        <w:t>END OF SECTION</w:t>
      </w:r>
    </w:p>
    <w:p w:rsidR="00CB00A3" w:rsidRDefault="00CB00A3">
      <w:pPr>
        <w:pStyle w:val="Galaxy-WPBLevel0"/>
        <w:keepNext w:val="0"/>
        <w:jc w:val="left"/>
        <w:rPr>
          <w:color w:val="000000"/>
        </w:rPr>
      </w:pPr>
    </w:p>
    <w:sectPr w:rsidR="00CB00A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584" w:right="1440" w:bottom="1584" w:left="1440" w:header="720" w:footer="14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EEA" w:rsidRDefault="00EA7EEA">
      <w:pPr>
        <w:spacing w:after="0" w:line="240" w:lineRule="auto"/>
      </w:pPr>
      <w:r>
        <w:separator/>
      </w:r>
    </w:p>
  </w:endnote>
  <w:endnote w:type="continuationSeparator" w:id="0">
    <w:p w:rsidR="00EA7EEA" w:rsidRDefault="00EA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78BF" w:rsidRDefault="00F378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0A3" w:rsidRDefault="00CB00A3">
    <w:pPr>
      <w:pStyle w:val="Normal0"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center" w:pos="4665"/>
        <w:tab w:val="right" w:pos="9360"/>
      </w:tabs>
      <w:rPr>
        <w:sz w:val="20"/>
        <w:lang w:val="en-US" w:eastAsia="en-US" w:bidi="en-US"/>
      </w:rPr>
    </w:pPr>
  </w:p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3420"/>
      <w:gridCol w:w="1785"/>
      <w:gridCol w:w="4155"/>
    </w:tblGrid>
    <w:tr w:rsidR="00CB00A3">
      <w:tc>
        <w:tcPr>
          <w:tcW w:w="3420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72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1785" w:type="dxa"/>
          <w:shd w:val="clear" w:color="auto" w:fill="auto"/>
        </w:tcPr>
        <w:p w:rsidR="00CB00A3" w:rsidRDefault="00EA7EEA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1743"/>
              <w:tab w:val="center" w:pos="4665"/>
              <w:tab w:val="left" w:pos="17010"/>
            </w:tabs>
            <w:jc w:val="center"/>
            <w:rPr>
              <w:rFonts w:ascii="Calibri" w:eastAsia="Calibri" w:hAnsi="Calibri" w:cs="Calibri"/>
              <w:color w:val="000000"/>
              <w:sz w:val="22"/>
            </w:rPr>
          </w:pPr>
          <w:r>
            <w:rPr>
              <w:rFonts w:ascii="Calibri" w:eastAsia="Calibri" w:hAnsi="Calibri" w:cs="Calibri"/>
              <w:color w:val="000000"/>
              <w:sz w:val="22"/>
            </w:rPr>
            <w:t xml:space="preserve">09 67 00 - </w:t>
          </w:r>
          <w:r>
            <w:rPr>
              <w:rFonts w:ascii="Calibri" w:eastAsia="Calibri" w:hAnsi="Calibri" w:cs="Calibri"/>
              <w:color w:val="000000"/>
              <w:sz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</w:rPr>
            <w:instrText xml:space="preserve">  PAGE \* Arabic \* MERGEFORMAT </w:instrText>
          </w:r>
          <w:r>
            <w:rPr>
              <w:rFonts w:ascii="Calibri" w:eastAsia="Calibri" w:hAnsi="Calibri" w:cs="Calibri"/>
              <w:color w:val="000000"/>
              <w:sz w:val="22"/>
            </w:rPr>
            <w:fldChar w:fldCharType="separate"/>
          </w:r>
          <w:r w:rsidR="00F378BF">
            <w:rPr>
              <w:rFonts w:ascii="Calibri" w:eastAsia="Calibri" w:hAnsi="Calibri" w:cs="Calibri"/>
              <w:noProof/>
              <w:color w:val="000000"/>
              <w:sz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</w:rPr>
            <w:fldChar w:fldCharType="end"/>
          </w:r>
        </w:p>
      </w:tc>
      <w:tc>
        <w:tcPr>
          <w:tcW w:w="4155" w:type="dxa"/>
          <w:shd w:val="clear" w:color="auto" w:fill="auto"/>
        </w:tcPr>
        <w:p w:rsidR="00CB00A3" w:rsidRDefault="00EA7EEA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678"/>
              <w:tab w:val="center" w:pos="4665"/>
              <w:tab w:val="left" w:pos="17010"/>
            </w:tabs>
            <w:jc w:val="right"/>
            <w:rPr>
              <w:rFonts w:ascii="Calibri" w:eastAsia="Calibri" w:hAnsi="Calibri" w:cs="Calibri"/>
              <w:color w:val="000000"/>
              <w:sz w:val="22"/>
            </w:rPr>
          </w:pPr>
          <w:r>
            <w:rPr>
              <w:rFonts w:ascii="Calibri" w:eastAsia="Calibri" w:hAnsi="Calibri" w:cs="Calibri"/>
              <w:color w:val="000000"/>
              <w:sz w:val="22"/>
            </w:rPr>
            <w:t>FLUID-APPLIED EPOXY FLOORING</w:t>
          </w:r>
        </w:p>
      </w:tc>
    </w:tr>
    <w:tr w:rsidR="00CB00A3">
      <w:tc>
        <w:tcPr>
          <w:tcW w:w="3420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72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1785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174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4155" w:type="dxa"/>
          <w:shd w:val="clear" w:color="auto" w:fill="auto"/>
        </w:tcPr>
        <w:p w:rsidR="00CB00A3" w:rsidRPr="00F378BF" w:rsidRDefault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678"/>
              <w:tab w:val="center" w:pos="4665"/>
              <w:tab w:val="left" w:pos="17010"/>
            </w:tabs>
            <w:jc w:val="right"/>
            <w:rPr>
              <w:rFonts w:ascii="Calibri" w:eastAsia="Calibri" w:hAnsi="Calibri" w:cs="Calibri"/>
              <w:color w:val="000000"/>
              <w:sz w:val="22"/>
              <w:lang w:val="en-US"/>
            </w:rPr>
          </w:pPr>
          <w:r>
            <w:rPr>
              <w:rFonts w:ascii="Calibri" w:eastAsia="Calibri" w:hAnsi="Calibri" w:cs="Calibri"/>
              <w:color w:val="000000"/>
              <w:sz w:val="22"/>
              <w:lang w:val="en-US"/>
            </w:rPr>
            <w:t>DMS 2023 Edition</w:t>
          </w:r>
        </w:p>
      </w:tc>
    </w:tr>
    <w:tr w:rsidR="00CB00A3">
      <w:tc>
        <w:tcPr>
          <w:tcW w:w="3420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72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1785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174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4155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678"/>
              <w:tab w:val="center" w:pos="4665"/>
              <w:tab w:val="left" w:pos="17010"/>
            </w:tabs>
            <w:jc w:val="right"/>
            <w:rPr>
              <w:rFonts w:ascii="Calibri" w:eastAsia="Calibri" w:hAnsi="Calibri" w:cs="Calibri"/>
              <w:color w:val="000000"/>
              <w:sz w:val="22"/>
            </w:rPr>
          </w:pPr>
        </w:p>
      </w:tc>
    </w:tr>
  </w:tbl>
  <w:p w:rsidR="00CB00A3" w:rsidRDefault="00CB00A3">
    <w:pPr>
      <w:pStyle w:val="Normal0"/>
      <w:rPr>
        <w:rFonts w:ascii="Calibri" w:eastAsia="Calibri" w:hAnsi="Calibri" w:cs="Calibri"/>
        <w:color w:val="000000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0A3" w:rsidRDefault="00CB00A3">
    <w:pPr>
      <w:pStyle w:val="Normal0"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center" w:pos="4665"/>
        <w:tab w:val="right" w:pos="9360"/>
      </w:tabs>
      <w:rPr>
        <w:sz w:val="20"/>
        <w:lang w:val="en-US" w:eastAsia="en-US" w:bidi="en-US"/>
      </w:rPr>
    </w:pPr>
  </w:p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3420"/>
      <w:gridCol w:w="1785"/>
      <w:gridCol w:w="4155"/>
    </w:tblGrid>
    <w:tr w:rsidR="00CB00A3">
      <w:tc>
        <w:tcPr>
          <w:tcW w:w="3420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72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1785" w:type="dxa"/>
          <w:shd w:val="clear" w:color="auto" w:fill="auto"/>
        </w:tcPr>
        <w:p w:rsidR="00CB00A3" w:rsidRDefault="00EA7EEA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1743"/>
              <w:tab w:val="center" w:pos="4665"/>
              <w:tab w:val="left" w:pos="17010"/>
            </w:tabs>
            <w:jc w:val="center"/>
            <w:rPr>
              <w:rFonts w:ascii="Calibri" w:eastAsia="Calibri" w:hAnsi="Calibri" w:cs="Calibri"/>
              <w:color w:val="000000"/>
              <w:sz w:val="22"/>
            </w:rPr>
          </w:pPr>
          <w:r>
            <w:rPr>
              <w:rFonts w:ascii="Calibri" w:eastAsia="Calibri" w:hAnsi="Calibri" w:cs="Calibri"/>
              <w:color w:val="000000"/>
              <w:sz w:val="22"/>
            </w:rPr>
            <w:t xml:space="preserve">09 67 00 - </w:t>
          </w:r>
          <w:r>
            <w:rPr>
              <w:rFonts w:ascii="Calibri" w:eastAsia="Calibri" w:hAnsi="Calibri" w:cs="Calibri"/>
              <w:color w:val="000000"/>
              <w:sz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</w:rPr>
            <w:instrText xml:space="preserve">  PAGE \* Arabic \* MERGEFORMAT </w:instrText>
          </w:r>
          <w:r>
            <w:rPr>
              <w:rFonts w:ascii="Calibri" w:eastAsia="Calibri" w:hAnsi="Calibri" w:cs="Calibri"/>
              <w:color w:val="000000"/>
              <w:sz w:val="22"/>
            </w:rPr>
            <w:fldChar w:fldCharType="separate"/>
          </w:r>
          <w:r w:rsidR="00F378BF">
            <w:rPr>
              <w:rFonts w:ascii="Calibri" w:eastAsia="Calibri" w:hAnsi="Calibri" w:cs="Calibri"/>
              <w:noProof/>
              <w:color w:val="000000"/>
              <w:sz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</w:rPr>
            <w:fldChar w:fldCharType="end"/>
          </w:r>
        </w:p>
      </w:tc>
      <w:tc>
        <w:tcPr>
          <w:tcW w:w="4155" w:type="dxa"/>
          <w:shd w:val="clear" w:color="auto" w:fill="auto"/>
        </w:tcPr>
        <w:p w:rsidR="00CB00A3" w:rsidRDefault="00EA7EEA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678"/>
              <w:tab w:val="center" w:pos="4665"/>
              <w:tab w:val="left" w:pos="17010"/>
            </w:tabs>
            <w:jc w:val="right"/>
            <w:rPr>
              <w:rFonts w:ascii="Calibri" w:eastAsia="Calibri" w:hAnsi="Calibri" w:cs="Calibri"/>
              <w:color w:val="000000"/>
              <w:sz w:val="22"/>
            </w:rPr>
          </w:pPr>
          <w:r>
            <w:rPr>
              <w:rFonts w:ascii="Calibri" w:eastAsia="Calibri" w:hAnsi="Calibri" w:cs="Calibri"/>
              <w:color w:val="000000"/>
              <w:sz w:val="22"/>
            </w:rPr>
            <w:t>FLUID-APPLIED EPOXY FLOORING</w:t>
          </w:r>
        </w:p>
      </w:tc>
    </w:tr>
    <w:tr w:rsidR="00CB00A3">
      <w:tc>
        <w:tcPr>
          <w:tcW w:w="3420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72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1785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174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4155" w:type="dxa"/>
          <w:shd w:val="clear" w:color="auto" w:fill="auto"/>
        </w:tcPr>
        <w:p w:rsidR="00CB00A3" w:rsidRDefault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678"/>
              <w:tab w:val="center" w:pos="4665"/>
              <w:tab w:val="left" w:pos="17010"/>
            </w:tabs>
            <w:jc w:val="right"/>
            <w:rPr>
              <w:rFonts w:ascii="Calibri" w:eastAsia="Calibri" w:hAnsi="Calibri" w:cs="Calibri"/>
              <w:color w:val="000000"/>
              <w:sz w:val="22"/>
            </w:rPr>
          </w:pPr>
          <w:r>
            <w:rPr>
              <w:rFonts w:ascii="Calibri" w:eastAsia="Calibri" w:hAnsi="Calibri" w:cs="Calibri"/>
              <w:color w:val="000000"/>
              <w:sz w:val="22"/>
              <w:lang w:val="en-US"/>
            </w:rPr>
            <w:t>DMS 2023 Edition</w:t>
          </w:r>
          <w:r w:rsidR="00EA7EEA">
            <w:rPr>
              <w:rFonts w:ascii="Calibri" w:eastAsia="Calibri" w:hAnsi="Calibri" w:cs="Calibri"/>
              <w:color w:val="000000"/>
              <w:sz w:val="22"/>
            </w:rPr>
            <w:t xml:space="preserve"> </w:t>
          </w:r>
        </w:p>
        <w:p w:rsidR="00F378BF" w:rsidRDefault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678"/>
              <w:tab w:val="center" w:pos="4665"/>
              <w:tab w:val="left" w:pos="17010"/>
            </w:tabs>
            <w:jc w:val="right"/>
            <w:rPr>
              <w:rFonts w:ascii="Calibri" w:eastAsia="Calibri" w:hAnsi="Calibri" w:cs="Calibri"/>
              <w:color w:val="000000"/>
              <w:sz w:val="22"/>
            </w:rPr>
          </w:pPr>
        </w:p>
      </w:tc>
    </w:tr>
    <w:tr w:rsidR="00CB00A3">
      <w:tc>
        <w:tcPr>
          <w:tcW w:w="3420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72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1785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1743"/>
              <w:tab w:val="center" w:pos="4665"/>
              <w:tab w:val="left" w:pos="17010"/>
            </w:tabs>
            <w:rPr>
              <w:rFonts w:ascii="Calibri" w:eastAsia="Calibri" w:hAnsi="Calibri" w:cs="Calibri"/>
              <w:color w:val="000000"/>
              <w:sz w:val="22"/>
            </w:rPr>
          </w:pPr>
        </w:p>
      </w:tc>
      <w:tc>
        <w:tcPr>
          <w:tcW w:w="4155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left" w:pos="1324"/>
              <w:tab w:val="right" w:pos="3678"/>
              <w:tab w:val="center" w:pos="4665"/>
              <w:tab w:val="left" w:pos="17010"/>
            </w:tabs>
            <w:jc w:val="right"/>
            <w:rPr>
              <w:rFonts w:ascii="Calibri" w:eastAsia="Calibri" w:hAnsi="Calibri" w:cs="Calibri"/>
              <w:color w:val="000000"/>
              <w:sz w:val="22"/>
            </w:rPr>
          </w:pPr>
        </w:p>
      </w:tc>
    </w:tr>
  </w:tbl>
  <w:p w:rsidR="00CB00A3" w:rsidRDefault="00CB00A3">
    <w:pPr>
      <w:pStyle w:val="Normal0"/>
      <w:rPr>
        <w:rFonts w:ascii="Calibri" w:eastAsia="Calibri" w:hAnsi="Calibri" w:cs="Calibri"/>
        <w:color w:val="00000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EEA" w:rsidRDefault="00EA7EEA">
      <w:pPr>
        <w:spacing w:after="0" w:line="240" w:lineRule="auto"/>
      </w:pPr>
      <w:r>
        <w:separator/>
      </w:r>
    </w:p>
  </w:footnote>
  <w:footnote w:type="continuationSeparator" w:id="0">
    <w:p w:rsidR="00EA7EEA" w:rsidRDefault="00EA7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78BF" w:rsidRDefault="00F378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040" w:type="dxa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4680"/>
      <w:gridCol w:w="4680"/>
      <w:gridCol w:w="4680"/>
    </w:tblGrid>
    <w:tr w:rsidR="00F378BF" w:rsidTr="00F378BF">
      <w:tc>
        <w:tcPr>
          <w:tcW w:w="4680" w:type="dxa"/>
        </w:tcPr>
        <w:p w:rsidR="00F378BF" w:rsidRDefault="00F378BF" w:rsidP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rPr>
              <w:rFonts w:ascii="Calibri" w:eastAsia="Calibri" w:hAnsi="Calibri" w:cs="Calibri"/>
              <w:sz w:val="22"/>
              <w:lang w:val="en-US" w:eastAsia="en-US" w:bidi="en-US"/>
            </w:rPr>
          </w:pPr>
          <w:r>
            <w:rPr>
              <w:rFonts w:ascii="Calibri" w:eastAsia="Calibri" w:hAnsi="Calibri" w:cs="Calibri"/>
              <w:sz w:val="22"/>
              <w:lang w:val="en-US" w:eastAsia="en-US" w:bidi="en-US"/>
            </w:rPr>
            <w:t>The School District of Palm Beach County</w:t>
          </w:r>
        </w:p>
        <w:p w:rsidR="00F378BF" w:rsidRPr="00F378BF" w:rsidRDefault="00F378BF" w:rsidP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rPr>
              <w:rFonts w:ascii="Calibri" w:eastAsia="Calibri" w:hAnsi="Calibri" w:cs="Calibri"/>
              <w:sz w:val="22"/>
              <w:lang w:val="en-US"/>
            </w:rPr>
          </w:pPr>
          <w:r>
            <w:rPr>
              <w:rFonts w:ascii="Calibri" w:eastAsia="Calibri" w:hAnsi="Calibri" w:cs="Calibri"/>
              <w:sz w:val="22"/>
              <w:lang w:val="en-US"/>
            </w:rPr>
            <w:t>Project Name:</w:t>
          </w:r>
        </w:p>
      </w:tc>
      <w:tc>
        <w:tcPr>
          <w:tcW w:w="4680" w:type="dxa"/>
          <w:shd w:val="clear" w:color="auto" w:fill="auto"/>
        </w:tcPr>
        <w:p w:rsidR="00F378BF" w:rsidRDefault="00F378BF" w:rsidP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rPr>
              <w:rFonts w:ascii="Calibri" w:eastAsia="Calibri" w:hAnsi="Calibri" w:cs="Calibri"/>
              <w:sz w:val="22"/>
            </w:rPr>
          </w:pPr>
        </w:p>
      </w:tc>
      <w:tc>
        <w:tcPr>
          <w:tcW w:w="4680" w:type="dxa"/>
          <w:shd w:val="clear" w:color="auto" w:fill="auto"/>
        </w:tcPr>
        <w:p w:rsidR="00F378BF" w:rsidRDefault="00F378BF" w:rsidP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jc w:val="right"/>
            <w:rPr>
              <w:rFonts w:ascii="Calibri" w:eastAsia="Calibri" w:hAnsi="Calibri" w:cs="Calibri"/>
              <w:sz w:val="22"/>
              <w:lang w:val="en-US" w:eastAsia="en-US" w:bidi="en-US"/>
            </w:rPr>
          </w:pPr>
          <w:r>
            <w:rPr>
              <w:rFonts w:ascii="Calibri" w:eastAsia="Calibri" w:hAnsi="Calibri" w:cs="Calibri"/>
              <w:sz w:val="22"/>
              <w:lang w:val="en-US" w:eastAsia="en-US" w:bidi="en-US"/>
            </w:rPr>
            <w:t>Grove Park Elementary School</w:t>
          </w:r>
        </w:p>
      </w:tc>
    </w:tr>
    <w:tr w:rsidR="00F378BF" w:rsidTr="00F378BF">
      <w:tc>
        <w:tcPr>
          <w:tcW w:w="4680" w:type="dxa"/>
        </w:tcPr>
        <w:p w:rsidR="00F378BF" w:rsidRDefault="00F378BF" w:rsidP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rPr>
              <w:rFonts w:ascii="Calibri" w:eastAsia="Calibri" w:hAnsi="Calibri" w:cs="Calibri"/>
              <w:sz w:val="22"/>
              <w:lang w:val="en-US" w:eastAsia="en-US" w:bidi="en-US"/>
            </w:rPr>
          </w:pPr>
          <w:r>
            <w:rPr>
              <w:rFonts w:ascii="Calibri" w:eastAsia="Calibri" w:hAnsi="Calibri" w:cs="Calibri"/>
              <w:sz w:val="22"/>
              <w:lang w:val="en-US" w:eastAsia="en-US" w:bidi="en-US"/>
            </w:rPr>
            <w:t xml:space="preserve">SDPBC Project No.: </w:t>
          </w:r>
        </w:p>
      </w:tc>
      <w:tc>
        <w:tcPr>
          <w:tcW w:w="4680" w:type="dxa"/>
          <w:shd w:val="clear" w:color="auto" w:fill="auto"/>
        </w:tcPr>
        <w:p w:rsidR="00F378BF" w:rsidRDefault="00F378BF" w:rsidP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rPr>
              <w:rFonts w:ascii="Calibri" w:eastAsia="Calibri" w:hAnsi="Calibri" w:cs="Calibri"/>
              <w:sz w:val="22"/>
              <w:lang w:val="en-US" w:eastAsia="en-US" w:bidi="en-US"/>
            </w:rPr>
          </w:pPr>
        </w:p>
      </w:tc>
      <w:tc>
        <w:tcPr>
          <w:tcW w:w="4680" w:type="dxa"/>
          <w:shd w:val="clear" w:color="auto" w:fill="auto"/>
        </w:tcPr>
        <w:p w:rsidR="00F378BF" w:rsidRDefault="00F378BF" w:rsidP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jc w:val="right"/>
            <w:rPr>
              <w:rFonts w:ascii="Calibri" w:eastAsia="Calibri" w:hAnsi="Calibri" w:cs="Calibri"/>
              <w:sz w:val="22"/>
              <w:lang w:val="en-US" w:eastAsia="en-US" w:bidi="en-US"/>
            </w:rPr>
          </w:pPr>
          <w:r>
            <w:rPr>
              <w:rFonts w:ascii="Calibri" w:eastAsia="Calibri" w:hAnsi="Calibri" w:cs="Calibri"/>
              <w:sz w:val="22"/>
              <w:lang w:val="en-US" w:eastAsia="en-US" w:bidi="en-US"/>
            </w:rPr>
            <w:t xml:space="preserve"> </w:t>
          </w:r>
        </w:p>
      </w:tc>
    </w:tr>
  </w:tbl>
  <w:p w:rsidR="00CB00A3" w:rsidRDefault="00CB00A3">
    <w:pPr>
      <w:pStyle w:val="Normal0"/>
      <w:rPr>
        <w:rFonts w:ascii="Calibri" w:eastAsia="Calibri" w:hAnsi="Calibri" w:cs="Calibri"/>
        <w:sz w:val="22"/>
        <w:lang w:val="en-US" w:eastAsia="en-US" w:bidi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36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4680"/>
      <w:gridCol w:w="4680"/>
    </w:tblGrid>
    <w:tr w:rsidR="00CB00A3">
      <w:tc>
        <w:tcPr>
          <w:tcW w:w="4680" w:type="dxa"/>
          <w:shd w:val="clear" w:color="auto" w:fill="auto"/>
        </w:tcPr>
        <w:p w:rsidR="00CB00A3" w:rsidRDefault="00EA7EEA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rPr>
              <w:rFonts w:ascii="Calibri" w:eastAsia="Calibri" w:hAnsi="Calibri" w:cs="Calibri"/>
              <w:sz w:val="22"/>
              <w:lang w:val="en-US" w:eastAsia="en-US" w:bidi="en-US"/>
            </w:rPr>
          </w:pPr>
          <w:r>
            <w:rPr>
              <w:rFonts w:ascii="Calibri" w:eastAsia="Calibri" w:hAnsi="Calibri" w:cs="Calibri"/>
              <w:sz w:val="22"/>
              <w:lang w:val="en-US" w:eastAsia="en-US" w:bidi="en-US"/>
            </w:rPr>
            <w:t>The School District of Palm Beach County</w:t>
          </w:r>
        </w:p>
        <w:p w:rsidR="00F378BF" w:rsidRPr="00F378BF" w:rsidRDefault="00F378BF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rPr>
              <w:rFonts w:ascii="Calibri" w:eastAsia="Calibri" w:hAnsi="Calibri" w:cs="Calibri"/>
              <w:sz w:val="22"/>
              <w:lang w:val="en-US"/>
            </w:rPr>
          </w:pPr>
          <w:r>
            <w:rPr>
              <w:rFonts w:ascii="Calibri" w:eastAsia="Calibri" w:hAnsi="Calibri" w:cs="Calibri"/>
              <w:sz w:val="22"/>
              <w:lang w:val="en-US"/>
            </w:rPr>
            <w:t>Project Name:</w:t>
          </w:r>
        </w:p>
      </w:tc>
      <w:tc>
        <w:tcPr>
          <w:tcW w:w="4680" w:type="dxa"/>
          <w:shd w:val="clear" w:color="auto" w:fill="auto"/>
        </w:tcPr>
        <w:p w:rsidR="00CB00A3" w:rsidRDefault="00CB00A3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jc w:val="right"/>
            <w:rPr>
              <w:rFonts w:ascii="Calibri" w:eastAsia="Calibri" w:hAnsi="Calibri" w:cs="Calibri"/>
              <w:sz w:val="22"/>
              <w:lang w:val="en-US" w:eastAsia="en-US" w:bidi="en-US"/>
            </w:rPr>
          </w:pPr>
        </w:p>
      </w:tc>
    </w:tr>
    <w:tr w:rsidR="00CB00A3">
      <w:tc>
        <w:tcPr>
          <w:tcW w:w="4680" w:type="dxa"/>
          <w:shd w:val="clear" w:color="auto" w:fill="auto"/>
        </w:tcPr>
        <w:p w:rsidR="00CB00A3" w:rsidRDefault="00EA7EEA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rPr>
              <w:rFonts w:ascii="Calibri" w:eastAsia="Calibri" w:hAnsi="Calibri" w:cs="Calibri"/>
              <w:sz w:val="22"/>
              <w:lang w:val="en-US" w:eastAsia="en-US" w:bidi="en-US"/>
            </w:rPr>
          </w:pPr>
          <w:r>
            <w:rPr>
              <w:rFonts w:ascii="Calibri" w:eastAsia="Calibri" w:hAnsi="Calibri" w:cs="Calibri"/>
              <w:sz w:val="22"/>
              <w:lang w:val="en-US" w:eastAsia="en-US" w:bidi="en-US"/>
            </w:rPr>
            <w:t xml:space="preserve">SDPBC Project No.: </w:t>
          </w:r>
        </w:p>
      </w:tc>
      <w:tc>
        <w:tcPr>
          <w:tcW w:w="4680" w:type="dxa"/>
          <w:shd w:val="clear" w:color="auto" w:fill="auto"/>
        </w:tcPr>
        <w:p w:rsidR="00CB00A3" w:rsidRDefault="00EA7EEA">
          <w:pPr>
            <w:pStyle w:val="Normal0"/>
            <w:tabs>
              <w:tab w:val="clear" w:pos="1134"/>
              <w:tab w:val="clear" w:pos="2268"/>
              <w:tab w:val="clear" w:pos="3402"/>
              <w:tab w:val="clear" w:pos="4536"/>
              <w:tab w:val="right" w:pos="4608"/>
              <w:tab w:val="center" w:pos="4665"/>
              <w:tab w:val="left" w:pos="17010"/>
              <w:tab w:val="left" w:pos="18144"/>
            </w:tabs>
            <w:jc w:val="right"/>
            <w:rPr>
              <w:rFonts w:ascii="Calibri" w:eastAsia="Calibri" w:hAnsi="Calibri" w:cs="Calibri"/>
              <w:sz w:val="22"/>
              <w:lang w:val="en-US" w:eastAsia="en-US" w:bidi="en-US"/>
            </w:rPr>
          </w:pPr>
          <w:r>
            <w:rPr>
              <w:rFonts w:ascii="Calibri" w:eastAsia="Calibri" w:hAnsi="Calibri" w:cs="Calibri"/>
              <w:sz w:val="22"/>
              <w:lang w:val="en-US" w:eastAsia="en-US" w:bidi="en-US"/>
            </w:rPr>
            <w:t xml:space="preserve"> </w:t>
          </w:r>
        </w:p>
      </w:tc>
    </w:tr>
  </w:tbl>
  <w:p w:rsidR="00CB00A3" w:rsidRDefault="00CB00A3">
    <w:pPr>
      <w:pStyle w:val="Normal0"/>
      <w:rPr>
        <w:rFonts w:ascii="Calibri" w:eastAsia="Calibri" w:hAnsi="Calibri" w:cs="Calibri"/>
        <w:sz w:val="22"/>
        <w:lang w:val="en-US" w:eastAsia="en-US" w:bidi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3"/>
    <w:rsid w:val="001261B7"/>
    <w:rsid w:val="00CB00A3"/>
    <w:rsid w:val="00D85939"/>
    <w:rsid w:val="00EA7EEA"/>
    <w:rsid w:val="00EC1B0B"/>
    <w:rsid w:val="00F3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8DC15E-BDCC-4833-B7C4-DF54813B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qFormat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eastAsia="Arial" w:hAnsi="Arial"/>
      <w:szCs w:val="24"/>
      <w:lang w:val="x-none" w:eastAsia="x-none"/>
    </w:rPr>
  </w:style>
  <w:style w:type="paragraph" w:customStyle="1" w:styleId="Galaxy-WPBLevel0">
    <w:name w:val="Galaxy-WPB Level 0"/>
    <w:basedOn w:val="Normal0"/>
    <w:qFormat/>
    <w:pPr>
      <w:keepNext/>
      <w:tabs>
        <w:tab w:val="clear" w:pos="15876"/>
        <w:tab w:val="left" w:pos="900"/>
      </w:tabs>
      <w:spacing w:before="80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Galaxy-WPBLevel1N">
    <w:name w:val="Galaxy-WPB Level 1N"/>
    <w:basedOn w:val="Normal0"/>
    <w:qFormat/>
    <w:pPr>
      <w:keepNext/>
      <w:tabs>
        <w:tab w:val="clear" w:pos="15876"/>
        <w:tab w:val="left" w:pos="900"/>
      </w:tabs>
      <w:spacing w:before="8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Global">
    <w:name w:val="Global"/>
    <w:qFormat/>
    <w:rPr>
      <w:color w:val="008000"/>
      <w:rtl w:val="0"/>
      <w:lang w:val="x-none" w:eastAsia="x-none" w:bidi="x-none"/>
    </w:rPr>
  </w:style>
  <w:style w:type="paragraph" w:customStyle="1" w:styleId="Galaxy-WPBLevel2N">
    <w:name w:val="Galaxy-WPB Level 2N"/>
    <w:basedOn w:val="Normal0"/>
    <w:qFormat/>
    <w:pPr>
      <w:keepNext/>
      <w:tabs>
        <w:tab w:val="clear" w:pos="14742"/>
        <w:tab w:val="clear" w:pos="15876"/>
        <w:tab w:val="left" w:pos="530"/>
        <w:tab w:val="left" w:pos="900"/>
      </w:tabs>
      <w:spacing w:before="80"/>
      <w:ind w:left="530" w:hanging="53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Galaxy-WPBLevel3N">
    <w:name w:val="Galaxy-WPB Level 3N"/>
    <w:basedOn w:val="Normal0"/>
    <w:qFormat/>
    <w:pPr>
      <w:tabs>
        <w:tab w:val="clear" w:pos="15876"/>
        <w:tab w:val="left" w:pos="900"/>
      </w:tabs>
      <w:spacing w:before="80"/>
      <w:ind w:left="900" w:hanging="420"/>
    </w:pPr>
    <w:rPr>
      <w:rFonts w:ascii="Calibri" w:eastAsia="Calibri" w:hAnsi="Calibri" w:cs="Calibri"/>
      <w:sz w:val="22"/>
      <w:szCs w:val="22"/>
    </w:rPr>
  </w:style>
  <w:style w:type="character" w:customStyle="1" w:styleId="Choice">
    <w:name w:val="Choice"/>
    <w:qFormat/>
    <w:rPr>
      <w:color w:val="0000FF"/>
      <w:rtl w:val="0"/>
      <w:lang w:val="x-none" w:eastAsia="x-none" w:bidi="x-none"/>
    </w:rPr>
  </w:style>
  <w:style w:type="paragraph" w:customStyle="1" w:styleId="Galaxy-WPBLevel4N">
    <w:name w:val="Galaxy-WPB Level 4N"/>
    <w:basedOn w:val="Normal0"/>
    <w:qFormat/>
    <w:pPr>
      <w:tabs>
        <w:tab w:val="clear" w:pos="1134"/>
        <w:tab w:val="clear" w:pos="15876"/>
        <w:tab w:val="left" w:pos="1360"/>
      </w:tabs>
      <w:spacing w:before="10"/>
      <w:ind w:left="1360" w:hanging="460"/>
    </w:pPr>
    <w:rPr>
      <w:rFonts w:ascii="Calibri" w:eastAsia="Calibri" w:hAnsi="Calibri" w:cs="Calibri"/>
      <w:sz w:val="22"/>
      <w:szCs w:val="22"/>
    </w:rPr>
  </w:style>
  <w:style w:type="paragraph" w:customStyle="1" w:styleId="Galaxy-WPBLevel5N">
    <w:name w:val="Galaxy-WPB Level 5N"/>
    <w:basedOn w:val="Normal0"/>
    <w:qFormat/>
    <w:pPr>
      <w:tabs>
        <w:tab w:val="clear" w:pos="1134"/>
        <w:tab w:val="clear" w:pos="15876"/>
        <w:tab w:val="left" w:pos="1780"/>
      </w:tabs>
      <w:spacing w:before="10"/>
      <w:ind w:left="1780" w:hanging="420"/>
    </w:pPr>
    <w:rPr>
      <w:rFonts w:ascii="Calibri" w:eastAsia="Calibri" w:hAnsi="Calibri" w:cs="Calibri"/>
      <w:sz w:val="22"/>
      <w:szCs w:val="22"/>
    </w:rPr>
  </w:style>
  <w:style w:type="character" w:customStyle="1" w:styleId="FillInDelim">
    <w:name w:val="FillInDelim"/>
    <w:qFormat/>
    <w:rPr>
      <w:color w:val="FF0000"/>
      <w:rtl w:val="0"/>
      <w:lang w:val="x-none" w:eastAsia="x-none" w:bidi="x-none"/>
    </w:rPr>
  </w:style>
  <w:style w:type="paragraph" w:customStyle="1" w:styleId="Galaxy-WPBLevel6N">
    <w:name w:val="Galaxy-WPB Level 6N"/>
    <w:basedOn w:val="Normal0"/>
    <w:qFormat/>
    <w:pPr>
      <w:tabs>
        <w:tab w:val="clear" w:pos="1134"/>
        <w:tab w:val="clear" w:pos="15876"/>
        <w:tab w:val="left" w:pos="2230"/>
      </w:tabs>
      <w:spacing w:before="10"/>
      <w:ind w:left="2230" w:hanging="450"/>
    </w:pPr>
    <w:rPr>
      <w:rFonts w:ascii="Calibri" w:eastAsia="Calibri" w:hAnsi="Calibri" w:cs="Calibri"/>
      <w:sz w:val="22"/>
      <w:szCs w:val="22"/>
    </w:rPr>
  </w:style>
  <w:style w:type="paragraph" w:customStyle="1" w:styleId="Galaxy-WPBLevel0I">
    <w:name w:val="Galaxy-WPB Level 0I"/>
    <w:basedOn w:val="Normal0"/>
    <w:qFormat/>
    <w:pPr>
      <w:keepNext/>
      <w:tabs>
        <w:tab w:val="clear" w:pos="15876"/>
        <w:tab w:val="left" w:pos="900"/>
      </w:tabs>
      <w:spacing w:before="80"/>
      <w:jc w:val="center"/>
    </w:pPr>
    <w:rPr>
      <w:rFonts w:ascii="Calibri" w:eastAsia="Calibri" w:hAnsi="Calibri" w:cs="Calibri"/>
      <w:b/>
      <w:bCs/>
      <w:sz w:val="22"/>
      <w:szCs w:val="22"/>
      <w:shd w:val="clear" w:color="auto" w:fill="E1E1E1"/>
    </w:rPr>
  </w:style>
  <w:style w:type="paragraph" w:customStyle="1" w:styleId="Galaxy-WPBLevel0N">
    <w:name w:val="Galaxy-WPB Level 0N"/>
    <w:basedOn w:val="Normal0"/>
    <w:qFormat/>
    <w:pPr>
      <w:keepNext/>
      <w:tabs>
        <w:tab w:val="clear" w:pos="15876"/>
        <w:tab w:val="left" w:pos="900"/>
      </w:tabs>
      <w:spacing w:before="80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Galaxy-WPBLevel1">
    <w:name w:val="Galaxy-WPB Level 1"/>
    <w:basedOn w:val="Normal0"/>
    <w:qFormat/>
    <w:pPr>
      <w:keepNext/>
      <w:tabs>
        <w:tab w:val="clear" w:pos="15876"/>
        <w:tab w:val="left" w:pos="900"/>
      </w:tabs>
      <w:spacing w:before="8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Galaxy-WPBLevel1I">
    <w:name w:val="Galaxy-WPB Level 1I"/>
    <w:basedOn w:val="Normal0"/>
    <w:qFormat/>
    <w:pPr>
      <w:keepNext/>
      <w:tabs>
        <w:tab w:val="clear" w:pos="15876"/>
        <w:tab w:val="left" w:pos="900"/>
      </w:tabs>
      <w:spacing w:before="80"/>
    </w:pPr>
    <w:rPr>
      <w:rFonts w:ascii="Calibri" w:eastAsia="Calibri" w:hAnsi="Calibri" w:cs="Calibri"/>
      <w:b/>
      <w:bCs/>
      <w:sz w:val="22"/>
      <w:szCs w:val="22"/>
      <w:shd w:val="clear" w:color="auto" w:fill="E1E1E1"/>
    </w:rPr>
  </w:style>
  <w:style w:type="paragraph" w:customStyle="1" w:styleId="Galaxy-WPBLevel2">
    <w:name w:val="Galaxy-WPB Level 2"/>
    <w:basedOn w:val="Normal0"/>
    <w:qFormat/>
    <w:pPr>
      <w:keepNext/>
      <w:tabs>
        <w:tab w:val="clear" w:pos="14742"/>
        <w:tab w:val="clear" w:pos="15876"/>
        <w:tab w:val="left" w:pos="530"/>
        <w:tab w:val="left" w:pos="900"/>
      </w:tabs>
      <w:spacing w:before="80"/>
      <w:ind w:left="530" w:hanging="53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Galaxy-WPBLevel2I">
    <w:name w:val="Galaxy-WPB Level 2I"/>
    <w:basedOn w:val="Normal0"/>
    <w:qFormat/>
    <w:pPr>
      <w:keepNext/>
      <w:tabs>
        <w:tab w:val="clear" w:pos="14742"/>
        <w:tab w:val="clear" w:pos="15876"/>
        <w:tab w:val="left" w:pos="530"/>
        <w:tab w:val="left" w:pos="900"/>
      </w:tabs>
      <w:spacing w:before="80"/>
      <w:ind w:left="530" w:hanging="530"/>
    </w:pPr>
    <w:rPr>
      <w:rFonts w:ascii="Calibri" w:eastAsia="Calibri" w:hAnsi="Calibri" w:cs="Calibri"/>
      <w:b/>
      <w:bCs/>
      <w:sz w:val="22"/>
      <w:szCs w:val="22"/>
      <w:shd w:val="clear" w:color="auto" w:fill="E1E1E1"/>
    </w:rPr>
  </w:style>
  <w:style w:type="paragraph" w:customStyle="1" w:styleId="Galaxy-WPBLevel3">
    <w:name w:val="Galaxy-WPB Level 3"/>
    <w:basedOn w:val="Normal0"/>
    <w:qFormat/>
    <w:pPr>
      <w:tabs>
        <w:tab w:val="clear" w:pos="15876"/>
        <w:tab w:val="left" w:pos="900"/>
      </w:tabs>
      <w:spacing w:before="80"/>
      <w:ind w:left="900" w:hanging="420"/>
    </w:pPr>
    <w:rPr>
      <w:rFonts w:ascii="Calibri" w:eastAsia="Calibri" w:hAnsi="Calibri" w:cs="Calibri"/>
      <w:sz w:val="22"/>
      <w:szCs w:val="22"/>
    </w:rPr>
  </w:style>
  <w:style w:type="paragraph" w:customStyle="1" w:styleId="Galaxy-WPBLevel3I">
    <w:name w:val="Galaxy-WPB Level 3I"/>
    <w:basedOn w:val="Normal0"/>
    <w:qFormat/>
    <w:pPr>
      <w:tabs>
        <w:tab w:val="clear" w:pos="15876"/>
        <w:tab w:val="left" w:pos="900"/>
      </w:tabs>
      <w:spacing w:before="80"/>
      <w:ind w:left="900" w:hanging="420"/>
    </w:pPr>
    <w:rPr>
      <w:rFonts w:ascii="Calibri" w:eastAsia="Calibri" w:hAnsi="Calibri" w:cs="Calibri"/>
      <w:sz w:val="22"/>
      <w:szCs w:val="22"/>
      <w:shd w:val="clear" w:color="auto" w:fill="E1E1E1"/>
    </w:rPr>
  </w:style>
  <w:style w:type="paragraph" w:customStyle="1" w:styleId="Galaxy-WPBLevel4">
    <w:name w:val="Galaxy-WPB Level 4"/>
    <w:basedOn w:val="Normal0"/>
    <w:qFormat/>
    <w:pPr>
      <w:tabs>
        <w:tab w:val="clear" w:pos="1134"/>
        <w:tab w:val="clear" w:pos="15876"/>
        <w:tab w:val="left" w:pos="1360"/>
      </w:tabs>
      <w:spacing w:before="10"/>
      <w:ind w:left="1360" w:hanging="460"/>
    </w:pPr>
    <w:rPr>
      <w:rFonts w:ascii="Calibri" w:eastAsia="Calibri" w:hAnsi="Calibri" w:cs="Calibri"/>
      <w:sz w:val="22"/>
      <w:szCs w:val="22"/>
    </w:rPr>
  </w:style>
  <w:style w:type="paragraph" w:customStyle="1" w:styleId="Galaxy-WPBLevel4I">
    <w:name w:val="Galaxy-WPB Level 4I"/>
    <w:basedOn w:val="Normal0"/>
    <w:qFormat/>
    <w:pPr>
      <w:tabs>
        <w:tab w:val="clear" w:pos="1134"/>
        <w:tab w:val="clear" w:pos="15876"/>
        <w:tab w:val="left" w:pos="1360"/>
      </w:tabs>
      <w:spacing w:before="10"/>
      <w:ind w:left="1360" w:hanging="460"/>
    </w:pPr>
    <w:rPr>
      <w:rFonts w:ascii="Calibri" w:eastAsia="Calibri" w:hAnsi="Calibri" w:cs="Calibri"/>
      <w:sz w:val="22"/>
      <w:szCs w:val="22"/>
      <w:shd w:val="clear" w:color="auto" w:fill="E1E1E1"/>
    </w:rPr>
  </w:style>
  <w:style w:type="paragraph" w:customStyle="1" w:styleId="Galaxy-WPBLevel5">
    <w:name w:val="Galaxy-WPB Level 5"/>
    <w:basedOn w:val="Normal0"/>
    <w:qFormat/>
    <w:pPr>
      <w:tabs>
        <w:tab w:val="clear" w:pos="1134"/>
        <w:tab w:val="clear" w:pos="15876"/>
        <w:tab w:val="left" w:pos="1780"/>
      </w:tabs>
      <w:spacing w:before="10"/>
      <w:ind w:left="1780" w:hanging="420"/>
    </w:pPr>
    <w:rPr>
      <w:rFonts w:ascii="Calibri" w:eastAsia="Calibri" w:hAnsi="Calibri" w:cs="Calibri"/>
      <w:sz w:val="22"/>
      <w:szCs w:val="22"/>
    </w:rPr>
  </w:style>
  <w:style w:type="paragraph" w:customStyle="1" w:styleId="Galaxy-WPBLevel5I">
    <w:name w:val="Galaxy-WPB Level 5I"/>
    <w:basedOn w:val="Normal0"/>
    <w:qFormat/>
    <w:pPr>
      <w:tabs>
        <w:tab w:val="clear" w:pos="1134"/>
        <w:tab w:val="clear" w:pos="15876"/>
        <w:tab w:val="left" w:pos="1780"/>
      </w:tabs>
      <w:spacing w:before="10"/>
      <w:ind w:left="1780" w:hanging="420"/>
    </w:pPr>
    <w:rPr>
      <w:rFonts w:ascii="Calibri" w:eastAsia="Calibri" w:hAnsi="Calibri" w:cs="Calibri"/>
      <w:sz w:val="22"/>
      <w:szCs w:val="22"/>
      <w:shd w:val="clear" w:color="auto" w:fill="E1E1E1"/>
    </w:rPr>
  </w:style>
  <w:style w:type="paragraph" w:customStyle="1" w:styleId="Galaxy-WPBLevel6">
    <w:name w:val="Galaxy-WPB Level 6"/>
    <w:basedOn w:val="Normal0"/>
    <w:qFormat/>
    <w:pPr>
      <w:tabs>
        <w:tab w:val="clear" w:pos="1134"/>
        <w:tab w:val="clear" w:pos="15876"/>
        <w:tab w:val="left" w:pos="2230"/>
      </w:tabs>
      <w:spacing w:before="10"/>
      <w:ind w:left="2230" w:hanging="450"/>
    </w:pPr>
    <w:rPr>
      <w:rFonts w:ascii="Calibri" w:eastAsia="Calibri" w:hAnsi="Calibri" w:cs="Calibri"/>
      <w:sz w:val="22"/>
      <w:szCs w:val="22"/>
    </w:rPr>
  </w:style>
  <w:style w:type="paragraph" w:customStyle="1" w:styleId="Galaxy-WPBLevel6I">
    <w:name w:val="Galaxy-WPB Level 6I"/>
    <w:basedOn w:val="Normal0"/>
    <w:qFormat/>
    <w:pPr>
      <w:tabs>
        <w:tab w:val="clear" w:pos="1134"/>
        <w:tab w:val="clear" w:pos="15876"/>
        <w:tab w:val="left" w:pos="2230"/>
      </w:tabs>
      <w:spacing w:before="10"/>
      <w:ind w:left="2230" w:hanging="450"/>
    </w:pPr>
    <w:rPr>
      <w:rFonts w:ascii="Calibri" w:eastAsia="Calibri" w:hAnsi="Calibri" w:cs="Calibri"/>
      <w:sz w:val="22"/>
      <w:szCs w:val="22"/>
      <w:shd w:val="clear" w:color="auto" w:fill="E1E1E1"/>
    </w:rPr>
  </w:style>
  <w:style w:type="paragraph" w:customStyle="1" w:styleId="Galaxy-WPBLevel7">
    <w:name w:val="Galaxy-WPB Level 7"/>
    <w:basedOn w:val="Normal0"/>
    <w:qFormat/>
    <w:pPr>
      <w:tabs>
        <w:tab w:val="clear" w:pos="1134"/>
        <w:tab w:val="clear" w:pos="2268"/>
        <w:tab w:val="clear" w:pos="15876"/>
        <w:tab w:val="left" w:pos="2650"/>
      </w:tabs>
      <w:spacing w:before="10"/>
      <w:ind w:left="2650" w:hanging="420"/>
    </w:pPr>
    <w:rPr>
      <w:rFonts w:ascii="Calibri" w:eastAsia="Calibri" w:hAnsi="Calibri" w:cs="Calibri"/>
      <w:sz w:val="22"/>
      <w:szCs w:val="22"/>
    </w:rPr>
  </w:style>
  <w:style w:type="paragraph" w:customStyle="1" w:styleId="Galaxy-WPBLevel7I">
    <w:name w:val="Galaxy-WPB Level 7I"/>
    <w:basedOn w:val="Normal0"/>
    <w:qFormat/>
    <w:pPr>
      <w:tabs>
        <w:tab w:val="clear" w:pos="1134"/>
        <w:tab w:val="clear" w:pos="2268"/>
        <w:tab w:val="clear" w:pos="15876"/>
        <w:tab w:val="left" w:pos="2650"/>
      </w:tabs>
      <w:spacing w:before="10"/>
      <w:ind w:left="2650" w:hanging="420"/>
    </w:pPr>
    <w:rPr>
      <w:rFonts w:ascii="Calibri" w:eastAsia="Calibri" w:hAnsi="Calibri" w:cs="Calibri"/>
      <w:sz w:val="22"/>
      <w:szCs w:val="22"/>
      <w:shd w:val="clear" w:color="auto" w:fill="E1E1E1"/>
    </w:rPr>
  </w:style>
  <w:style w:type="paragraph" w:customStyle="1" w:styleId="Galaxy-WPBLevel7N">
    <w:name w:val="Galaxy-WPB Level 7N"/>
    <w:basedOn w:val="Normal0"/>
    <w:qFormat/>
    <w:pPr>
      <w:tabs>
        <w:tab w:val="clear" w:pos="1134"/>
        <w:tab w:val="clear" w:pos="2268"/>
        <w:tab w:val="clear" w:pos="15876"/>
        <w:tab w:val="left" w:pos="2650"/>
      </w:tabs>
      <w:spacing w:before="10"/>
      <w:ind w:left="2650" w:hanging="420"/>
    </w:pPr>
    <w:rPr>
      <w:rFonts w:ascii="Calibri" w:eastAsia="Calibri" w:hAnsi="Calibri" w:cs="Calibri"/>
      <w:sz w:val="22"/>
      <w:szCs w:val="22"/>
    </w:rPr>
  </w:style>
  <w:style w:type="paragraph" w:customStyle="1" w:styleId="Galaxy-WPBLevel8">
    <w:name w:val="Galaxy-WPB Level 8"/>
    <w:basedOn w:val="Normal0"/>
    <w:qFormat/>
    <w:pPr>
      <w:tabs>
        <w:tab w:val="clear" w:pos="1134"/>
        <w:tab w:val="clear" w:pos="2268"/>
        <w:tab w:val="clear" w:pos="15876"/>
        <w:tab w:val="left" w:pos="3100"/>
      </w:tabs>
      <w:spacing w:before="10"/>
      <w:ind w:left="3100" w:hanging="450"/>
    </w:pPr>
    <w:rPr>
      <w:rFonts w:ascii="Calibri" w:eastAsia="Calibri" w:hAnsi="Calibri" w:cs="Calibri"/>
      <w:sz w:val="20"/>
      <w:szCs w:val="20"/>
    </w:rPr>
  </w:style>
  <w:style w:type="paragraph" w:customStyle="1" w:styleId="Galaxy-WPBLevel8I">
    <w:name w:val="Galaxy-WPB Level 8I"/>
    <w:basedOn w:val="Normal0"/>
    <w:qFormat/>
    <w:pPr>
      <w:tabs>
        <w:tab w:val="clear" w:pos="1134"/>
        <w:tab w:val="clear" w:pos="2268"/>
        <w:tab w:val="clear" w:pos="15876"/>
        <w:tab w:val="left" w:pos="3100"/>
      </w:tabs>
      <w:spacing w:before="10"/>
      <w:ind w:left="3100" w:hanging="450"/>
    </w:pPr>
    <w:rPr>
      <w:rFonts w:ascii="Calibri" w:eastAsia="Calibri" w:hAnsi="Calibri" w:cs="Calibri"/>
      <w:sz w:val="20"/>
      <w:szCs w:val="20"/>
      <w:shd w:val="clear" w:color="auto" w:fill="E1E1E1"/>
    </w:rPr>
  </w:style>
  <w:style w:type="paragraph" w:customStyle="1" w:styleId="Galaxy-WPBLevel8N">
    <w:name w:val="Galaxy-WPB Level 8N"/>
    <w:basedOn w:val="Normal0"/>
    <w:qFormat/>
    <w:pPr>
      <w:tabs>
        <w:tab w:val="clear" w:pos="1134"/>
        <w:tab w:val="clear" w:pos="2268"/>
        <w:tab w:val="clear" w:pos="15876"/>
        <w:tab w:val="left" w:pos="3100"/>
      </w:tabs>
      <w:spacing w:before="10"/>
      <w:ind w:left="3100" w:hanging="450"/>
    </w:pPr>
    <w:rPr>
      <w:rFonts w:ascii="Calibri" w:eastAsia="Calibri" w:hAnsi="Calibri" w:cs="Calibri"/>
      <w:sz w:val="20"/>
      <w:szCs w:val="20"/>
    </w:rPr>
  </w:style>
  <w:style w:type="character" w:customStyle="1" w:styleId="FillIn">
    <w:name w:val="FillIn"/>
    <w:qFormat/>
    <w:rPr>
      <w:color w:val="8B0000"/>
      <w:rtl w:val="0"/>
      <w:lang w:val="x-none" w:eastAsia="x-none" w:bidi="x-none"/>
    </w:rPr>
  </w:style>
  <w:style w:type="character" w:customStyle="1" w:styleId="Keyword">
    <w:name w:val="Keyword"/>
    <w:qFormat/>
    <w:rPr>
      <w:rFonts w:ascii="Arial" w:eastAsia="Arial" w:hAnsi="Arial" w:cs="Arial"/>
      <w:color w:val="000000"/>
      <w:sz w:val="20"/>
      <w:szCs w:val="20"/>
      <w:rtl w:val="0"/>
      <w:lang w:val="x-none" w:eastAsia="x-none" w:bidi="x-none"/>
    </w:rPr>
  </w:style>
  <w:style w:type="character" w:customStyle="1" w:styleId="Normal1">
    <w:name w:val="Normal1"/>
    <w:qFormat/>
    <w:rPr>
      <w:rFonts w:ascii="Arial" w:eastAsia="Arial" w:hAnsi="Arial" w:cs="Arial"/>
      <w:color w:val="000000"/>
      <w:sz w:val="20"/>
      <w:szCs w:val="20"/>
      <w:rtl w:val="0"/>
      <w:lang w:val="x-none" w:eastAsia="x-none" w:bidi="x-none"/>
    </w:rPr>
  </w:style>
  <w:style w:type="character" w:customStyle="1" w:styleId="Normal10">
    <w:name w:val="Normal1"/>
    <w:qFormat/>
    <w:rPr>
      <w:rFonts w:ascii="Arial" w:eastAsia="Arial" w:hAnsi="Arial" w:cs="Arial"/>
      <w:color w:val="000000"/>
      <w:sz w:val="20"/>
      <w:szCs w:val="20"/>
      <w:rtl w:val="0"/>
      <w:lang w:val="x-none" w:eastAsia="x-none" w:bidi="x-none"/>
    </w:rPr>
  </w:style>
  <w:style w:type="paragraph" w:styleId="Header">
    <w:name w:val="header"/>
    <w:basedOn w:val="Normal"/>
    <w:link w:val="HeaderChar"/>
    <w:rsid w:val="00F37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378BF"/>
  </w:style>
  <w:style w:type="paragraph" w:styleId="Footer">
    <w:name w:val="footer"/>
    <w:basedOn w:val="Normal"/>
    <w:link w:val="FooterChar"/>
    <w:rsid w:val="00F37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3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lobal.ihs.com/doc_detail.cfm?rid=BSD&amp;document_name=ASTM%20D695" TargetMode="External"/><Relationship Id="rId13" Type="http://schemas.openxmlformats.org/officeDocument/2006/relationships/hyperlink" Target="https://global.ihs.com/doc_detail.cfm?rid=BSD&amp;document_name=ASTM%20F710" TargetMode="External"/><Relationship Id="rId18" Type="http://schemas.openxmlformats.org/officeDocument/2006/relationships/hyperlink" Target="http://global.ihs.com/doc_detail.cfm?rid=BSD&amp;document_name=ASTM%20D695" TargetMode="External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://global.ihs.com/doc_detail.cfm?rid=BSD&amp;document_name=ASTM%20D638" TargetMode="External"/><Relationship Id="rId12" Type="http://schemas.openxmlformats.org/officeDocument/2006/relationships/hyperlink" Target="http://global.ihs.com/doc_detail.cfm?rid=BSD&amp;document_name=ASTM%20E648" TargetMode="External"/><Relationship Id="rId17" Type="http://schemas.openxmlformats.org/officeDocument/2006/relationships/hyperlink" Target="http://global.ihs.com/doc_detail.cfm?rid=BSD&amp;document_name=ASTM%20D638" TargetMode="External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s://icri.site-ym.com/store/ViewProduct.aspx?id=5569356" TargetMode="External"/><Relationship Id="rId20" Type="http://schemas.openxmlformats.org/officeDocument/2006/relationships/hyperlink" Target="https://icri.site-ym.com/store/ViewProduct.aspx?id=5569356" TargetMode="External"/><Relationship Id="rId1" Type="http://schemas.openxmlformats.org/officeDocument/2006/relationships/styles" Target="styles.xml"/><Relationship Id="rId6" Type="http://schemas.openxmlformats.org/officeDocument/2006/relationships/hyperlink" Target="http://global.ihs.com/doc_detail.cfm?rid=BSD&amp;document_name=ASTM%20D570" TargetMode="External"/><Relationship Id="rId11" Type="http://schemas.openxmlformats.org/officeDocument/2006/relationships/hyperlink" Target="https://global.ihs.com/doc_detail.cfm?rid=BSD&amp;document_name=ASTM%20E96/E96M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global.ihs.com/doc_detail.cfm?rid=BSD&amp;document_name=ASTM%20F2170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://global.ihs.com/doc_detail.cfm?rid=BSD&amp;document_name=ASTM%20D4060" TargetMode="External"/><Relationship Id="rId19" Type="http://schemas.openxmlformats.org/officeDocument/2006/relationships/hyperlink" Target="http://global.ihs.com/doc_detail.cfm?rid=BSD&amp;document_name=ASTM%20D57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global.ihs.com/doc_detail.cfm?rid=BSD&amp;document_name=ASTM%20D905" TargetMode="External"/><Relationship Id="rId14" Type="http://schemas.openxmlformats.org/officeDocument/2006/relationships/hyperlink" Target="http://global.ihs.com/doc_detail.cfm?rid=BSD&amp;document_name=ASTM%20F1869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School District of Palm Beach County</Company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FLUID-APPLIED EPOXY FLOORING</dc:title>
  <dc:creator>Angel Goitia</dc:creator>
  <cp:lastModifiedBy>Mary Murphy</cp:lastModifiedBy>
  <cp:revision>2</cp:revision>
  <dcterms:created xsi:type="dcterms:W3CDTF">2023-03-16T13:46:00Z</dcterms:created>
  <dcterms:modified xsi:type="dcterms:W3CDTF">2023-03-16T13:46:00Z</dcterms:modified>
</cp:coreProperties>
</file>