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EB5" w:rsidRDefault="0087018A">
      <w:r>
        <w:rPr>
          <w:rFonts w:ascii="Arial" w:hAnsi="Arial" w:cs="Arial"/>
          <w:i/>
          <w:iCs/>
          <w:color w:val="000000"/>
          <w:lang w:val="es-ES"/>
        </w:rPr>
        <w:t xml:space="preserve">La Capital de distrito es </w:t>
      </w:r>
      <w:proofErr w:type="gramStart"/>
      <w:r>
        <w:rPr>
          <w:rFonts w:ascii="Arial" w:hAnsi="Arial" w:cs="Arial"/>
          <w:i/>
          <w:iCs/>
          <w:color w:val="000000"/>
          <w:lang w:val="es-ES"/>
        </w:rPr>
        <w:t>gobernado</w:t>
      </w:r>
      <w:proofErr w:type="gramEnd"/>
      <w:r>
        <w:rPr>
          <w:rFonts w:ascii="Arial" w:hAnsi="Arial" w:cs="Arial"/>
          <w:i/>
          <w:iCs/>
          <w:color w:val="000000"/>
          <w:lang w:val="es-ES"/>
        </w:rPr>
        <w:t xml:space="preserve"> por la Junta de educación y conformada por maestros, personal de apoyo, un Consejo de educación y administradores dedicados a servir a las necesidades de más de 6.000 estudiantes viven en la región que rodea la ciudad de Capital de Dover, Delaware. El distrito incluye siete escuelas primarias, dos escuelas, una secundaria y la escuela de la comunidad </w:t>
      </w:r>
      <w:proofErr w:type="gramStart"/>
      <w:r>
        <w:rPr>
          <w:rFonts w:ascii="Arial" w:hAnsi="Arial" w:cs="Arial"/>
          <w:i/>
          <w:iCs/>
          <w:color w:val="000000"/>
          <w:lang w:val="es-ES"/>
        </w:rPr>
        <w:t>de la</w:t>
      </w:r>
      <w:proofErr w:type="gramEnd"/>
      <w:r>
        <w:rPr>
          <w:rFonts w:ascii="Arial" w:hAnsi="Arial" w:cs="Arial"/>
          <w:i/>
          <w:iCs/>
          <w:color w:val="000000"/>
          <w:lang w:val="es-ES"/>
        </w:rPr>
        <w:t xml:space="preserve"> Condado de Kent que a niños severamente discapacitados. El distrito ofrece programas integrales para estudiante en Pr</w:t>
      </w:r>
      <w:r>
        <w:rPr>
          <w:rFonts w:ascii="Arial" w:hAnsi="Arial" w:cs="Arial"/>
          <w:i/>
          <w:iCs/>
          <w:color w:val="000000"/>
          <w:lang w:val="es-ES"/>
        </w:rPr>
        <w:t>e-</w:t>
      </w:r>
      <w:proofErr w:type="spellStart"/>
      <w:r>
        <w:rPr>
          <w:rFonts w:ascii="Arial" w:hAnsi="Arial" w:cs="Arial"/>
          <w:i/>
          <w:iCs/>
          <w:color w:val="000000"/>
          <w:lang w:val="es-ES"/>
        </w:rPr>
        <w:t>Kinder</w:t>
      </w:r>
      <w:proofErr w:type="spellEnd"/>
      <w:r>
        <w:rPr>
          <w:rFonts w:ascii="Arial" w:hAnsi="Arial" w:cs="Arial"/>
          <w:i/>
          <w:iCs/>
          <w:color w:val="000000"/>
          <w:lang w:val="es-ES"/>
        </w:rPr>
        <w:t xml:space="preserve"> a grado12</w:t>
      </w:r>
      <w:bookmarkStart w:id="0" w:name="_GoBack"/>
      <w:bookmarkEnd w:id="0"/>
      <w:r>
        <w:rPr>
          <w:rFonts w:ascii="Arial" w:hAnsi="Arial" w:cs="Arial"/>
          <w:i/>
          <w:iCs/>
          <w:color w:val="000000"/>
          <w:lang w:val="es-ES"/>
        </w:rPr>
        <w:t xml:space="preserve">, programas de programas de crédito de Universidad en </w:t>
      </w:r>
      <w:proofErr w:type="spellStart"/>
      <w:r>
        <w:rPr>
          <w:rFonts w:ascii="Arial" w:hAnsi="Arial" w:cs="Arial"/>
          <w:i/>
          <w:iCs/>
          <w:color w:val="000000"/>
          <w:lang w:val="es-ES"/>
        </w:rPr>
        <w:t>high</w:t>
      </w:r>
      <w:proofErr w:type="spellEnd"/>
      <w:r>
        <w:rPr>
          <w:rFonts w:ascii="Arial" w:hAnsi="Arial" w:cs="Arial"/>
          <w:i/>
          <w:iCs/>
          <w:color w:val="000000"/>
          <w:lang w:val="es-ES"/>
        </w:rPr>
        <w:t xml:space="preserve"> </w:t>
      </w:r>
      <w:proofErr w:type="spellStart"/>
      <w:r>
        <w:rPr>
          <w:rFonts w:ascii="Arial" w:hAnsi="Arial" w:cs="Arial"/>
          <w:i/>
          <w:iCs/>
          <w:color w:val="000000"/>
          <w:lang w:val="es-ES"/>
        </w:rPr>
        <w:t>School</w:t>
      </w:r>
      <w:proofErr w:type="spellEnd"/>
      <w:r>
        <w:rPr>
          <w:rFonts w:ascii="Arial" w:hAnsi="Arial" w:cs="Arial"/>
          <w:i/>
          <w:iCs/>
          <w:color w:val="000000"/>
          <w:lang w:val="es-ES"/>
        </w:rPr>
        <w:t xml:space="preserve"> secundaria, día extendido y el año, numerosas asociaciones comunitarias, extensos programas de Artes y atletismo. </w:t>
      </w:r>
      <w:r>
        <w:rPr>
          <w:rFonts w:ascii="Arial" w:hAnsi="Arial" w:cs="Arial"/>
          <w:i/>
          <w:iCs/>
          <w:color w:val="0F0F5F"/>
          <w:shd w:val="clear" w:color="auto" w:fill="F0F0A0"/>
          <w:lang w:val="es-ES"/>
        </w:rPr>
        <w:t xml:space="preserve">El distrito se esfuerza por cumplir con su misión al proporcionar un seguro, saludable y acogedor ambiente de aprendizaje programas de instrucción de última generación, personal altamente capacitado, comprometido personal en colaboración con la comunidad para satisfacer las necesidades de la comarca </w:t>
      </w:r>
      <w:r>
        <w:rPr>
          <w:rFonts w:ascii="Arial" w:hAnsi="Arial" w:cs="Arial"/>
          <w:i/>
          <w:iCs/>
          <w:color w:val="000000"/>
          <w:lang w:val="es-ES"/>
        </w:rPr>
        <w:t>diversidad en la población.</w:t>
      </w:r>
      <w:r>
        <w:rPr>
          <w:i/>
          <w:iCs/>
        </w:rPr>
        <w:t xml:space="preserve"> </w:t>
      </w:r>
      <w:r>
        <w:rPr>
          <w:rFonts w:ascii="Arial" w:hAnsi="Arial" w:cs="Arial"/>
          <w:i/>
          <w:iCs/>
          <w:color w:val="000000"/>
          <w:lang w:val="es-ES"/>
        </w:rPr>
        <w:t xml:space="preserve">El Distrito Capital es un empleador de igualdad de oportunidades. No discrimina por razón de raza, color, religión, origen nacional, sexo, orientación sexual, identidad de género, estado civil, discapacidad, edad, información genética o de veterano de la situación en el empleo, o sus programas y actividades. Las consultas sobre las políticas de no discriminación deben hacerse en el Título IX, Distrito 504 y coordinadores de ADA: Distrito Capital, 198 </w:t>
      </w:r>
      <w:proofErr w:type="gramStart"/>
      <w:r>
        <w:rPr>
          <w:rFonts w:ascii="Arial" w:hAnsi="Arial" w:cs="Arial"/>
          <w:i/>
          <w:iCs/>
          <w:color w:val="000000"/>
          <w:lang w:val="es-ES"/>
        </w:rPr>
        <w:t>comercio</w:t>
      </w:r>
      <w:proofErr w:type="gramEnd"/>
      <w:r>
        <w:rPr>
          <w:rFonts w:ascii="Arial" w:hAnsi="Arial" w:cs="Arial"/>
          <w:i/>
          <w:iCs/>
          <w:color w:val="000000"/>
          <w:lang w:val="es-ES"/>
        </w:rPr>
        <w:t xml:space="preserve"> forma, Dover DE 19904. Teléfono (302) 672-1500</w:t>
      </w:r>
    </w:p>
    <w:sectPr w:rsidR="00555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18A"/>
    <w:rsid w:val="00555EB5"/>
    <w:rsid w:val="00870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2018-07-31T13:18:00Z</dcterms:created>
  <dcterms:modified xsi:type="dcterms:W3CDTF">2018-07-31T13:19:00Z</dcterms:modified>
</cp:coreProperties>
</file>