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92BD2" w14:textId="3D877F2D" w:rsidR="766FC8C0" w:rsidRDefault="766FC8C0" w:rsidP="758892C1">
      <w:pPr>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1 – ELHS Junior Planning Presentation</w:t>
      </w:r>
    </w:p>
    <w:p w14:paraId="350FE886" w14:textId="65F1BFD3" w:rsidR="766FC8C0" w:rsidRDefault="766FC8C0" w:rsidP="758892C1">
      <w:pPr>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Welcome to our presentation on post-secondary planning, a process that plays a crucial role in shaping the future of our students. Whether you are considering college, technical programs, the military, or entering the workforce, the journey toward life after high school can feel both exciting and overwhelming. At East Lyme High School, the Counseling Department is here to support you every step of the way. From exploring options and setting goals to navigating applications and deadlines, we are committed to providing personalized support and resources to ensure each student finds their best path forward. This presentation will walk you through the process of </w:t>
      </w:r>
      <w:proofErr w:type="gramStart"/>
      <w:r w:rsidRPr="758892C1">
        <w:rPr>
          <w:rFonts w:ascii="Times New Roman" w:eastAsia="Times New Roman" w:hAnsi="Times New Roman" w:cs="Times New Roman"/>
          <w:color w:val="000000" w:themeColor="text1"/>
        </w:rPr>
        <w:t>the career</w:t>
      </w:r>
      <w:proofErr w:type="gramEnd"/>
      <w:r w:rsidRPr="758892C1">
        <w:rPr>
          <w:rFonts w:ascii="Times New Roman" w:eastAsia="Times New Roman" w:hAnsi="Times New Roman" w:cs="Times New Roman"/>
          <w:color w:val="000000" w:themeColor="text1"/>
        </w:rPr>
        <w:t xml:space="preserve"> and college </w:t>
      </w:r>
      <w:proofErr w:type="gramStart"/>
      <w:r w:rsidRPr="758892C1">
        <w:rPr>
          <w:rFonts w:ascii="Times New Roman" w:eastAsia="Times New Roman" w:hAnsi="Times New Roman" w:cs="Times New Roman"/>
          <w:color w:val="000000" w:themeColor="text1"/>
        </w:rPr>
        <w:t>searches</w:t>
      </w:r>
      <w:proofErr w:type="gramEnd"/>
      <w:r w:rsidRPr="758892C1">
        <w:rPr>
          <w:rFonts w:ascii="Times New Roman" w:eastAsia="Times New Roman" w:hAnsi="Times New Roman" w:cs="Times New Roman"/>
          <w:color w:val="000000" w:themeColor="text1"/>
        </w:rPr>
        <w:t>, share key milestones, and highlight how we can partner with you to make post-secondary planning a clear and manageable experience.</w:t>
      </w:r>
    </w:p>
    <w:p w14:paraId="47731CCD" w14:textId="2C2C6D95" w:rsidR="758892C1" w:rsidRDefault="758892C1" w:rsidP="758892C1">
      <w:pPr>
        <w:rPr>
          <w:rFonts w:ascii="Times New Roman" w:eastAsia="Times New Roman" w:hAnsi="Times New Roman" w:cs="Times New Roman"/>
          <w:color w:val="000000" w:themeColor="text1"/>
        </w:rPr>
      </w:pPr>
    </w:p>
    <w:p w14:paraId="3B8394D1" w14:textId="25D69D01" w:rsidR="766FC8C0" w:rsidRDefault="766FC8C0" w:rsidP="758892C1">
      <w:pPr>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2- School Counselors</w:t>
      </w:r>
    </w:p>
    <w:p w14:paraId="13EFAE0D" w14:textId="195D4BD4"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Listed here, are our dedicated counselors here at East Lyme High School, who are committed to guiding you through every step of your high school journey, including the post-secondary planning process. Each counselor supports students based on their last names, ensuring personalized attention and support throughout your time here.</w:t>
      </w:r>
    </w:p>
    <w:p w14:paraId="0EB8DB73" w14:textId="2CAD82F6"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Communication is a key part of what we do, and we want to ensure that students and families feel informed and connected.</w:t>
      </w:r>
    </w:p>
    <w:p w14:paraId="7BB3BBF6" w14:textId="3ADC8B8A" w:rsidR="766FC8C0" w:rsidRDefault="766FC8C0" w:rsidP="758892C1">
      <w:pPr>
        <w:pStyle w:val="ListParagraph"/>
        <w:numPr>
          <w:ilvl w:val="0"/>
          <w:numId w:val="2"/>
        </w:numPr>
        <w:spacing w:after="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Our website is a valuable hub for information on deadlines, resources, and opportunities.</w:t>
      </w:r>
    </w:p>
    <w:p w14:paraId="68E6B75F" w14:textId="58DE411A" w:rsidR="766FC8C0" w:rsidRDefault="766FC8C0" w:rsidP="758892C1">
      <w:pPr>
        <w:pStyle w:val="ListParagraph"/>
        <w:numPr>
          <w:ilvl w:val="0"/>
          <w:numId w:val="2"/>
        </w:numPr>
        <w:spacing w:after="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Follow our Facebook page for updates, announcements, and reminders to keep you on track.</w:t>
      </w:r>
    </w:p>
    <w:p w14:paraId="4948793E" w14:textId="5C65ED2B" w:rsidR="766FC8C0" w:rsidRDefault="766FC8C0" w:rsidP="758892C1">
      <w:pPr>
        <w:pStyle w:val="ListParagraph"/>
        <w:numPr>
          <w:ilvl w:val="0"/>
          <w:numId w:val="2"/>
        </w:numPr>
        <w:spacing w:after="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And most importantly, we utilize Naviance, our post-secondary planning software. Every student has a Naviance account and is encouraged to explore its many tools and resources, such as resume building, college searches, and career assessments. Naviance is central to the post-secondary planning process, so we strongly recommend students logging in regularly to stay organized and informed.</w:t>
      </w:r>
    </w:p>
    <w:p w14:paraId="1129D329" w14:textId="205C8074"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Our team is here to guide you, answer your questions, and support you as you plan for your future. </w:t>
      </w:r>
    </w:p>
    <w:p w14:paraId="29927FBB" w14:textId="6F132212" w:rsidR="758892C1" w:rsidRDefault="758892C1" w:rsidP="758892C1">
      <w:pPr>
        <w:spacing w:before="240" w:after="240"/>
        <w:rPr>
          <w:rFonts w:ascii="Times New Roman" w:eastAsia="Times New Roman" w:hAnsi="Times New Roman" w:cs="Times New Roman"/>
          <w:color w:val="000000" w:themeColor="text1"/>
        </w:rPr>
      </w:pPr>
    </w:p>
    <w:p w14:paraId="52BAAA3C" w14:textId="503A9331" w:rsidR="758892C1" w:rsidRDefault="758892C1" w:rsidP="758892C1">
      <w:pPr>
        <w:spacing w:before="240" w:after="240"/>
        <w:rPr>
          <w:rFonts w:ascii="Times New Roman" w:eastAsia="Times New Roman" w:hAnsi="Times New Roman" w:cs="Times New Roman"/>
          <w:color w:val="000000" w:themeColor="text1"/>
        </w:rPr>
      </w:pPr>
    </w:p>
    <w:p w14:paraId="3B7D6EEF" w14:textId="2DE4CAAE"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3- About This Presentation</w:t>
      </w:r>
    </w:p>
    <w:p w14:paraId="3528A529" w14:textId="18395B25"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lastRenderedPageBreak/>
        <w:t>Welcome to an overview of the post-secondary planning process. In this presentation, we'll discuss what has been done so far, what is currently happening, and the steps that lie ahead. Up until now, a student's relationship with their counselor may have primarily revolved around academic scheduling or addressing social-emotional needs. However, as we delve into planning for life after high school, we introduce an additional layer of support and guidance. This process marks a significant transition, where we work collaboratively to help students define and achieve their goals for the future.</w:t>
      </w:r>
    </w:p>
    <w:p w14:paraId="0093A402" w14:textId="68B4348D"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4- Title Slide WHAT HAS BEEN DONE</w:t>
      </w:r>
    </w:p>
    <w:p w14:paraId="15E55856" w14:textId="19D7A2E1"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5- Freshman/Sophomore Year</w:t>
      </w:r>
    </w:p>
    <w:p w14:paraId="7CE7FA03" w14:textId="549BDA8A"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Grade 9 students began their journey with the PSAT 9, </w:t>
      </w:r>
      <w:proofErr w:type="gramStart"/>
      <w:r w:rsidRPr="758892C1">
        <w:rPr>
          <w:rFonts w:ascii="Times New Roman" w:eastAsia="Times New Roman" w:hAnsi="Times New Roman" w:cs="Times New Roman"/>
          <w:color w:val="000000" w:themeColor="text1"/>
        </w:rPr>
        <w:t>providing an introduction to</w:t>
      </w:r>
      <w:proofErr w:type="gramEnd"/>
      <w:r w:rsidRPr="758892C1">
        <w:rPr>
          <w:rFonts w:ascii="Times New Roman" w:eastAsia="Times New Roman" w:hAnsi="Times New Roman" w:cs="Times New Roman"/>
          <w:color w:val="000000" w:themeColor="text1"/>
        </w:rPr>
        <w:t xml:space="preserve"> standardized testing and insight into their academic strengths. They also registered on CollegeBoard, setting the foundation for future college and career exploration. From February to May, counselors met individually with students to discuss course selections and recommendations, ensuring their schedules aligned with their interests and academic goals.</w:t>
      </w:r>
    </w:p>
    <w:p w14:paraId="36FDC79F" w14:textId="59CB7093"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In Grade 10, the focus expanded further. Between February and April, students participated in classroom lessons and completed career interest and personality inventories using Naviance, helping them explore potential career paths and understand their unique strengths. From February to May, we continued the individual meetings to review course selections and recommendations, maintaining a personalized approach to each student's academic planning</w:t>
      </w:r>
    </w:p>
    <w:p w14:paraId="51DAECC4" w14:textId="4C623C97" w:rsidR="758892C1" w:rsidRDefault="758892C1" w:rsidP="758892C1">
      <w:pPr>
        <w:spacing w:before="240" w:after="240"/>
        <w:rPr>
          <w:rFonts w:ascii="Times New Roman" w:eastAsia="Times New Roman" w:hAnsi="Times New Roman" w:cs="Times New Roman"/>
          <w:b/>
          <w:bCs/>
          <w:color w:val="000000" w:themeColor="text1"/>
        </w:rPr>
      </w:pPr>
    </w:p>
    <w:p w14:paraId="32A94B34" w14:textId="0379315B"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6- Title Slide WHAT IS HAPPENING NOW</w:t>
      </w:r>
    </w:p>
    <w:p w14:paraId="3BA26EE9" w14:textId="19920AB4" w:rsidR="758892C1" w:rsidRDefault="758892C1" w:rsidP="758892C1">
      <w:pPr>
        <w:spacing w:before="240" w:after="240"/>
        <w:rPr>
          <w:rFonts w:ascii="Times New Roman" w:eastAsia="Times New Roman" w:hAnsi="Times New Roman" w:cs="Times New Roman"/>
          <w:color w:val="000000" w:themeColor="text1"/>
        </w:rPr>
      </w:pPr>
    </w:p>
    <w:p w14:paraId="0C6DC9C2" w14:textId="359524C5" w:rsidR="758892C1" w:rsidRDefault="758892C1" w:rsidP="758892C1">
      <w:pPr>
        <w:spacing w:before="240" w:after="240"/>
        <w:rPr>
          <w:rFonts w:ascii="Times New Roman" w:eastAsia="Times New Roman" w:hAnsi="Times New Roman" w:cs="Times New Roman"/>
          <w:b/>
          <w:bCs/>
          <w:color w:val="000000" w:themeColor="text1"/>
        </w:rPr>
      </w:pPr>
    </w:p>
    <w:p w14:paraId="4DDA89E8" w14:textId="1454DC55"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7- Current Discussion Topics</w:t>
      </w:r>
    </w:p>
    <w:p w14:paraId="4F65C8B1" w14:textId="285A5A3C"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As we look ahead to post-secondary planning, it's essential for current juniors to begin having meaningful conversations at home about several key topics. Each of these areas brings its own value and purpose to the planning process.</w:t>
      </w:r>
    </w:p>
    <w:p w14:paraId="47D5A710" w14:textId="483C54F3"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First, </w:t>
      </w:r>
      <w:r w:rsidRPr="758892C1">
        <w:rPr>
          <w:rFonts w:ascii="Times New Roman" w:eastAsia="Times New Roman" w:hAnsi="Times New Roman" w:cs="Times New Roman"/>
          <w:i/>
          <w:iCs/>
          <w:color w:val="000000" w:themeColor="text1"/>
        </w:rPr>
        <w:t>Course Selection</w:t>
      </w:r>
      <w:r w:rsidRPr="758892C1">
        <w:rPr>
          <w:rFonts w:ascii="Times New Roman" w:eastAsia="Times New Roman" w:hAnsi="Times New Roman" w:cs="Times New Roman"/>
          <w:color w:val="000000" w:themeColor="text1"/>
        </w:rPr>
        <w:t>—discussing academic choices ensures students are building a transcript that aligns with their future goals.</w:t>
      </w:r>
    </w:p>
    <w:p w14:paraId="4748F6AC" w14:textId="56722DFF"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Next, </w:t>
      </w:r>
      <w:r w:rsidRPr="758892C1">
        <w:rPr>
          <w:rFonts w:ascii="Times New Roman" w:eastAsia="Times New Roman" w:hAnsi="Times New Roman" w:cs="Times New Roman"/>
          <w:i/>
          <w:iCs/>
          <w:color w:val="000000" w:themeColor="text1"/>
        </w:rPr>
        <w:t>Exploring Careers and Majors</w:t>
      </w:r>
      <w:r w:rsidRPr="758892C1">
        <w:rPr>
          <w:rFonts w:ascii="Times New Roman" w:eastAsia="Times New Roman" w:hAnsi="Times New Roman" w:cs="Times New Roman"/>
          <w:color w:val="000000" w:themeColor="text1"/>
        </w:rPr>
        <w:t>—these conversations can help students identify interests and potential career paths.</w:t>
      </w:r>
    </w:p>
    <w:p w14:paraId="70629715" w14:textId="60476B85"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i/>
          <w:iCs/>
          <w:color w:val="000000" w:themeColor="text1"/>
        </w:rPr>
        <w:lastRenderedPageBreak/>
        <w:t>Standardized Tests</w:t>
      </w:r>
      <w:r w:rsidRPr="758892C1">
        <w:rPr>
          <w:rFonts w:ascii="Times New Roman" w:eastAsia="Times New Roman" w:hAnsi="Times New Roman" w:cs="Times New Roman"/>
          <w:color w:val="000000" w:themeColor="text1"/>
        </w:rPr>
        <w:t xml:space="preserve"> are another important topic—talking about preparation and timelines </w:t>
      </w:r>
      <w:proofErr w:type="gramStart"/>
      <w:r w:rsidRPr="758892C1">
        <w:rPr>
          <w:rFonts w:ascii="Times New Roman" w:eastAsia="Times New Roman" w:hAnsi="Times New Roman" w:cs="Times New Roman"/>
          <w:color w:val="000000" w:themeColor="text1"/>
        </w:rPr>
        <w:t>ensures</w:t>
      </w:r>
      <w:proofErr w:type="gramEnd"/>
      <w:r w:rsidRPr="758892C1">
        <w:rPr>
          <w:rFonts w:ascii="Times New Roman" w:eastAsia="Times New Roman" w:hAnsi="Times New Roman" w:cs="Times New Roman"/>
          <w:color w:val="000000" w:themeColor="text1"/>
        </w:rPr>
        <w:t xml:space="preserve"> students are on track for success.</w:t>
      </w:r>
    </w:p>
    <w:p w14:paraId="26641000" w14:textId="59F84321"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We also encourage students to </w:t>
      </w:r>
      <w:r w:rsidRPr="758892C1">
        <w:rPr>
          <w:rFonts w:ascii="Times New Roman" w:eastAsia="Times New Roman" w:hAnsi="Times New Roman" w:cs="Times New Roman"/>
          <w:i/>
          <w:iCs/>
          <w:color w:val="000000" w:themeColor="text1"/>
        </w:rPr>
        <w:t>Meet with Their Counselor</w:t>
      </w:r>
      <w:r w:rsidRPr="758892C1">
        <w:rPr>
          <w:rFonts w:ascii="Times New Roman" w:eastAsia="Times New Roman" w:hAnsi="Times New Roman" w:cs="Times New Roman"/>
          <w:color w:val="000000" w:themeColor="text1"/>
        </w:rPr>
        <w:t xml:space="preserve"> to deepen the planning process and receive personalized guidance.</w:t>
      </w:r>
    </w:p>
    <w:p w14:paraId="06E7CEEC" w14:textId="3D3FB668"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i/>
          <w:iCs/>
          <w:color w:val="000000" w:themeColor="text1"/>
        </w:rPr>
        <w:t>Preparing to Apply and Explore</w:t>
      </w:r>
      <w:r w:rsidRPr="758892C1">
        <w:rPr>
          <w:rFonts w:ascii="Times New Roman" w:eastAsia="Times New Roman" w:hAnsi="Times New Roman" w:cs="Times New Roman"/>
          <w:color w:val="000000" w:themeColor="text1"/>
        </w:rPr>
        <w:t xml:space="preserve"> involves researching colleges, programs, and other opportunities. Finally, understanding </w:t>
      </w:r>
      <w:r w:rsidRPr="758892C1">
        <w:rPr>
          <w:rFonts w:ascii="Times New Roman" w:eastAsia="Times New Roman" w:hAnsi="Times New Roman" w:cs="Times New Roman"/>
          <w:i/>
          <w:iCs/>
          <w:color w:val="000000" w:themeColor="text1"/>
        </w:rPr>
        <w:t>How Naviance Can Help</w:t>
      </w:r>
      <w:r w:rsidRPr="758892C1">
        <w:rPr>
          <w:rFonts w:ascii="Times New Roman" w:eastAsia="Times New Roman" w:hAnsi="Times New Roman" w:cs="Times New Roman"/>
          <w:color w:val="000000" w:themeColor="text1"/>
        </w:rPr>
        <w:t xml:space="preserve"> will equip students with tools to navigate this exciting journey.</w:t>
      </w:r>
    </w:p>
    <w:p w14:paraId="4E528471" w14:textId="7BFD3B15"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These discussions provide a strong foundation for students to </w:t>
      </w:r>
      <w:proofErr w:type="gramStart"/>
      <w:r w:rsidRPr="758892C1">
        <w:rPr>
          <w:rFonts w:ascii="Times New Roman" w:eastAsia="Times New Roman" w:hAnsi="Times New Roman" w:cs="Times New Roman"/>
          <w:color w:val="000000" w:themeColor="text1"/>
        </w:rPr>
        <w:t>approach</w:t>
      </w:r>
      <w:proofErr w:type="gramEnd"/>
      <w:r w:rsidRPr="758892C1">
        <w:rPr>
          <w:rFonts w:ascii="Times New Roman" w:eastAsia="Times New Roman" w:hAnsi="Times New Roman" w:cs="Times New Roman"/>
          <w:color w:val="000000" w:themeColor="text1"/>
        </w:rPr>
        <w:t xml:space="preserve"> the next few months.</w:t>
      </w:r>
    </w:p>
    <w:p w14:paraId="124FF535" w14:textId="0AB7A1E3" w:rsidR="758892C1" w:rsidRDefault="758892C1" w:rsidP="758892C1">
      <w:pPr>
        <w:spacing w:before="240" w:after="240"/>
        <w:rPr>
          <w:rFonts w:ascii="Times New Roman" w:eastAsia="Times New Roman" w:hAnsi="Times New Roman" w:cs="Times New Roman"/>
          <w:b/>
          <w:bCs/>
          <w:color w:val="000000" w:themeColor="text1"/>
        </w:rPr>
      </w:pPr>
    </w:p>
    <w:p w14:paraId="6166E307" w14:textId="3B1A4697" w:rsidR="758892C1" w:rsidRDefault="758892C1" w:rsidP="758892C1">
      <w:pPr>
        <w:spacing w:before="240" w:after="240"/>
        <w:rPr>
          <w:rFonts w:ascii="Times New Roman" w:eastAsia="Times New Roman" w:hAnsi="Times New Roman" w:cs="Times New Roman"/>
          <w:b/>
          <w:bCs/>
          <w:color w:val="000000" w:themeColor="text1"/>
        </w:rPr>
      </w:pPr>
    </w:p>
    <w:p w14:paraId="5E07F84A" w14:textId="2AEF6750" w:rsidR="758892C1" w:rsidRDefault="758892C1" w:rsidP="758892C1">
      <w:pPr>
        <w:spacing w:before="240" w:after="240"/>
        <w:rPr>
          <w:rFonts w:ascii="Times New Roman" w:eastAsia="Times New Roman" w:hAnsi="Times New Roman" w:cs="Times New Roman"/>
          <w:b/>
          <w:bCs/>
          <w:color w:val="000000" w:themeColor="text1"/>
        </w:rPr>
      </w:pPr>
    </w:p>
    <w:p w14:paraId="35D48CAF" w14:textId="094623D1" w:rsidR="758892C1" w:rsidRDefault="758892C1" w:rsidP="758892C1">
      <w:pPr>
        <w:spacing w:before="240" w:after="240"/>
        <w:rPr>
          <w:rFonts w:ascii="Times New Roman" w:eastAsia="Times New Roman" w:hAnsi="Times New Roman" w:cs="Times New Roman"/>
          <w:b/>
          <w:bCs/>
          <w:color w:val="000000" w:themeColor="text1"/>
        </w:rPr>
      </w:pPr>
    </w:p>
    <w:p w14:paraId="1509822D" w14:textId="6216B1AD" w:rsidR="758892C1" w:rsidRDefault="758892C1" w:rsidP="758892C1">
      <w:pPr>
        <w:spacing w:before="240" w:after="240"/>
        <w:rPr>
          <w:rFonts w:ascii="Times New Roman" w:eastAsia="Times New Roman" w:hAnsi="Times New Roman" w:cs="Times New Roman"/>
          <w:b/>
          <w:bCs/>
          <w:color w:val="000000" w:themeColor="text1"/>
        </w:rPr>
      </w:pPr>
    </w:p>
    <w:p w14:paraId="6845E942" w14:textId="54921233"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8- Junior Year: Important Dates to Plan for</w:t>
      </w:r>
    </w:p>
    <w:p w14:paraId="0B0EFD56" w14:textId="5F925ABB"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Spring is a busy and important time for our juniors as they continue preparing for their post-secondary plans. From March to April, counselors will hold individual meetings to review course selections, provide recommendations, and discuss personalized post-secondary plans. During these meetings, we'll also set a timeline for the application process to ensure students stay on track.</w:t>
      </w:r>
    </w:p>
    <w:p w14:paraId="5124A4FB" w14:textId="6CA4ACB9"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Looking ahead, mark your calendar for key dates:</w:t>
      </w:r>
    </w:p>
    <w:p w14:paraId="252134D4" w14:textId="7B94174B" w:rsidR="766FC8C0" w:rsidRDefault="766FC8C0" w:rsidP="758892C1">
      <w:pPr>
        <w:pStyle w:val="ListParagraph"/>
        <w:numPr>
          <w:ilvl w:val="0"/>
          <w:numId w:val="1"/>
        </w:numPr>
        <w:spacing w:after="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In </w:t>
      </w:r>
      <w:r w:rsidR="5F33452D" w:rsidRPr="758892C1">
        <w:rPr>
          <w:rFonts w:ascii="Times New Roman" w:eastAsia="Times New Roman" w:hAnsi="Times New Roman" w:cs="Times New Roman"/>
          <w:color w:val="000000" w:themeColor="text1"/>
        </w:rPr>
        <w:t>the Spring,</w:t>
      </w:r>
      <w:r w:rsidRPr="758892C1">
        <w:rPr>
          <w:rFonts w:ascii="Times New Roman" w:eastAsia="Times New Roman" w:hAnsi="Times New Roman" w:cs="Times New Roman"/>
          <w:color w:val="000000" w:themeColor="text1"/>
        </w:rPr>
        <w:t xml:space="preserve"> the School Day SAT is scheduled—a valuable opportunity for juniors to take the SAT for free in a familiar environment.</w:t>
      </w:r>
    </w:p>
    <w:p w14:paraId="0F5D99C8" w14:textId="1381D92E" w:rsidR="766FC8C0" w:rsidRDefault="766FC8C0" w:rsidP="758892C1">
      <w:pPr>
        <w:pStyle w:val="ListParagraph"/>
        <w:numPr>
          <w:ilvl w:val="0"/>
          <w:numId w:val="1"/>
        </w:numPr>
        <w:spacing w:after="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During April school vacation, it is a great time for students to dive into college research.</w:t>
      </w:r>
    </w:p>
    <w:p w14:paraId="60865AEA" w14:textId="4CE2BECD"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For those planning to take the ACT, it will </w:t>
      </w:r>
      <w:r w:rsidR="571B9933" w:rsidRPr="758892C1">
        <w:rPr>
          <w:rFonts w:ascii="Times New Roman" w:eastAsia="Times New Roman" w:hAnsi="Times New Roman" w:cs="Times New Roman"/>
          <w:color w:val="000000" w:themeColor="text1"/>
        </w:rPr>
        <w:t>not be offered here at ELHS but are available to take in March, May, and June.</w:t>
      </w:r>
    </w:p>
    <w:p w14:paraId="7721A55F" w14:textId="45D7F87C"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Additionally, SATs are available in March, May, and June</w:t>
      </w:r>
      <w:r w:rsidR="20E71D96" w:rsidRPr="758892C1">
        <w:rPr>
          <w:rFonts w:ascii="Times New Roman" w:eastAsia="Times New Roman" w:hAnsi="Times New Roman" w:cs="Times New Roman"/>
          <w:color w:val="000000" w:themeColor="text1"/>
        </w:rPr>
        <w:t xml:space="preserve"> here at ELHS.</w:t>
      </w:r>
    </w:p>
    <w:p w14:paraId="6EAF0E6A" w14:textId="06B4FDF5"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Finally, AP Test Dates are also scheduled in May. Be sure to check CollegeBoard.org for specific updates and schedules. These are all critical steps in preparing for life after high school.</w:t>
      </w:r>
    </w:p>
    <w:p w14:paraId="619222CF" w14:textId="566B9FF4"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lastRenderedPageBreak/>
        <w:t>Slide 9- Title Slide COURSE SELECTION</w:t>
      </w:r>
    </w:p>
    <w:p w14:paraId="3586EAAF" w14:textId="107E3430"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10- Course Recommendations and Class Selection</w:t>
      </w:r>
    </w:p>
    <w:p w14:paraId="2E778760" w14:textId="64C2106E"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To ensure juniors have access to the best course options, the following timeline outlines key dates for receiving course recommendations and selecting classes. Staying proactive during this process is crucial for purposeful academic planning.</w:t>
      </w:r>
    </w:p>
    <w:p w14:paraId="59BFC52D" w14:textId="260832EA"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In February, students will participate in advisory sessions that provide an overview of graduation requirements, an introduction to Career Concentrations, and guidance on the Course Selection process. During this time, teachers will meet individually with students to recommend core classes for the upcoming year and input these recommendations into Infinite Campus. Later in the month, students will review the Program of Studies and receive a step-by-step overview of the course selection process. These sessions aim to familiarize students with available resources, help them understand course offerings, and enable purposeful planning for the year ahead.</w:t>
      </w:r>
    </w:p>
    <w:p w14:paraId="31AB54AC" w14:textId="71F39910"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In March, during the first week, students will select their elective courses in Infinite Campus during Advisory. Following this, they will schedule individual meetings with their school counselor to finalize course planning. For juniors, this meeting will also include discussions on post-secondary planning. These meetings can be scheduled electronically, and students should plan for the meeting to occupy a significant portion of their study hall or available block. Parents are welcome to attend these sessions via Zoom if invited by their student.</w:t>
      </w:r>
    </w:p>
    <w:p w14:paraId="589B822C" w14:textId="3DAEBCC0"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In May, the Master Schedule will be created, and course recommendations will be available online. Finalized schedules will be accessible online during the summer.</w:t>
      </w:r>
    </w:p>
    <w:p w14:paraId="5AE3AAD7" w14:textId="2004F994"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11- PROGRAM OF STUDIES</w:t>
      </w:r>
    </w:p>
    <w:p w14:paraId="2BC5F589" w14:textId="04F3886C"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The Program of Studies is your comprehensive guide to academic success. This accessible electronic document is designed to provide detailed information about our building guidelines and academic structure. Inside, you'll find everything you need to know about course selection, scheduling timelines, and graduation requirements. Additionally, it includes a complete list of course offerings and resources for college and career exploration. Don't miss the highlights of our innovative Pathways Program, which helps students connect their studies to future aspirations. Let this guide be your roadmap to a well-rounded and successful academic journey.</w:t>
      </w:r>
    </w:p>
    <w:p w14:paraId="0036FCAF" w14:textId="5A539EE3"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12- CAREER CONCENTRATION</w:t>
      </w:r>
    </w:p>
    <w:p w14:paraId="1D7DA64D" w14:textId="665DC69F"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Career concentrations provide students with an opportunity to explore a specific career path and earn a certificate of accomplishment on their transcript. By successfully completing courses related to their chosen field, students gain valuable insights and preparation for potential career </w:t>
      </w:r>
      <w:r w:rsidRPr="758892C1">
        <w:rPr>
          <w:rFonts w:ascii="Times New Roman" w:eastAsia="Times New Roman" w:hAnsi="Times New Roman" w:cs="Times New Roman"/>
          <w:color w:val="000000" w:themeColor="text1"/>
        </w:rPr>
        <w:lastRenderedPageBreak/>
        <w:t>opportunities. This program allows students to delve deeper into areas of interest, stand out with an additional credential, and assess whether a particular field aligns with their career aspirations.</w:t>
      </w:r>
    </w:p>
    <w:p w14:paraId="768C39FB" w14:textId="6852297F"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There is no penalty for not pursuing or completing a career concentration. However, it can be a helpful guide for students selecting electives that align with their goals. Students officially apply for a career concentration during their senior year by joining the Career Concentration Google Classroom and </w:t>
      </w:r>
      <w:proofErr w:type="gramStart"/>
      <w:r w:rsidRPr="758892C1">
        <w:rPr>
          <w:rFonts w:ascii="Times New Roman" w:eastAsia="Times New Roman" w:hAnsi="Times New Roman" w:cs="Times New Roman"/>
          <w:color w:val="000000" w:themeColor="text1"/>
        </w:rPr>
        <w:t>submitting an application</w:t>
      </w:r>
      <w:proofErr w:type="gramEnd"/>
      <w:r w:rsidRPr="758892C1">
        <w:rPr>
          <w:rFonts w:ascii="Times New Roman" w:eastAsia="Times New Roman" w:hAnsi="Times New Roman" w:cs="Times New Roman"/>
          <w:color w:val="000000" w:themeColor="text1"/>
        </w:rPr>
        <w:t>.</w:t>
      </w:r>
    </w:p>
    <w:p w14:paraId="4AD8A9FD" w14:textId="72196410"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13 – CAREER CONCENTRATIONS</w:t>
      </w:r>
    </w:p>
    <w:p w14:paraId="7AC14BFA" w14:textId="1A396973"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The areas listed on this slide represent the career concentrations we offer. It’s important to note that we encourage students to maintain a balanced schedule and explore a variety of classes. Students may discover that the career concentration they initially selected isn’t the right fit for them, which is a valuable part of the process. As students approach their senior </w:t>
      </w:r>
      <w:proofErr w:type="gramStart"/>
      <w:r w:rsidRPr="758892C1">
        <w:rPr>
          <w:rFonts w:ascii="Times New Roman" w:eastAsia="Times New Roman" w:hAnsi="Times New Roman" w:cs="Times New Roman"/>
          <w:color w:val="000000" w:themeColor="text1"/>
        </w:rPr>
        <w:t>year;</w:t>
      </w:r>
      <w:proofErr w:type="gramEnd"/>
      <w:r w:rsidRPr="758892C1">
        <w:rPr>
          <w:rFonts w:ascii="Times New Roman" w:eastAsia="Times New Roman" w:hAnsi="Times New Roman" w:cs="Times New Roman"/>
          <w:color w:val="000000" w:themeColor="text1"/>
        </w:rPr>
        <w:t xml:space="preserve"> they might find they are only one course away from completing a career concentration. In such cases, they can choose to add the necessary course to their schedule to achieve the certification</w:t>
      </w:r>
    </w:p>
    <w:p w14:paraId="4BE775FF" w14:textId="4806DC27" w:rsidR="758892C1" w:rsidRDefault="758892C1" w:rsidP="758892C1">
      <w:pPr>
        <w:spacing w:before="240" w:after="240"/>
        <w:rPr>
          <w:rFonts w:ascii="Times New Roman" w:eastAsia="Times New Roman" w:hAnsi="Times New Roman" w:cs="Times New Roman"/>
          <w:color w:val="000000" w:themeColor="text1"/>
        </w:rPr>
      </w:pPr>
    </w:p>
    <w:p w14:paraId="6322D2C1" w14:textId="4290D43A"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14 – CAREER CONCENTRATION EXAMPLE</w:t>
      </w:r>
    </w:p>
    <w:p w14:paraId="274B3F03" w14:textId="30E39D41"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This example focuses on the Allied Health career concentration, which encompasses health-related services distinct from medicine and nursing. The slide outlines the total number of credits required to complete the concentration (4 credits for Allied Health) and specifies the required courses.</w:t>
      </w:r>
    </w:p>
    <w:p w14:paraId="17D6785A" w14:textId="3CE02371"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In addition, it lists elective courses that students can take beyond the required ones to fulfill the total credit requirement. Careers within the Allied Health field are also included to help guide students, though these examples are not exhaustive. There are likely many other careers that align with this concentration, offering students broader opportunities to explore.</w:t>
      </w:r>
    </w:p>
    <w:p w14:paraId="38131E67" w14:textId="787E42CE"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15- TITLE SLIDE Exploring Careers and Majors: Beginning the Post-Secondary Shift</w:t>
      </w:r>
    </w:p>
    <w:p w14:paraId="1D4A4FE7" w14:textId="6742CB74"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16 – Exploring Post Secondary Options</w:t>
      </w:r>
    </w:p>
    <w:p w14:paraId="66026226" w14:textId="66F4C3E0"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Students have many </w:t>
      </w:r>
      <w:proofErr w:type="gramStart"/>
      <w:r w:rsidRPr="758892C1">
        <w:rPr>
          <w:rFonts w:ascii="Times New Roman" w:eastAsia="Times New Roman" w:hAnsi="Times New Roman" w:cs="Times New Roman"/>
          <w:color w:val="000000" w:themeColor="text1"/>
        </w:rPr>
        <w:t>postsecondary</w:t>
      </w:r>
      <w:proofErr w:type="gramEnd"/>
      <w:r w:rsidRPr="758892C1">
        <w:rPr>
          <w:rFonts w:ascii="Times New Roman" w:eastAsia="Times New Roman" w:hAnsi="Times New Roman" w:cs="Times New Roman"/>
          <w:color w:val="000000" w:themeColor="text1"/>
        </w:rPr>
        <w:t xml:space="preserve"> options to explore, each offering unique opportunities to match their interests and goals. Everyone’s journey is different, and it’s about finding the path that resonates with them. Options include 2- and 4-year colleges, technical schools, apprenticeship programs, entering the workforce or a specific career, joining the military, or even taking an intentional gap year.</w:t>
      </w:r>
    </w:p>
    <w:p w14:paraId="12FB3419" w14:textId="4866AF6B"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17 – Exploring Careers and Majors</w:t>
      </w:r>
    </w:p>
    <w:p w14:paraId="1C9F924D" w14:textId="27CE356A"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lastRenderedPageBreak/>
        <w:t>It’s perfectly okay for students to be unsure about what they want to do—everyone’s journey is unique. Even students who have an idea now may change their minds later, and that’s completely normal. Engaging in research and exploration can help reduce nervousness or stress while providing a clearer sense of direction.</w:t>
      </w:r>
    </w:p>
    <w:p w14:paraId="35B66886" w14:textId="4F9BE0FE"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A great starting point is using Naviance. The </w:t>
      </w:r>
      <w:proofErr w:type="gramStart"/>
      <w:r w:rsidRPr="758892C1">
        <w:rPr>
          <w:rFonts w:ascii="Times New Roman" w:eastAsia="Times New Roman" w:hAnsi="Times New Roman" w:cs="Times New Roman"/>
          <w:color w:val="000000" w:themeColor="text1"/>
        </w:rPr>
        <w:t>interest</w:t>
      </w:r>
      <w:proofErr w:type="gramEnd"/>
      <w:r w:rsidRPr="758892C1">
        <w:rPr>
          <w:rFonts w:ascii="Times New Roman" w:eastAsia="Times New Roman" w:hAnsi="Times New Roman" w:cs="Times New Roman"/>
          <w:color w:val="000000" w:themeColor="text1"/>
        </w:rPr>
        <w:t xml:space="preserve"> inventories available on Naviance link a student’s characteristics and personality to potential careers. For those unsure of what to study, these tools can offer valuable insights. Additionally, Naviance connects careers to relevant college majors, which can greatly assist in the college search process.</w:t>
      </w:r>
    </w:p>
    <w:p w14:paraId="0C953F94" w14:textId="1B106D74" w:rsidR="758892C1" w:rsidRDefault="758892C1" w:rsidP="758892C1">
      <w:pPr>
        <w:spacing w:before="240" w:after="240"/>
        <w:rPr>
          <w:rFonts w:ascii="Times New Roman" w:eastAsia="Times New Roman" w:hAnsi="Times New Roman" w:cs="Times New Roman"/>
          <w:color w:val="000000" w:themeColor="text1"/>
        </w:rPr>
      </w:pPr>
    </w:p>
    <w:p w14:paraId="20166D29" w14:textId="0CFDB029"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18 – HELPFUL CAREER RESOURCES</w:t>
      </w:r>
    </w:p>
    <w:p w14:paraId="50AA0D2F" w14:textId="639FE924"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This list of resources offers valuable information about careers, including job outlooks, required duties and skills, related careers, and more. We’d like to highlight the </w:t>
      </w:r>
      <w:r w:rsidRPr="758892C1">
        <w:rPr>
          <w:rFonts w:ascii="Times New Roman" w:eastAsia="Times New Roman" w:hAnsi="Times New Roman" w:cs="Times New Roman"/>
          <w:b/>
          <w:bCs/>
          <w:color w:val="000000" w:themeColor="text1"/>
        </w:rPr>
        <w:t>Occupational Outlook Handbook</w:t>
      </w:r>
      <w:r w:rsidRPr="758892C1">
        <w:rPr>
          <w:rFonts w:ascii="Times New Roman" w:eastAsia="Times New Roman" w:hAnsi="Times New Roman" w:cs="Times New Roman"/>
          <w:color w:val="000000" w:themeColor="text1"/>
        </w:rPr>
        <w:t>, an excellent career resource published by the U.S. Bureau of Labor Statistics. It provides detailed information on hundreds of occupations across the country, helping students make informed decisions about their future.</w:t>
      </w:r>
    </w:p>
    <w:p w14:paraId="2CE91317" w14:textId="0AEE6745"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19 – ARMED SERVICES</w:t>
      </w:r>
    </w:p>
    <w:p w14:paraId="7A55C867" w14:textId="629B76ED"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For students interested in the armed services, we offer opportunities to connect with representatives during information sessions held in both the fall and spring during Homeroom. These sessions provide a great way to learn more about each branch of the military.</w:t>
      </w:r>
    </w:p>
    <w:p w14:paraId="79F64A50" w14:textId="3837E673"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Additionally, we offer the </w:t>
      </w:r>
      <w:r w:rsidRPr="758892C1">
        <w:rPr>
          <w:rFonts w:ascii="Times New Roman" w:eastAsia="Times New Roman" w:hAnsi="Times New Roman" w:cs="Times New Roman"/>
          <w:b/>
          <w:bCs/>
          <w:color w:val="000000" w:themeColor="text1"/>
        </w:rPr>
        <w:t>ASVAB</w:t>
      </w:r>
      <w:r w:rsidRPr="758892C1">
        <w:rPr>
          <w:rFonts w:ascii="Times New Roman" w:eastAsia="Times New Roman" w:hAnsi="Times New Roman" w:cs="Times New Roman"/>
          <w:color w:val="000000" w:themeColor="text1"/>
        </w:rPr>
        <w:t xml:space="preserve"> (Armed Services Vocational Aptitude Battery). The ASVAB is not only used to assess a student’s potential fit for the armed services or specific branches but also serves as a valuable tool for identifying careers that align with their skills and interests.</w:t>
      </w:r>
    </w:p>
    <w:p w14:paraId="05A98542" w14:textId="3A14FA72" w:rsidR="758892C1" w:rsidRDefault="758892C1" w:rsidP="758892C1">
      <w:pPr>
        <w:spacing w:before="240" w:after="240"/>
        <w:rPr>
          <w:rFonts w:ascii="Times New Roman" w:eastAsia="Times New Roman" w:hAnsi="Times New Roman" w:cs="Times New Roman"/>
          <w:color w:val="000000" w:themeColor="text1"/>
        </w:rPr>
      </w:pPr>
    </w:p>
    <w:p w14:paraId="5154C49D" w14:textId="5E16259B"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20 – TITLE SLIDE STANDARDIZED TESTS</w:t>
      </w:r>
    </w:p>
    <w:p w14:paraId="54F16B7E" w14:textId="4DA771FE"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The SAT serves as a state assessment and can also be a factor in college applications. While many colleges are now test-optional, a strong SAT score can enhance a student’s application, depending on the institution and its average accepted scores. However, if the scores are unlikely to strengthen the application and the school does not require them, we recommend not submitting them.</w:t>
      </w:r>
    </w:p>
    <w:p w14:paraId="70BCF47E" w14:textId="4E5D2CE0"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21 – SCHOOL BASED TESTING TIMELINE</w:t>
      </w:r>
    </w:p>
    <w:p w14:paraId="291F79A1" w14:textId="0D737F28"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lastRenderedPageBreak/>
        <w:t xml:space="preserve">We are sharing the school-based testing timeline to help you know what to expect and allow time to prepare. The school provides multiple opportunities for students to </w:t>
      </w:r>
      <w:proofErr w:type="gramStart"/>
      <w:r w:rsidRPr="758892C1">
        <w:rPr>
          <w:rFonts w:ascii="Times New Roman" w:eastAsia="Times New Roman" w:hAnsi="Times New Roman" w:cs="Times New Roman"/>
          <w:color w:val="000000" w:themeColor="text1"/>
        </w:rPr>
        <w:t>practice:</w:t>
      </w:r>
      <w:proofErr w:type="gramEnd"/>
      <w:r w:rsidRPr="758892C1">
        <w:rPr>
          <w:rFonts w:ascii="Times New Roman" w:eastAsia="Times New Roman" w:hAnsi="Times New Roman" w:cs="Times New Roman"/>
          <w:color w:val="000000" w:themeColor="text1"/>
        </w:rPr>
        <w:t xml:space="preserve"> they take the Practice SAT (PSAT) in 9th grade, 10th grade, and again in the fall of their junior year. In March, juniors will also take the school-day SAT.</w:t>
      </w:r>
    </w:p>
    <w:p w14:paraId="3945E037" w14:textId="191AC04D"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Students may also register independently for additional SAT dates through the College Board website. Another standardized test option is the </w:t>
      </w:r>
      <w:r w:rsidRPr="758892C1">
        <w:rPr>
          <w:rFonts w:ascii="Times New Roman" w:eastAsia="Times New Roman" w:hAnsi="Times New Roman" w:cs="Times New Roman"/>
          <w:b/>
          <w:bCs/>
          <w:color w:val="000000" w:themeColor="text1"/>
        </w:rPr>
        <w:t>ACT</w:t>
      </w:r>
      <w:r w:rsidRPr="758892C1">
        <w:rPr>
          <w:rFonts w:ascii="Times New Roman" w:eastAsia="Times New Roman" w:hAnsi="Times New Roman" w:cs="Times New Roman"/>
          <w:color w:val="000000" w:themeColor="text1"/>
        </w:rPr>
        <w:t>, which is not offered through the school but can be taken and submitted as an alternative to the SAT.</w:t>
      </w:r>
    </w:p>
    <w:p w14:paraId="16C740D9" w14:textId="51A59B55"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In general, the SAT emphasizes more abstract and analytical thinking, while the ACT is more curriculum-based, requiring concrete reasoning and critical thinking. The ACT includes a science section, and the math sections for the two tests differ slightly in focus. Both are excellent options, and students should choose the test that best suits their strengths and goals.</w:t>
      </w:r>
    </w:p>
    <w:p w14:paraId="481AA67D" w14:textId="21504DAE"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22 – PSAT GRADE 11</w:t>
      </w:r>
    </w:p>
    <w:p w14:paraId="3FD03BAE" w14:textId="187D3169"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Students can access their October PSAT scores directly through their College Board account. These scores provide a snapshot of performance on the day of the test—they are not the be-all and end-all. Some students excel at standardized tests, while others shine in different areas.</w:t>
      </w:r>
    </w:p>
    <w:p w14:paraId="1A06E03F" w14:textId="14224BAB"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Colleges consider many factors beyond standardized test scores, including transcripts, community involvement, extracurricular activities, athletics, and letters of recommendation. If a </w:t>
      </w:r>
      <w:proofErr w:type="gramStart"/>
      <w:r w:rsidRPr="758892C1">
        <w:rPr>
          <w:rFonts w:ascii="Times New Roman" w:eastAsia="Times New Roman" w:hAnsi="Times New Roman" w:cs="Times New Roman"/>
          <w:color w:val="000000" w:themeColor="text1"/>
        </w:rPr>
        <w:t>college</w:t>
      </w:r>
      <w:proofErr w:type="gramEnd"/>
      <w:r w:rsidRPr="758892C1">
        <w:rPr>
          <w:rFonts w:ascii="Times New Roman" w:eastAsia="Times New Roman" w:hAnsi="Times New Roman" w:cs="Times New Roman"/>
          <w:color w:val="000000" w:themeColor="text1"/>
        </w:rPr>
        <w:t xml:space="preserve"> you’re applying to requires test scores, there’s no need to stress—focus on presenting your full range of strengths.</w:t>
      </w:r>
    </w:p>
    <w:p w14:paraId="1CC0CA8B" w14:textId="70913435"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If you’re unable to log in to your College Board account, </w:t>
      </w:r>
      <w:r w:rsidRPr="758892C1">
        <w:rPr>
          <w:rFonts w:ascii="Times New Roman" w:eastAsia="Times New Roman" w:hAnsi="Times New Roman" w:cs="Times New Roman"/>
          <w:b/>
          <w:bCs/>
          <w:color w:val="000000" w:themeColor="text1"/>
        </w:rPr>
        <w:t>do not create a new account.</w:t>
      </w:r>
      <w:r w:rsidRPr="758892C1">
        <w:rPr>
          <w:rFonts w:ascii="Times New Roman" w:eastAsia="Times New Roman" w:hAnsi="Times New Roman" w:cs="Times New Roman"/>
          <w:color w:val="000000" w:themeColor="text1"/>
        </w:rPr>
        <w:t xml:space="preserve"> Instead, call their help line </w:t>
      </w:r>
      <w:proofErr w:type="gramStart"/>
      <w:r w:rsidRPr="758892C1">
        <w:rPr>
          <w:rFonts w:ascii="Times New Roman" w:eastAsia="Times New Roman" w:hAnsi="Times New Roman" w:cs="Times New Roman"/>
          <w:color w:val="000000" w:themeColor="text1"/>
        </w:rPr>
        <w:t>at</w:t>
      </w:r>
      <w:proofErr w:type="gramEnd"/>
      <w:r w:rsidRPr="758892C1">
        <w:rPr>
          <w:rFonts w:ascii="Times New Roman" w:eastAsia="Times New Roman" w:hAnsi="Times New Roman" w:cs="Times New Roman"/>
          <w:color w:val="000000" w:themeColor="text1"/>
        </w:rPr>
        <w:t xml:space="preserve"> </w:t>
      </w:r>
      <w:r w:rsidRPr="758892C1">
        <w:rPr>
          <w:rFonts w:ascii="Times New Roman" w:eastAsia="Times New Roman" w:hAnsi="Times New Roman" w:cs="Times New Roman"/>
          <w:b/>
          <w:bCs/>
          <w:color w:val="000000" w:themeColor="text1"/>
        </w:rPr>
        <w:t>888-225-5427</w:t>
      </w:r>
      <w:r w:rsidRPr="758892C1">
        <w:rPr>
          <w:rFonts w:ascii="Times New Roman" w:eastAsia="Times New Roman" w:hAnsi="Times New Roman" w:cs="Times New Roman"/>
          <w:color w:val="000000" w:themeColor="text1"/>
        </w:rPr>
        <w:t xml:space="preserve"> for assistance.</w:t>
      </w:r>
    </w:p>
    <w:p w14:paraId="09190CCF" w14:textId="2AA889F1"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It’s worth noting that the Grade 11 PSAT can qualify students for potential scholarships. Schools are notified about National Merit selection in September.</w:t>
      </w:r>
    </w:p>
    <w:p w14:paraId="7FDD590D" w14:textId="244EC4A9"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23</w:t>
      </w:r>
      <w:r w:rsidRPr="758892C1">
        <w:rPr>
          <w:rFonts w:ascii="Times New Roman" w:eastAsia="Times New Roman" w:hAnsi="Times New Roman" w:cs="Times New Roman"/>
          <w:color w:val="000000" w:themeColor="text1"/>
        </w:rPr>
        <w:t xml:space="preserve"> – </w:t>
      </w:r>
      <w:r w:rsidRPr="758892C1">
        <w:rPr>
          <w:rFonts w:ascii="Times New Roman" w:eastAsia="Times New Roman" w:hAnsi="Times New Roman" w:cs="Times New Roman"/>
          <w:b/>
          <w:bCs/>
          <w:color w:val="000000" w:themeColor="text1"/>
        </w:rPr>
        <w:t>STANDARDIZED TEST PREP</w:t>
      </w:r>
    </w:p>
    <w:p w14:paraId="59721603" w14:textId="6A8B2C8A"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Khan Academy is a free resource that supports students in strengthening specific areas of focus. It empowers learners to study at their own pace, both in and out of the classroom.</w:t>
      </w:r>
    </w:p>
    <w:p w14:paraId="1F508719" w14:textId="591B2685"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 xml:space="preserve">Slide 24 – TITLE SLIDE WHAT AE THE NEXT STEPS? </w:t>
      </w:r>
      <w:proofErr w:type="gramStart"/>
      <w:r w:rsidRPr="758892C1">
        <w:rPr>
          <w:rFonts w:ascii="Times New Roman" w:eastAsia="Times New Roman" w:hAnsi="Times New Roman" w:cs="Times New Roman"/>
          <w:b/>
          <w:bCs/>
          <w:color w:val="000000" w:themeColor="text1"/>
        </w:rPr>
        <w:t>MEET</w:t>
      </w:r>
      <w:proofErr w:type="gramEnd"/>
      <w:r w:rsidRPr="758892C1">
        <w:rPr>
          <w:rFonts w:ascii="Times New Roman" w:eastAsia="Times New Roman" w:hAnsi="Times New Roman" w:cs="Times New Roman"/>
          <w:b/>
          <w:bCs/>
          <w:color w:val="000000" w:themeColor="text1"/>
        </w:rPr>
        <w:t xml:space="preserve"> WITH YOUR SCHOOL COUNSELOR</w:t>
      </w:r>
    </w:p>
    <w:p w14:paraId="71D49B87" w14:textId="339F4AEE"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25 – JUNIOR PLANNING MEETING</w:t>
      </w:r>
    </w:p>
    <w:p w14:paraId="627B92F7" w14:textId="38399CC8"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Each junior </w:t>
      </w:r>
      <w:proofErr w:type="gramStart"/>
      <w:r w:rsidRPr="758892C1">
        <w:rPr>
          <w:rFonts w:ascii="Times New Roman" w:eastAsia="Times New Roman" w:hAnsi="Times New Roman" w:cs="Times New Roman"/>
          <w:color w:val="000000" w:themeColor="text1"/>
        </w:rPr>
        <w:t>has the opportunity to</w:t>
      </w:r>
      <w:proofErr w:type="gramEnd"/>
      <w:r w:rsidRPr="758892C1">
        <w:rPr>
          <w:rFonts w:ascii="Times New Roman" w:eastAsia="Times New Roman" w:hAnsi="Times New Roman" w:cs="Times New Roman"/>
          <w:color w:val="000000" w:themeColor="text1"/>
        </w:rPr>
        <w:t xml:space="preserve"> schedule a 45-minute meeting with their school counselor. These meetings are personalized to meet each student's needs, recognizing that every student has </w:t>
      </w:r>
      <w:r w:rsidRPr="758892C1">
        <w:rPr>
          <w:rFonts w:ascii="Times New Roman" w:eastAsia="Times New Roman" w:hAnsi="Times New Roman" w:cs="Times New Roman"/>
          <w:color w:val="000000" w:themeColor="text1"/>
        </w:rPr>
        <w:lastRenderedPageBreak/>
        <w:t xml:space="preserve">unique </w:t>
      </w:r>
      <w:proofErr w:type="gramStart"/>
      <w:r w:rsidRPr="758892C1">
        <w:rPr>
          <w:rFonts w:ascii="Times New Roman" w:eastAsia="Times New Roman" w:hAnsi="Times New Roman" w:cs="Times New Roman"/>
          <w:color w:val="000000" w:themeColor="text1"/>
        </w:rPr>
        <w:t>future plans</w:t>
      </w:r>
      <w:proofErr w:type="gramEnd"/>
      <w:r w:rsidRPr="758892C1">
        <w:rPr>
          <w:rFonts w:ascii="Times New Roman" w:eastAsia="Times New Roman" w:hAnsi="Times New Roman" w:cs="Times New Roman"/>
          <w:color w:val="000000" w:themeColor="text1"/>
        </w:rPr>
        <w:t>, explores postsecondary options at their own pace, and may require guidance and support during their journey.</w:t>
      </w:r>
    </w:p>
    <w:p w14:paraId="334CC65C" w14:textId="72DEA077"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26 – HOW TO SCHEDULE A JUNIOR PLANNING MEETING</w:t>
      </w:r>
    </w:p>
    <w:p w14:paraId="02439D54" w14:textId="344A4C66"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School counselors will go into English classrooms and will provide an opportunity to schedule meetings through a Calendly link posted on Google Classroom. If students are absent or not quite ready to schedule their meeting, they will have access to the Calendly link outside of this lesson time. We would like Juniors to schedule their meetings between March and early May. </w:t>
      </w:r>
    </w:p>
    <w:p w14:paraId="3C07A20D" w14:textId="5947FA87"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We welcome parents/guardians to join this meeting via phone/zoom if they </w:t>
      </w:r>
      <w:proofErr w:type="gramStart"/>
      <w:r w:rsidRPr="758892C1">
        <w:rPr>
          <w:rFonts w:ascii="Times New Roman" w:eastAsia="Times New Roman" w:hAnsi="Times New Roman" w:cs="Times New Roman"/>
          <w:color w:val="000000" w:themeColor="text1"/>
        </w:rPr>
        <w:t>are able to</w:t>
      </w:r>
      <w:proofErr w:type="gramEnd"/>
      <w:r w:rsidRPr="758892C1">
        <w:rPr>
          <w:rFonts w:ascii="Times New Roman" w:eastAsia="Times New Roman" w:hAnsi="Times New Roman" w:cs="Times New Roman"/>
          <w:color w:val="000000" w:themeColor="text1"/>
        </w:rPr>
        <w:t xml:space="preserve">. Students will have the opportunity to add you to the </w:t>
      </w:r>
      <w:proofErr w:type="gramStart"/>
      <w:r w:rsidRPr="758892C1">
        <w:rPr>
          <w:rFonts w:ascii="Times New Roman" w:eastAsia="Times New Roman" w:hAnsi="Times New Roman" w:cs="Times New Roman"/>
          <w:color w:val="000000" w:themeColor="text1"/>
        </w:rPr>
        <w:t>meeting virtually</w:t>
      </w:r>
      <w:proofErr w:type="gramEnd"/>
      <w:r w:rsidRPr="758892C1">
        <w:rPr>
          <w:rFonts w:ascii="Times New Roman" w:eastAsia="Times New Roman" w:hAnsi="Times New Roman" w:cs="Times New Roman"/>
          <w:color w:val="000000" w:themeColor="text1"/>
        </w:rPr>
        <w:t xml:space="preserve"> if they add the correct parent/guardian email address.</w:t>
      </w:r>
    </w:p>
    <w:p w14:paraId="4CA6AFC3" w14:textId="44EE3F0A" w:rsidR="758892C1" w:rsidRDefault="758892C1" w:rsidP="758892C1">
      <w:pPr>
        <w:spacing w:before="240" w:after="240"/>
        <w:rPr>
          <w:rFonts w:ascii="Times New Roman" w:eastAsia="Times New Roman" w:hAnsi="Times New Roman" w:cs="Times New Roman"/>
          <w:b/>
          <w:bCs/>
          <w:color w:val="000000" w:themeColor="text1"/>
        </w:rPr>
      </w:pPr>
    </w:p>
    <w:p w14:paraId="335EEF6C" w14:textId="72AA0018"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27 – JUNIOR FOLDERS</w:t>
      </w:r>
    </w:p>
    <w:p w14:paraId="2516A93B" w14:textId="4295298B"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During classroom presentations from the counselors, each student will receive a folder with important information.</w:t>
      </w:r>
    </w:p>
    <w:p w14:paraId="13FEA733" w14:textId="5143C331" w:rsidR="766FC8C0" w:rsidRDefault="766FC8C0" w:rsidP="758892C1">
      <w:pPr>
        <w:spacing w:before="240" w:after="240"/>
        <w:rPr>
          <w:rFonts w:ascii="Times New Roman" w:eastAsia="Times New Roman" w:hAnsi="Times New Roman" w:cs="Times New Roman"/>
          <w:color w:val="000000" w:themeColor="text1"/>
        </w:rPr>
      </w:pPr>
      <w:proofErr w:type="gramStart"/>
      <w:r w:rsidRPr="758892C1">
        <w:rPr>
          <w:rFonts w:ascii="Times New Roman" w:eastAsia="Times New Roman" w:hAnsi="Times New Roman" w:cs="Times New Roman"/>
          <w:color w:val="000000" w:themeColor="text1"/>
        </w:rPr>
        <w:t>The</w:t>
      </w:r>
      <w:r w:rsidRPr="758892C1">
        <w:rPr>
          <w:rFonts w:ascii="Times New Roman" w:eastAsia="Times New Roman" w:hAnsi="Times New Roman" w:cs="Times New Roman"/>
          <w:i/>
          <w:iCs/>
          <w:color w:val="000000" w:themeColor="text1"/>
        </w:rPr>
        <w:t>Junior</w:t>
      </w:r>
      <w:proofErr w:type="gramEnd"/>
      <w:r w:rsidRPr="758892C1">
        <w:rPr>
          <w:rFonts w:ascii="Times New Roman" w:eastAsia="Times New Roman" w:hAnsi="Times New Roman" w:cs="Times New Roman"/>
          <w:i/>
          <w:iCs/>
          <w:color w:val="000000" w:themeColor="text1"/>
        </w:rPr>
        <w:t xml:space="preserve"> Year Checklist</w:t>
      </w:r>
      <w:r w:rsidRPr="758892C1">
        <w:rPr>
          <w:rFonts w:ascii="Times New Roman" w:eastAsia="Times New Roman" w:hAnsi="Times New Roman" w:cs="Times New Roman"/>
          <w:color w:val="000000" w:themeColor="text1"/>
        </w:rPr>
        <w:t xml:space="preserve"> is a useful guide in assisting with the post-secondary search process. If a student is unsure of what to do, there are recommendations for what they should complete by the end of the school year, what they should explore, what they should do over the summer, and what to anticipate for the fall. In addition to these checklist components there are upcoming SAT and ACT dates, the google classroom code for the Counseling Office, a reminder about career concentrations, and a list of important websites.</w:t>
      </w:r>
    </w:p>
    <w:p w14:paraId="41D1BC90" w14:textId="6E1D4DF0"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The student’s </w:t>
      </w:r>
      <w:r w:rsidRPr="758892C1">
        <w:rPr>
          <w:rFonts w:ascii="Times New Roman" w:eastAsia="Times New Roman" w:hAnsi="Times New Roman" w:cs="Times New Roman"/>
          <w:i/>
          <w:iCs/>
          <w:color w:val="000000" w:themeColor="text1"/>
        </w:rPr>
        <w:t>Transcript</w:t>
      </w:r>
      <w:r w:rsidRPr="758892C1">
        <w:rPr>
          <w:rFonts w:ascii="Times New Roman" w:eastAsia="Times New Roman" w:hAnsi="Times New Roman" w:cs="Times New Roman"/>
          <w:color w:val="000000" w:themeColor="text1"/>
        </w:rPr>
        <w:t xml:space="preserve"> which will have all courses and grades taken from Freshmen and Sophomore year, courses currently enrolled in, and cumulative and weighted GPA. </w:t>
      </w:r>
      <w:proofErr w:type="gramStart"/>
      <w:r w:rsidRPr="758892C1">
        <w:rPr>
          <w:rFonts w:ascii="Times New Roman" w:eastAsia="Times New Roman" w:hAnsi="Times New Roman" w:cs="Times New Roman"/>
          <w:color w:val="000000" w:themeColor="text1"/>
        </w:rPr>
        <w:t>A transcript</w:t>
      </w:r>
      <w:proofErr w:type="gramEnd"/>
      <w:r w:rsidRPr="758892C1">
        <w:rPr>
          <w:rFonts w:ascii="Times New Roman" w:eastAsia="Times New Roman" w:hAnsi="Times New Roman" w:cs="Times New Roman"/>
          <w:color w:val="000000" w:themeColor="text1"/>
        </w:rPr>
        <w:t xml:space="preserve"> only contains final grades of classes.</w:t>
      </w:r>
    </w:p>
    <w:p w14:paraId="604BEA6E" w14:textId="273FFBA1"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i/>
          <w:iCs/>
          <w:color w:val="000000" w:themeColor="text1"/>
        </w:rPr>
        <w:t>Common Application</w:t>
      </w:r>
      <w:r w:rsidRPr="758892C1">
        <w:rPr>
          <w:rFonts w:ascii="Times New Roman" w:eastAsia="Times New Roman" w:hAnsi="Times New Roman" w:cs="Times New Roman"/>
          <w:color w:val="000000" w:themeColor="text1"/>
        </w:rPr>
        <w:t xml:space="preserve"> information is also provided. The common application is accepted by more than 900 schools, so chances are that students will be using this to apply to college. Some schools are not on the common application and will have to be applied to directly through the institution. Rising seniors are able create a common application account sometime after August 1st, but we recommend waiting to complete some of the information until after senior classroom lessons in the Fall. We also provide typical common application essay prompts.</w:t>
      </w:r>
    </w:p>
    <w:p w14:paraId="18804BB4" w14:textId="47233ACE"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i/>
          <w:iCs/>
          <w:color w:val="000000" w:themeColor="text1"/>
        </w:rPr>
        <w:t>Letter of Recommendation</w:t>
      </w:r>
      <w:r w:rsidRPr="758892C1">
        <w:rPr>
          <w:rFonts w:ascii="Times New Roman" w:eastAsia="Times New Roman" w:hAnsi="Times New Roman" w:cs="Times New Roman"/>
          <w:color w:val="000000" w:themeColor="text1"/>
        </w:rPr>
        <w:t xml:space="preserve"> information will also </w:t>
      </w:r>
      <w:proofErr w:type="gramStart"/>
      <w:r w:rsidRPr="758892C1">
        <w:rPr>
          <w:rFonts w:ascii="Times New Roman" w:eastAsia="Times New Roman" w:hAnsi="Times New Roman" w:cs="Times New Roman"/>
          <w:color w:val="000000" w:themeColor="text1"/>
        </w:rPr>
        <w:t>be located in</w:t>
      </w:r>
      <w:proofErr w:type="gramEnd"/>
      <w:r w:rsidRPr="758892C1">
        <w:rPr>
          <w:rFonts w:ascii="Times New Roman" w:eastAsia="Times New Roman" w:hAnsi="Times New Roman" w:cs="Times New Roman"/>
          <w:color w:val="000000" w:themeColor="text1"/>
        </w:rPr>
        <w:t xml:space="preserve"> the folder. A letter of recommendation is a crucial component to a student’s college application because it adds a personal touch to the application itself.  Each college website will outline specific requirements for their school’s application, but it is typical for schools to ask for 1 teacher recommendation, 2 </w:t>
      </w:r>
      <w:r w:rsidRPr="758892C1">
        <w:rPr>
          <w:rFonts w:ascii="Times New Roman" w:eastAsia="Times New Roman" w:hAnsi="Times New Roman" w:cs="Times New Roman"/>
          <w:color w:val="000000" w:themeColor="text1"/>
        </w:rPr>
        <w:lastRenderedPageBreak/>
        <w:t xml:space="preserve">teacher recommendations, a combination of teacher and a counselor, or no letter of recommendation. Core teachers and/or a counselor who knows you </w:t>
      </w:r>
      <w:proofErr w:type="gramStart"/>
      <w:r w:rsidRPr="758892C1">
        <w:rPr>
          <w:rFonts w:ascii="Times New Roman" w:eastAsia="Times New Roman" w:hAnsi="Times New Roman" w:cs="Times New Roman"/>
          <w:color w:val="000000" w:themeColor="text1"/>
        </w:rPr>
        <w:t>well to</w:t>
      </w:r>
      <w:proofErr w:type="gramEnd"/>
      <w:r w:rsidRPr="758892C1">
        <w:rPr>
          <w:rFonts w:ascii="Times New Roman" w:eastAsia="Times New Roman" w:hAnsi="Times New Roman" w:cs="Times New Roman"/>
          <w:color w:val="000000" w:themeColor="text1"/>
        </w:rPr>
        <w:t xml:space="preserve"> write a letter explaining a student’s academic potential, classroom behaviors, personality, and extracurricular achievements. While teachers and counselors are happy to support their students, it is important to be mindful of their time. Requesting two recommendations is typically sufficient. When a student asks some for a letter, they should always ask them in person and should be requested at least two weeks prior to a college application deadline. The end of the junior school year is a good time to ask your teachers/counselor for recommendations and then follow up with them in the fall of senior year when deadlines are known.</w:t>
      </w:r>
    </w:p>
    <w:p w14:paraId="4B31723A" w14:textId="04ABD75A"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The </w:t>
      </w:r>
      <w:r w:rsidRPr="758892C1">
        <w:rPr>
          <w:rFonts w:ascii="Times New Roman" w:eastAsia="Times New Roman" w:hAnsi="Times New Roman" w:cs="Times New Roman"/>
          <w:i/>
          <w:iCs/>
          <w:color w:val="000000" w:themeColor="text1"/>
        </w:rPr>
        <w:t>College Search Chart</w:t>
      </w:r>
      <w:r w:rsidRPr="758892C1">
        <w:rPr>
          <w:rFonts w:ascii="Times New Roman" w:eastAsia="Times New Roman" w:hAnsi="Times New Roman" w:cs="Times New Roman"/>
          <w:color w:val="000000" w:themeColor="text1"/>
        </w:rPr>
        <w:t xml:space="preserve"> is a way to organize the information for each college you are looking at. Being organized and tracking information for each school will help find the right fit, weigh options, and take all factors into consideration. If handwriting in the chart is not right for you, feel free to replicate the chart in your own way – in a notebook, in a google doc, or in a spreadsheet. Recording Location, application type, application deadline, testing requirements, recommendations needed, tuition, and size are a sample of what you should look at.</w:t>
      </w:r>
    </w:p>
    <w:p w14:paraId="518FE986" w14:textId="46092751"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Lastly, a </w:t>
      </w:r>
      <w:r w:rsidRPr="758892C1">
        <w:rPr>
          <w:rFonts w:ascii="Times New Roman" w:eastAsia="Times New Roman" w:hAnsi="Times New Roman" w:cs="Times New Roman"/>
          <w:i/>
          <w:iCs/>
          <w:color w:val="000000" w:themeColor="text1"/>
        </w:rPr>
        <w:t>FAFSA Fact Sheet</w:t>
      </w:r>
      <w:r w:rsidRPr="758892C1">
        <w:rPr>
          <w:rFonts w:ascii="Times New Roman" w:eastAsia="Times New Roman" w:hAnsi="Times New Roman" w:cs="Times New Roman"/>
          <w:color w:val="000000" w:themeColor="text1"/>
        </w:rPr>
        <w:t xml:space="preserve"> is provided. FAFSA is an acronym for Free Application for Federal Student Aid. It is </w:t>
      </w:r>
      <w:proofErr w:type="gramStart"/>
      <w:r w:rsidRPr="758892C1">
        <w:rPr>
          <w:rFonts w:ascii="Times New Roman" w:eastAsia="Times New Roman" w:hAnsi="Times New Roman" w:cs="Times New Roman"/>
          <w:color w:val="000000" w:themeColor="text1"/>
        </w:rPr>
        <w:t>a free</w:t>
      </w:r>
      <w:proofErr w:type="gramEnd"/>
      <w:r w:rsidRPr="758892C1">
        <w:rPr>
          <w:rFonts w:ascii="Times New Roman" w:eastAsia="Times New Roman" w:hAnsi="Times New Roman" w:cs="Times New Roman"/>
          <w:color w:val="000000" w:themeColor="text1"/>
        </w:rPr>
        <w:t xml:space="preserve"> form that students can use to apply for federal financial aid for college or career school. The FAFSA helps determine if students are eligible for grants, work-study programs, loans, and scholarships.</w:t>
      </w:r>
    </w:p>
    <w:p w14:paraId="4C925AD6" w14:textId="257B7F9D"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28 – TITLE SLIDE PLANNING TO APPLY TO COLLEGE?</w:t>
      </w:r>
    </w:p>
    <w:p w14:paraId="0F7C423C" w14:textId="27A157E2"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To apply for college, the process begins with an application. As mentioned earlier, you’ll likely use the Common Application. Within it, the college essay offers students a chance to showcase who they are beyond grades. The application also includes the student's transcript, possibly test scores, letters of recommendation, school forms, and potentially other supplemental materials.</w:t>
      </w:r>
    </w:p>
    <w:p w14:paraId="1E0423DD" w14:textId="520042F3"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29 – COMMON QUESTIONS</w:t>
      </w:r>
    </w:p>
    <w:p w14:paraId="286D83D8" w14:textId="2BF153A6"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Here are some common questions asked during junior year.</w:t>
      </w:r>
    </w:p>
    <w:p w14:paraId="73B51CDE" w14:textId="2071C6D8"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i/>
          <w:iCs/>
          <w:color w:val="000000" w:themeColor="text1"/>
        </w:rPr>
        <w:t xml:space="preserve">How do I raise my GPA? </w:t>
      </w:r>
      <w:r w:rsidRPr="758892C1">
        <w:rPr>
          <w:rFonts w:ascii="Times New Roman" w:eastAsia="Times New Roman" w:hAnsi="Times New Roman" w:cs="Times New Roman"/>
          <w:color w:val="000000" w:themeColor="text1"/>
        </w:rPr>
        <w:t xml:space="preserve">As a junior you’ve already completed four or five semesters of high school and only have one or two semesters left to go before you send out college applications. Even if you’re still in the beginning of junior year, your grades this year will only comprise a third of your GPA. You will have to improve drastically </w:t>
      </w:r>
      <w:proofErr w:type="gramStart"/>
      <w:r w:rsidRPr="758892C1">
        <w:rPr>
          <w:rFonts w:ascii="Times New Roman" w:eastAsia="Times New Roman" w:hAnsi="Times New Roman" w:cs="Times New Roman"/>
          <w:color w:val="000000" w:themeColor="text1"/>
        </w:rPr>
        <w:t>in order to</w:t>
      </w:r>
      <w:proofErr w:type="gramEnd"/>
      <w:r w:rsidRPr="758892C1">
        <w:rPr>
          <w:rFonts w:ascii="Times New Roman" w:eastAsia="Times New Roman" w:hAnsi="Times New Roman" w:cs="Times New Roman"/>
          <w:color w:val="000000" w:themeColor="text1"/>
        </w:rPr>
        <w:t xml:space="preserve"> make a positive impact on your GPA before you apply to college. You may still be able to make small changes, but a major increase in your GPA is likely to be out of reach. </w:t>
      </w:r>
    </w:p>
    <w:p w14:paraId="243674A0" w14:textId="7C7B6EF4"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i/>
          <w:iCs/>
          <w:color w:val="000000" w:themeColor="text1"/>
        </w:rPr>
        <w:t xml:space="preserve">Is Junior Year the ‘Most Important </w:t>
      </w:r>
      <w:proofErr w:type="gramStart"/>
      <w:r w:rsidRPr="758892C1">
        <w:rPr>
          <w:rFonts w:ascii="Times New Roman" w:eastAsia="Times New Roman" w:hAnsi="Times New Roman" w:cs="Times New Roman"/>
          <w:i/>
          <w:iCs/>
          <w:color w:val="000000" w:themeColor="text1"/>
        </w:rPr>
        <w:t>Year’?</w:t>
      </w:r>
      <w:proofErr w:type="gramEnd"/>
      <w:r w:rsidRPr="758892C1">
        <w:rPr>
          <w:rFonts w:ascii="Times New Roman" w:eastAsia="Times New Roman" w:hAnsi="Times New Roman" w:cs="Times New Roman"/>
          <w:i/>
          <w:iCs/>
          <w:color w:val="000000" w:themeColor="text1"/>
        </w:rPr>
        <w:t xml:space="preserve"> </w:t>
      </w:r>
      <w:r w:rsidRPr="758892C1">
        <w:rPr>
          <w:rFonts w:ascii="Times New Roman" w:eastAsia="Times New Roman" w:hAnsi="Times New Roman" w:cs="Times New Roman"/>
          <w:color w:val="000000" w:themeColor="text1"/>
        </w:rPr>
        <w:t xml:space="preserve">Junior year is often seen as the most important in high school, especially for college admissions. It’s the last full year of grades colleges review, </w:t>
      </w:r>
      <w:r w:rsidRPr="758892C1">
        <w:rPr>
          <w:rFonts w:ascii="Times New Roman" w:eastAsia="Times New Roman" w:hAnsi="Times New Roman" w:cs="Times New Roman"/>
          <w:color w:val="000000" w:themeColor="text1"/>
        </w:rPr>
        <w:lastRenderedPageBreak/>
        <w:t>showcasing your academic growth and maturity. It’s also a chance to improve if earlier years were challenging and to prepare for advanced senior courses. This year can set the tone for your future success.</w:t>
      </w:r>
    </w:p>
    <w:p w14:paraId="25CB9A7B" w14:textId="56E13D64"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While junior year holds a unique importance, every year of high school matters. Each year lays the groundwork for the next, and consistent effort throughout high school is crucial. Whether you're maintaining high grades or working to improve, the key is to stay focused and make the most of every opportunity to grow and succeed.</w:t>
      </w:r>
    </w:p>
    <w:p w14:paraId="5FD116C8" w14:textId="0BB035F0"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i/>
          <w:iCs/>
          <w:color w:val="000000" w:themeColor="text1"/>
        </w:rPr>
        <w:t xml:space="preserve">Is there one school that is ‘The One’ for me? </w:t>
      </w:r>
      <w:r w:rsidRPr="758892C1">
        <w:rPr>
          <w:rFonts w:ascii="Times New Roman" w:eastAsia="Times New Roman" w:hAnsi="Times New Roman" w:cs="Times New Roman"/>
          <w:color w:val="000000" w:themeColor="text1"/>
        </w:rPr>
        <w:t>There’s no single “perfect” school for everyone! Many colleges can offer you the opportunities and support to thrive. Instead of focusing on finding “The One,” look for schools that align with your academic interests, values, and goals. Success depends on how you take advantage of opportunities, not the name of the school. Keep an open mind, and you’ll find several great options that feel right for you.</w:t>
      </w:r>
    </w:p>
    <w:p w14:paraId="372BDEB4" w14:textId="70D35CE0"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i/>
          <w:iCs/>
          <w:color w:val="000000" w:themeColor="text1"/>
        </w:rPr>
        <w:t xml:space="preserve">How do I pick a school when I don’t know what I want to do? </w:t>
      </w:r>
      <w:r w:rsidRPr="758892C1">
        <w:rPr>
          <w:rFonts w:ascii="Times New Roman" w:eastAsia="Times New Roman" w:hAnsi="Times New Roman" w:cs="Times New Roman"/>
          <w:color w:val="000000" w:themeColor="text1"/>
        </w:rPr>
        <w:t>It’s okay not to know your future career path when choosing a college—many students feel the same way. Focus on schools with diverse programs, general education options, and strong career resources to explore your interests. Consider the campus environment and look for colleges that support undeclared majors. Remember, many students change their major, and your degree doesn’t always define your career. Choose a school where you’ll grow and discover what excites you!</w:t>
      </w:r>
    </w:p>
    <w:p w14:paraId="374A1799" w14:textId="05D9745E"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i/>
          <w:iCs/>
          <w:color w:val="000000" w:themeColor="text1"/>
        </w:rPr>
        <w:t>Is senior year important if they do not use my GPA?</w:t>
      </w:r>
      <w:r w:rsidRPr="758892C1">
        <w:rPr>
          <w:rFonts w:ascii="Times New Roman" w:eastAsia="Times New Roman" w:hAnsi="Times New Roman" w:cs="Times New Roman"/>
          <w:color w:val="000000" w:themeColor="text1"/>
        </w:rPr>
        <w:t xml:space="preserve"> Yes! Senior </w:t>
      </w:r>
      <w:proofErr w:type="gramStart"/>
      <w:r w:rsidRPr="758892C1">
        <w:rPr>
          <w:rFonts w:ascii="Times New Roman" w:eastAsia="Times New Roman" w:hAnsi="Times New Roman" w:cs="Times New Roman"/>
          <w:color w:val="000000" w:themeColor="text1"/>
        </w:rPr>
        <w:t>year still matters</w:t>
      </w:r>
      <w:proofErr w:type="gramEnd"/>
      <w:r w:rsidRPr="758892C1">
        <w:rPr>
          <w:rFonts w:ascii="Times New Roman" w:eastAsia="Times New Roman" w:hAnsi="Times New Roman" w:cs="Times New Roman"/>
          <w:color w:val="000000" w:themeColor="text1"/>
        </w:rPr>
        <w:t xml:space="preserve"> because: Colleges see first-quarter, mid-year, and final transcripts. Consistency is key to keeping admission offers secure. It’s also your chance to build habits, explore interests, and take challenging courses. Even without GPA calculations, senior year shows colleges you’re ready for what’s next.</w:t>
      </w:r>
    </w:p>
    <w:p w14:paraId="7BD3CA37" w14:textId="424396C1"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i/>
          <w:iCs/>
          <w:color w:val="000000" w:themeColor="text1"/>
        </w:rPr>
        <w:t xml:space="preserve">Do I need to take all AP and Honors classes to get into a school? </w:t>
      </w:r>
      <w:r w:rsidRPr="758892C1">
        <w:rPr>
          <w:rFonts w:ascii="Times New Roman" w:eastAsia="Times New Roman" w:hAnsi="Times New Roman" w:cs="Times New Roman"/>
          <w:color w:val="000000" w:themeColor="text1"/>
        </w:rPr>
        <w:t xml:space="preserve">No, you don’t need to take all AP and Honors classes to get into college. Admissions officers look for a </w:t>
      </w:r>
      <w:r w:rsidRPr="758892C1">
        <w:rPr>
          <w:rFonts w:ascii="Times New Roman" w:eastAsia="Times New Roman" w:hAnsi="Times New Roman" w:cs="Times New Roman"/>
          <w:i/>
          <w:iCs/>
          <w:color w:val="000000" w:themeColor="text1"/>
        </w:rPr>
        <w:t>balanced</w:t>
      </w:r>
      <w:r w:rsidRPr="758892C1">
        <w:rPr>
          <w:rFonts w:ascii="Times New Roman" w:eastAsia="Times New Roman" w:hAnsi="Times New Roman" w:cs="Times New Roman"/>
          <w:color w:val="000000" w:themeColor="text1"/>
        </w:rPr>
        <w:t xml:space="preserve"> schedule that challenges you while aligning with your interests and abilities. Focus on excelling in the courses you choose and demonstrating growth, rather than overloading yourself.</w:t>
      </w:r>
    </w:p>
    <w:p w14:paraId="260C7048" w14:textId="76106E24" w:rsidR="758892C1" w:rsidRDefault="758892C1" w:rsidP="758892C1">
      <w:pPr>
        <w:spacing w:before="240" w:after="240"/>
        <w:rPr>
          <w:rFonts w:ascii="Times New Roman" w:eastAsia="Times New Roman" w:hAnsi="Times New Roman" w:cs="Times New Roman"/>
          <w:b/>
          <w:bCs/>
          <w:color w:val="000000" w:themeColor="text1"/>
        </w:rPr>
      </w:pPr>
    </w:p>
    <w:p w14:paraId="3413FDBA" w14:textId="357E6C2D" w:rsidR="758892C1" w:rsidRDefault="758892C1" w:rsidP="758892C1">
      <w:pPr>
        <w:spacing w:before="240" w:after="240"/>
        <w:rPr>
          <w:rFonts w:ascii="Times New Roman" w:eastAsia="Times New Roman" w:hAnsi="Times New Roman" w:cs="Times New Roman"/>
          <w:b/>
          <w:bCs/>
          <w:color w:val="000000" w:themeColor="text1"/>
        </w:rPr>
      </w:pPr>
    </w:p>
    <w:p w14:paraId="7BA46F76" w14:textId="672CE37B"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30 – What information are colleges asking for?</w:t>
      </w:r>
    </w:p>
    <w:p w14:paraId="09B3D41E" w14:textId="3B35CA2E"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Colleges are looking for a well-rounded application that reflects your academic strength and personal growth. They review your transcript, focusing on core subjects and the GPA earned in challenging but suitable courses. Standardized test scores (SAT/ACT) may still be required, </w:t>
      </w:r>
      <w:r w:rsidRPr="758892C1">
        <w:rPr>
          <w:rFonts w:ascii="Times New Roman" w:eastAsia="Times New Roman" w:hAnsi="Times New Roman" w:cs="Times New Roman"/>
          <w:color w:val="000000" w:themeColor="text1"/>
        </w:rPr>
        <w:lastRenderedPageBreak/>
        <w:t>along with a strong admissions essay and recommendations. They also consider the rigor of your high school curriculum and the quality of your extracurricular activities and resume, emphasizing your commitment and involvement outside the classroom.</w:t>
      </w:r>
    </w:p>
    <w:p w14:paraId="5F49FB96" w14:textId="47247DB8"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31– COLLEGE CREDIT PROGRAMS</w:t>
      </w:r>
    </w:p>
    <w:p w14:paraId="25089CBF" w14:textId="49D936E5"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ELHS offers different college credit programs available to students, including Three Rivers College and Career Pathways, College Board’s Advanced Placement (AP), and UCONN Early College Experience (ECE) classes. Each program offers the opportunity to earn college credits, either through courses listed on your ELHS transcript or separate transcripts from the respective institutions. Key deadlines for registration and enrollment are at the end of September and beginning of October. After completing these programs, students will need to request transcripts to be sent to their attending school and send AP scores from College Board to the school for credit.</w:t>
      </w:r>
    </w:p>
    <w:p w14:paraId="346BFDB5" w14:textId="756B8085"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32 – TRANSCRIPT</w:t>
      </w:r>
    </w:p>
    <w:p w14:paraId="0EF3C5ED" w14:textId="5DDB550A"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This is a completed transcript and shows a student's academic record with final grades for all four years of high school, along with the credits earned to meet graduation requirements (at least 25 credits). Instead of A and B level courses, the transcript now includes College Career Preparatory (CCP) and Advanced College Career Preparatory (ACCP) courses. Both weighted and </w:t>
      </w:r>
      <w:proofErr w:type="gramStart"/>
      <w:r w:rsidRPr="758892C1">
        <w:rPr>
          <w:rFonts w:ascii="Times New Roman" w:eastAsia="Times New Roman" w:hAnsi="Times New Roman" w:cs="Times New Roman"/>
          <w:color w:val="000000" w:themeColor="text1"/>
        </w:rPr>
        <w:t>unweighted</w:t>
      </w:r>
      <w:proofErr w:type="gramEnd"/>
      <w:r w:rsidRPr="758892C1">
        <w:rPr>
          <w:rFonts w:ascii="Times New Roman" w:eastAsia="Times New Roman" w:hAnsi="Times New Roman" w:cs="Times New Roman"/>
          <w:color w:val="000000" w:themeColor="text1"/>
        </w:rPr>
        <w:t xml:space="preserve"> GPAs are provided, and any recognitions earned, such as a Career Concentration, Seal of Biliteracy, or AP Scholar, are highlighted as well. </w:t>
      </w:r>
    </w:p>
    <w:p w14:paraId="2E1B62FD" w14:textId="548FD0AD"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33 – ELHS School Profile</w:t>
      </w:r>
    </w:p>
    <w:p w14:paraId="0448888A" w14:textId="2826BCA5"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The school profile is essential for understanding your high school transcript. Colleges receive transcripts from schools across the country and internationally, so the profile helps them interpret the information. It outlines college partnerships, special program opportunities, AP, ECE, and Honors classes offered, graduation requirements, our grading system, GPA distribution from the previous graduating class, school accomplishments, AP test data, and where students are attending college.</w:t>
      </w:r>
    </w:p>
    <w:p w14:paraId="13D31A7C" w14:textId="77D4C5B6"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34 – NAVIANCE</w:t>
      </w:r>
    </w:p>
    <w:p w14:paraId="10521A2F" w14:textId="7C1E8D02"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Naviance can be used to access and/or retake interest inventories to help explore interests, strengths, personality, careers, majors and schools. Naviance can further be used in the college search process by utilizing the supermatch college search – a tool that allows you to search by specific parameters the student is looking for. It can also help determine if you need to look further into NCAA/athletic opportunities, Military academy, and financial aid specific information.</w:t>
      </w:r>
    </w:p>
    <w:p w14:paraId="40A7E8AF" w14:textId="180694EB"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lastRenderedPageBreak/>
        <w:t>Slide 35 – SUPERMATCH COLLEGE SEARCH</w:t>
      </w:r>
    </w:p>
    <w:p w14:paraId="37FCBA0C" w14:textId="537B21F9"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 xml:space="preserve">When using the SuperMatch tool, start by selecting a few key criteria that matter most to you, such as </w:t>
      </w:r>
      <w:r w:rsidRPr="758892C1">
        <w:rPr>
          <w:rFonts w:ascii="Times New Roman" w:eastAsia="Times New Roman" w:hAnsi="Times New Roman" w:cs="Times New Roman"/>
          <w:b/>
          <w:bCs/>
          <w:color w:val="000000" w:themeColor="text1"/>
        </w:rPr>
        <w:t>location</w:t>
      </w:r>
      <w:r w:rsidRPr="758892C1">
        <w:rPr>
          <w:rFonts w:ascii="Times New Roman" w:eastAsia="Times New Roman" w:hAnsi="Times New Roman" w:cs="Times New Roman"/>
          <w:color w:val="000000" w:themeColor="text1"/>
        </w:rPr>
        <w:t xml:space="preserve"> (states or regions you're interested in) and </w:t>
      </w:r>
      <w:r w:rsidRPr="758892C1">
        <w:rPr>
          <w:rFonts w:ascii="Times New Roman" w:eastAsia="Times New Roman" w:hAnsi="Times New Roman" w:cs="Times New Roman"/>
          <w:b/>
          <w:bCs/>
          <w:color w:val="000000" w:themeColor="text1"/>
        </w:rPr>
        <w:t>academics</w:t>
      </w:r>
      <w:r w:rsidRPr="758892C1">
        <w:rPr>
          <w:rFonts w:ascii="Times New Roman" w:eastAsia="Times New Roman" w:hAnsi="Times New Roman" w:cs="Times New Roman"/>
          <w:color w:val="000000" w:themeColor="text1"/>
        </w:rPr>
        <w:t xml:space="preserve"> (majors or fields of study you want to explore). You can also add other factors like campus size or extracurricular opportunities, depending on your preferences. Using the results from the </w:t>
      </w:r>
      <w:r w:rsidRPr="758892C1">
        <w:rPr>
          <w:rFonts w:ascii="Times New Roman" w:eastAsia="Times New Roman" w:hAnsi="Times New Roman" w:cs="Times New Roman"/>
          <w:b/>
          <w:bCs/>
          <w:color w:val="000000" w:themeColor="text1"/>
        </w:rPr>
        <w:t>Career Interest Profiler</w:t>
      </w:r>
      <w:r w:rsidRPr="758892C1">
        <w:rPr>
          <w:rFonts w:ascii="Times New Roman" w:eastAsia="Times New Roman" w:hAnsi="Times New Roman" w:cs="Times New Roman"/>
          <w:color w:val="000000" w:themeColor="text1"/>
        </w:rPr>
        <w:t xml:space="preserve"> can further guide your search, helping you find colleges that offer programs related to your career interests or desired majors. This process will help you narrow down your options and find schools that align with your goals.</w:t>
      </w:r>
    </w:p>
    <w:p w14:paraId="7B34EF58" w14:textId="40AAB54E"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36 – All the Information!</w:t>
      </w:r>
    </w:p>
    <w:p w14:paraId="54474D23" w14:textId="05D3EFB6"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Once you click "search" after inputting your criteria into SuperMatch, a list of schools will appear that match your preferences and provide a good fit based on your GPA and SAT scores. You can explore more details about each school, including admission history from East Lyme High School. Scattergrams will show where you stand compared to students who have been accepted to these schools, highlighting the average GPA and SAT scores. Naviance offers many valuable resources, but it's important to remember that we don't have information about potential extenuating circumstances—such as whether the student was an athlete or had legacy ties to the school—that may influence an individual's application outcomes.</w:t>
      </w:r>
    </w:p>
    <w:p w14:paraId="466C1D4B" w14:textId="6BF264AD" w:rsidR="758892C1" w:rsidRDefault="758892C1" w:rsidP="758892C1">
      <w:pPr>
        <w:spacing w:before="240" w:after="240"/>
        <w:rPr>
          <w:rFonts w:ascii="Times New Roman" w:eastAsia="Times New Roman" w:hAnsi="Times New Roman" w:cs="Times New Roman"/>
          <w:b/>
          <w:bCs/>
          <w:color w:val="000000" w:themeColor="text1"/>
        </w:rPr>
      </w:pPr>
    </w:p>
    <w:p w14:paraId="755DDB7E" w14:textId="29E9F17E"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b/>
          <w:bCs/>
          <w:color w:val="000000" w:themeColor="text1"/>
        </w:rPr>
        <w:t>Slide 37 – Helfpul Resources</w:t>
      </w:r>
    </w:p>
    <w:p w14:paraId="65230ECC" w14:textId="3834A476" w:rsidR="766FC8C0" w:rsidRDefault="766FC8C0" w:rsidP="758892C1">
      <w:pPr>
        <w:spacing w:before="240" w:after="240"/>
        <w:rPr>
          <w:rFonts w:ascii="Times New Roman" w:eastAsia="Times New Roman" w:hAnsi="Times New Roman" w:cs="Times New Roman"/>
          <w:color w:val="000000" w:themeColor="text1"/>
        </w:rPr>
      </w:pPr>
      <w:r w:rsidRPr="758892C1">
        <w:rPr>
          <w:rFonts w:ascii="Times New Roman" w:eastAsia="Times New Roman" w:hAnsi="Times New Roman" w:cs="Times New Roman"/>
          <w:color w:val="000000" w:themeColor="text1"/>
        </w:rPr>
        <w:t>Continue to check the principal’s newsletter, the ELHS counseling website, and the school counseling google classroom for important and relevant updates!</w:t>
      </w:r>
    </w:p>
    <w:p w14:paraId="364C2502" w14:textId="283AB601" w:rsidR="758892C1" w:rsidRDefault="758892C1" w:rsidP="758892C1">
      <w:pPr>
        <w:spacing w:before="240" w:after="240"/>
        <w:rPr>
          <w:rFonts w:ascii="Times New Roman" w:eastAsia="Times New Roman" w:hAnsi="Times New Roman" w:cs="Times New Roman"/>
          <w:color w:val="000000" w:themeColor="text1"/>
        </w:rPr>
      </w:pPr>
    </w:p>
    <w:p w14:paraId="78DF117B" w14:textId="79C49767" w:rsidR="758892C1" w:rsidRDefault="758892C1" w:rsidP="758892C1">
      <w:pPr>
        <w:spacing w:before="240" w:after="240"/>
        <w:rPr>
          <w:rFonts w:ascii="Times New Roman" w:eastAsia="Times New Roman" w:hAnsi="Times New Roman" w:cs="Times New Roman"/>
          <w:color w:val="000000" w:themeColor="text1"/>
        </w:rPr>
      </w:pPr>
    </w:p>
    <w:p w14:paraId="7B7B62BA" w14:textId="23DB86EF" w:rsidR="758892C1" w:rsidRDefault="758892C1" w:rsidP="758892C1">
      <w:pPr>
        <w:rPr>
          <w:rFonts w:ascii="Times New Roman" w:eastAsia="Times New Roman" w:hAnsi="Times New Roman" w:cs="Times New Roman"/>
          <w:color w:val="000000" w:themeColor="text1"/>
        </w:rPr>
      </w:pPr>
    </w:p>
    <w:p w14:paraId="04D91007" w14:textId="49D3E462" w:rsidR="758892C1" w:rsidRDefault="758892C1" w:rsidP="758892C1">
      <w:pPr>
        <w:rPr>
          <w:rFonts w:ascii="Times New Roman" w:eastAsia="Times New Roman" w:hAnsi="Times New Roman" w:cs="Times New Roman"/>
          <w:color w:val="000000" w:themeColor="text1"/>
        </w:rPr>
      </w:pPr>
    </w:p>
    <w:p w14:paraId="4B2644C2" w14:textId="717302B8" w:rsidR="758892C1" w:rsidRDefault="758892C1" w:rsidP="758892C1">
      <w:pPr>
        <w:rPr>
          <w:rFonts w:ascii="Times New Roman" w:eastAsia="Times New Roman" w:hAnsi="Times New Roman" w:cs="Times New Roman"/>
          <w:b/>
          <w:bCs/>
        </w:rPr>
      </w:pPr>
    </w:p>
    <w:sectPr w:rsidR="758892C1">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1D098" w14:textId="77777777" w:rsidR="008B017B" w:rsidRDefault="008B017B">
      <w:pPr>
        <w:spacing w:after="0" w:line="240" w:lineRule="auto"/>
      </w:pPr>
      <w:r>
        <w:separator/>
      </w:r>
    </w:p>
  </w:endnote>
  <w:endnote w:type="continuationSeparator" w:id="0">
    <w:p w14:paraId="695C46BA" w14:textId="77777777" w:rsidR="008B017B" w:rsidRDefault="008B0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58892C1" w14:paraId="536D9A00" w14:textId="77777777" w:rsidTr="758892C1">
      <w:trPr>
        <w:trHeight w:val="300"/>
      </w:trPr>
      <w:tc>
        <w:tcPr>
          <w:tcW w:w="3120" w:type="dxa"/>
        </w:tcPr>
        <w:p w14:paraId="30C46413" w14:textId="1E3F1DFB" w:rsidR="758892C1" w:rsidRDefault="758892C1" w:rsidP="758892C1">
          <w:pPr>
            <w:pStyle w:val="Header"/>
            <w:ind w:left="-115"/>
          </w:pPr>
        </w:p>
      </w:tc>
      <w:tc>
        <w:tcPr>
          <w:tcW w:w="3120" w:type="dxa"/>
        </w:tcPr>
        <w:p w14:paraId="7ADDD300" w14:textId="00E1323E" w:rsidR="758892C1" w:rsidRDefault="758892C1" w:rsidP="758892C1">
          <w:pPr>
            <w:pStyle w:val="Header"/>
            <w:jc w:val="center"/>
          </w:pPr>
        </w:p>
      </w:tc>
      <w:tc>
        <w:tcPr>
          <w:tcW w:w="3120" w:type="dxa"/>
        </w:tcPr>
        <w:p w14:paraId="155724F2" w14:textId="529CF955" w:rsidR="758892C1" w:rsidRDefault="758892C1" w:rsidP="758892C1">
          <w:pPr>
            <w:pStyle w:val="Header"/>
            <w:ind w:right="-115"/>
            <w:jc w:val="right"/>
          </w:pPr>
        </w:p>
      </w:tc>
    </w:tr>
  </w:tbl>
  <w:p w14:paraId="4B135606" w14:textId="0E1805C0" w:rsidR="758892C1" w:rsidRDefault="758892C1" w:rsidP="75889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E7EA6" w14:textId="77777777" w:rsidR="008B017B" w:rsidRDefault="008B017B">
      <w:pPr>
        <w:spacing w:after="0" w:line="240" w:lineRule="auto"/>
      </w:pPr>
      <w:r>
        <w:separator/>
      </w:r>
    </w:p>
  </w:footnote>
  <w:footnote w:type="continuationSeparator" w:id="0">
    <w:p w14:paraId="50ADC588" w14:textId="77777777" w:rsidR="008B017B" w:rsidRDefault="008B0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58892C1" w14:paraId="076BE958" w14:textId="77777777" w:rsidTr="758892C1">
      <w:trPr>
        <w:trHeight w:val="300"/>
      </w:trPr>
      <w:tc>
        <w:tcPr>
          <w:tcW w:w="3120" w:type="dxa"/>
        </w:tcPr>
        <w:p w14:paraId="02DA7519" w14:textId="2BFF095D" w:rsidR="758892C1" w:rsidRDefault="758892C1" w:rsidP="758892C1">
          <w:pPr>
            <w:pStyle w:val="Header"/>
            <w:ind w:left="-115"/>
          </w:pPr>
        </w:p>
      </w:tc>
      <w:tc>
        <w:tcPr>
          <w:tcW w:w="3120" w:type="dxa"/>
        </w:tcPr>
        <w:p w14:paraId="6D6D2F44" w14:textId="712CC4F2" w:rsidR="758892C1" w:rsidRDefault="758892C1" w:rsidP="758892C1">
          <w:pPr>
            <w:pStyle w:val="Header"/>
            <w:jc w:val="center"/>
          </w:pPr>
        </w:p>
      </w:tc>
      <w:tc>
        <w:tcPr>
          <w:tcW w:w="3120" w:type="dxa"/>
        </w:tcPr>
        <w:p w14:paraId="134FA44B" w14:textId="7AA9C15D" w:rsidR="758892C1" w:rsidRDefault="758892C1" w:rsidP="758892C1">
          <w:pPr>
            <w:pStyle w:val="Header"/>
            <w:ind w:right="-115"/>
            <w:jc w:val="right"/>
          </w:pPr>
        </w:p>
      </w:tc>
    </w:tr>
  </w:tbl>
  <w:p w14:paraId="78E8D26E" w14:textId="46703EB1" w:rsidR="758892C1" w:rsidRDefault="758892C1" w:rsidP="758892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62A97"/>
    <w:multiLevelType w:val="hybridMultilevel"/>
    <w:tmpl w:val="B476B39E"/>
    <w:lvl w:ilvl="0" w:tplc="351AA912">
      <w:start w:val="1"/>
      <w:numFmt w:val="bullet"/>
      <w:lvlText w:val=""/>
      <w:lvlJc w:val="left"/>
      <w:pPr>
        <w:ind w:left="720" w:hanging="360"/>
      </w:pPr>
      <w:rPr>
        <w:rFonts w:ascii="Symbol" w:hAnsi="Symbol" w:hint="default"/>
      </w:rPr>
    </w:lvl>
    <w:lvl w:ilvl="1" w:tplc="A2F4E932">
      <w:start w:val="1"/>
      <w:numFmt w:val="bullet"/>
      <w:lvlText w:val="o"/>
      <w:lvlJc w:val="left"/>
      <w:pPr>
        <w:ind w:left="1440" w:hanging="360"/>
      </w:pPr>
      <w:rPr>
        <w:rFonts w:ascii="Courier New" w:hAnsi="Courier New" w:hint="default"/>
      </w:rPr>
    </w:lvl>
    <w:lvl w:ilvl="2" w:tplc="D5163552">
      <w:start w:val="1"/>
      <w:numFmt w:val="bullet"/>
      <w:lvlText w:val=""/>
      <w:lvlJc w:val="left"/>
      <w:pPr>
        <w:ind w:left="2160" w:hanging="360"/>
      </w:pPr>
      <w:rPr>
        <w:rFonts w:ascii="Wingdings" w:hAnsi="Wingdings" w:hint="default"/>
      </w:rPr>
    </w:lvl>
    <w:lvl w:ilvl="3" w:tplc="F7A28704">
      <w:start w:val="1"/>
      <w:numFmt w:val="bullet"/>
      <w:lvlText w:val=""/>
      <w:lvlJc w:val="left"/>
      <w:pPr>
        <w:ind w:left="2880" w:hanging="360"/>
      </w:pPr>
      <w:rPr>
        <w:rFonts w:ascii="Symbol" w:hAnsi="Symbol" w:hint="default"/>
      </w:rPr>
    </w:lvl>
    <w:lvl w:ilvl="4" w:tplc="338C07A2">
      <w:start w:val="1"/>
      <w:numFmt w:val="bullet"/>
      <w:lvlText w:val="o"/>
      <w:lvlJc w:val="left"/>
      <w:pPr>
        <w:ind w:left="3600" w:hanging="360"/>
      </w:pPr>
      <w:rPr>
        <w:rFonts w:ascii="Courier New" w:hAnsi="Courier New" w:hint="default"/>
      </w:rPr>
    </w:lvl>
    <w:lvl w:ilvl="5" w:tplc="5546D1C2">
      <w:start w:val="1"/>
      <w:numFmt w:val="bullet"/>
      <w:lvlText w:val=""/>
      <w:lvlJc w:val="left"/>
      <w:pPr>
        <w:ind w:left="4320" w:hanging="360"/>
      </w:pPr>
      <w:rPr>
        <w:rFonts w:ascii="Wingdings" w:hAnsi="Wingdings" w:hint="default"/>
      </w:rPr>
    </w:lvl>
    <w:lvl w:ilvl="6" w:tplc="C06A37B0">
      <w:start w:val="1"/>
      <w:numFmt w:val="bullet"/>
      <w:lvlText w:val=""/>
      <w:lvlJc w:val="left"/>
      <w:pPr>
        <w:ind w:left="5040" w:hanging="360"/>
      </w:pPr>
      <w:rPr>
        <w:rFonts w:ascii="Symbol" w:hAnsi="Symbol" w:hint="default"/>
      </w:rPr>
    </w:lvl>
    <w:lvl w:ilvl="7" w:tplc="A8EA8F60">
      <w:start w:val="1"/>
      <w:numFmt w:val="bullet"/>
      <w:lvlText w:val="o"/>
      <w:lvlJc w:val="left"/>
      <w:pPr>
        <w:ind w:left="5760" w:hanging="360"/>
      </w:pPr>
      <w:rPr>
        <w:rFonts w:ascii="Courier New" w:hAnsi="Courier New" w:hint="default"/>
      </w:rPr>
    </w:lvl>
    <w:lvl w:ilvl="8" w:tplc="C776854A">
      <w:start w:val="1"/>
      <w:numFmt w:val="bullet"/>
      <w:lvlText w:val=""/>
      <w:lvlJc w:val="left"/>
      <w:pPr>
        <w:ind w:left="6480" w:hanging="360"/>
      </w:pPr>
      <w:rPr>
        <w:rFonts w:ascii="Wingdings" w:hAnsi="Wingdings" w:hint="default"/>
      </w:rPr>
    </w:lvl>
  </w:abstractNum>
  <w:abstractNum w:abstractNumId="1" w15:restartNumberingAfterBreak="0">
    <w:nsid w:val="0FFDDFD7"/>
    <w:multiLevelType w:val="hybridMultilevel"/>
    <w:tmpl w:val="7C24F488"/>
    <w:lvl w:ilvl="0" w:tplc="B7B4E334">
      <w:start w:val="1"/>
      <w:numFmt w:val="bullet"/>
      <w:lvlText w:val=""/>
      <w:lvlJc w:val="left"/>
      <w:pPr>
        <w:ind w:left="720" w:hanging="360"/>
      </w:pPr>
      <w:rPr>
        <w:rFonts w:ascii="Symbol" w:hAnsi="Symbol" w:hint="default"/>
      </w:rPr>
    </w:lvl>
    <w:lvl w:ilvl="1" w:tplc="033C961E">
      <w:start w:val="1"/>
      <w:numFmt w:val="bullet"/>
      <w:lvlText w:val="o"/>
      <w:lvlJc w:val="left"/>
      <w:pPr>
        <w:ind w:left="1440" w:hanging="360"/>
      </w:pPr>
      <w:rPr>
        <w:rFonts w:ascii="Courier New" w:hAnsi="Courier New" w:hint="default"/>
      </w:rPr>
    </w:lvl>
    <w:lvl w:ilvl="2" w:tplc="637859C2">
      <w:start w:val="1"/>
      <w:numFmt w:val="bullet"/>
      <w:lvlText w:val=""/>
      <w:lvlJc w:val="left"/>
      <w:pPr>
        <w:ind w:left="2160" w:hanging="360"/>
      </w:pPr>
      <w:rPr>
        <w:rFonts w:ascii="Wingdings" w:hAnsi="Wingdings" w:hint="default"/>
      </w:rPr>
    </w:lvl>
    <w:lvl w:ilvl="3" w:tplc="F244A3D2">
      <w:start w:val="1"/>
      <w:numFmt w:val="bullet"/>
      <w:lvlText w:val=""/>
      <w:lvlJc w:val="left"/>
      <w:pPr>
        <w:ind w:left="2880" w:hanging="360"/>
      </w:pPr>
      <w:rPr>
        <w:rFonts w:ascii="Symbol" w:hAnsi="Symbol" w:hint="default"/>
      </w:rPr>
    </w:lvl>
    <w:lvl w:ilvl="4" w:tplc="1B90B3B8">
      <w:start w:val="1"/>
      <w:numFmt w:val="bullet"/>
      <w:lvlText w:val="o"/>
      <w:lvlJc w:val="left"/>
      <w:pPr>
        <w:ind w:left="3600" w:hanging="360"/>
      </w:pPr>
      <w:rPr>
        <w:rFonts w:ascii="Courier New" w:hAnsi="Courier New" w:hint="default"/>
      </w:rPr>
    </w:lvl>
    <w:lvl w:ilvl="5" w:tplc="40AEC4CE">
      <w:start w:val="1"/>
      <w:numFmt w:val="bullet"/>
      <w:lvlText w:val=""/>
      <w:lvlJc w:val="left"/>
      <w:pPr>
        <w:ind w:left="4320" w:hanging="360"/>
      </w:pPr>
      <w:rPr>
        <w:rFonts w:ascii="Wingdings" w:hAnsi="Wingdings" w:hint="default"/>
      </w:rPr>
    </w:lvl>
    <w:lvl w:ilvl="6" w:tplc="B5425592">
      <w:start w:val="1"/>
      <w:numFmt w:val="bullet"/>
      <w:lvlText w:val=""/>
      <w:lvlJc w:val="left"/>
      <w:pPr>
        <w:ind w:left="5040" w:hanging="360"/>
      </w:pPr>
      <w:rPr>
        <w:rFonts w:ascii="Symbol" w:hAnsi="Symbol" w:hint="default"/>
      </w:rPr>
    </w:lvl>
    <w:lvl w:ilvl="7" w:tplc="3FA87F8C">
      <w:start w:val="1"/>
      <w:numFmt w:val="bullet"/>
      <w:lvlText w:val="o"/>
      <w:lvlJc w:val="left"/>
      <w:pPr>
        <w:ind w:left="5760" w:hanging="360"/>
      </w:pPr>
      <w:rPr>
        <w:rFonts w:ascii="Courier New" w:hAnsi="Courier New" w:hint="default"/>
      </w:rPr>
    </w:lvl>
    <w:lvl w:ilvl="8" w:tplc="B8762768">
      <w:start w:val="1"/>
      <w:numFmt w:val="bullet"/>
      <w:lvlText w:val=""/>
      <w:lvlJc w:val="left"/>
      <w:pPr>
        <w:ind w:left="6480" w:hanging="360"/>
      </w:pPr>
      <w:rPr>
        <w:rFonts w:ascii="Wingdings" w:hAnsi="Wingdings" w:hint="default"/>
      </w:rPr>
    </w:lvl>
  </w:abstractNum>
  <w:abstractNum w:abstractNumId="2" w15:restartNumberingAfterBreak="0">
    <w:nsid w:val="2073EB3A"/>
    <w:multiLevelType w:val="hybridMultilevel"/>
    <w:tmpl w:val="5F56CADE"/>
    <w:lvl w:ilvl="0" w:tplc="20DE69A4">
      <w:start w:val="1"/>
      <w:numFmt w:val="bullet"/>
      <w:lvlText w:val=""/>
      <w:lvlJc w:val="left"/>
      <w:pPr>
        <w:ind w:left="720" w:hanging="360"/>
      </w:pPr>
      <w:rPr>
        <w:rFonts w:ascii="Symbol" w:hAnsi="Symbol" w:hint="default"/>
      </w:rPr>
    </w:lvl>
    <w:lvl w:ilvl="1" w:tplc="28FC9108">
      <w:start w:val="1"/>
      <w:numFmt w:val="bullet"/>
      <w:lvlText w:val="o"/>
      <w:lvlJc w:val="left"/>
      <w:pPr>
        <w:ind w:left="1440" w:hanging="360"/>
      </w:pPr>
      <w:rPr>
        <w:rFonts w:ascii="Courier New" w:hAnsi="Courier New" w:hint="default"/>
      </w:rPr>
    </w:lvl>
    <w:lvl w:ilvl="2" w:tplc="5284EFB4">
      <w:start w:val="1"/>
      <w:numFmt w:val="bullet"/>
      <w:lvlText w:val=""/>
      <w:lvlJc w:val="left"/>
      <w:pPr>
        <w:ind w:left="2160" w:hanging="360"/>
      </w:pPr>
      <w:rPr>
        <w:rFonts w:ascii="Wingdings" w:hAnsi="Wingdings" w:hint="default"/>
      </w:rPr>
    </w:lvl>
    <w:lvl w:ilvl="3" w:tplc="63529DE4">
      <w:start w:val="1"/>
      <w:numFmt w:val="bullet"/>
      <w:lvlText w:val=""/>
      <w:lvlJc w:val="left"/>
      <w:pPr>
        <w:ind w:left="2880" w:hanging="360"/>
      </w:pPr>
      <w:rPr>
        <w:rFonts w:ascii="Symbol" w:hAnsi="Symbol" w:hint="default"/>
      </w:rPr>
    </w:lvl>
    <w:lvl w:ilvl="4" w:tplc="AD10BC90">
      <w:start w:val="1"/>
      <w:numFmt w:val="bullet"/>
      <w:lvlText w:val="o"/>
      <w:lvlJc w:val="left"/>
      <w:pPr>
        <w:ind w:left="3600" w:hanging="360"/>
      </w:pPr>
      <w:rPr>
        <w:rFonts w:ascii="Courier New" w:hAnsi="Courier New" w:hint="default"/>
      </w:rPr>
    </w:lvl>
    <w:lvl w:ilvl="5" w:tplc="6E80BCA8">
      <w:start w:val="1"/>
      <w:numFmt w:val="bullet"/>
      <w:lvlText w:val=""/>
      <w:lvlJc w:val="left"/>
      <w:pPr>
        <w:ind w:left="4320" w:hanging="360"/>
      </w:pPr>
      <w:rPr>
        <w:rFonts w:ascii="Wingdings" w:hAnsi="Wingdings" w:hint="default"/>
      </w:rPr>
    </w:lvl>
    <w:lvl w:ilvl="6" w:tplc="0A0812BE">
      <w:start w:val="1"/>
      <w:numFmt w:val="bullet"/>
      <w:lvlText w:val=""/>
      <w:lvlJc w:val="left"/>
      <w:pPr>
        <w:ind w:left="5040" w:hanging="360"/>
      </w:pPr>
      <w:rPr>
        <w:rFonts w:ascii="Symbol" w:hAnsi="Symbol" w:hint="default"/>
      </w:rPr>
    </w:lvl>
    <w:lvl w:ilvl="7" w:tplc="67CA392A">
      <w:start w:val="1"/>
      <w:numFmt w:val="bullet"/>
      <w:lvlText w:val="o"/>
      <w:lvlJc w:val="left"/>
      <w:pPr>
        <w:ind w:left="5760" w:hanging="360"/>
      </w:pPr>
      <w:rPr>
        <w:rFonts w:ascii="Courier New" w:hAnsi="Courier New" w:hint="default"/>
      </w:rPr>
    </w:lvl>
    <w:lvl w:ilvl="8" w:tplc="4A24C6C6">
      <w:start w:val="1"/>
      <w:numFmt w:val="bullet"/>
      <w:lvlText w:val=""/>
      <w:lvlJc w:val="left"/>
      <w:pPr>
        <w:ind w:left="6480" w:hanging="360"/>
      </w:pPr>
      <w:rPr>
        <w:rFonts w:ascii="Wingdings" w:hAnsi="Wingdings" w:hint="default"/>
      </w:rPr>
    </w:lvl>
  </w:abstractNum>
  <w:abstractNum w:abstractNumId="3" w15:restartNumberingAfterBreak="0">
    <w:nsid w:val="32511ABC"/>
    <w:multiLevelType w:val="hybridMultilevel"/>
    <w:tmpl w:val="19E81BDC"/>
    <w:lvl w:ilvl="0" w:tplc="340E8672">
      <w:start w:val="1"/>
      <w:numFmt w:val="bullet"/>
      <w:lvlText w:val=""/>
      <w:lvlJc w:val="left"/>
      <w:pPr>
        <w:ind w:left="720" w:hanging="360"/>
      </w:pPr>
      <w:rPr>
        <w:rFonts w:ascii="Symbol" w:hAnsi="Symbol" w:hint="default"/>
      </w:rPr>
    </w:lvl>
    <w:lvl w:ilvl="1" w:tplc="4C48D17C">
      <w:start w:val="1"/>
      <w:numFmt w:val="bullet"/>
      <w:lvlText w:val="o"/>
      <w:lvlJc w:val="left"/>
      <w:pPr>
        <w:ind w:left="1440" w:hanging="360"/>
      </w:pPr>
      <w:rPr>
        <w:rFonts w:ascii="Courier New" w:hAnsi="Courier New" w:hint="default"/>
      </w:rPr>
    </w:lvl>
    <w:lvl w:ilvl="2" w:tplc="15D29650">
      <w:start w:val="1"/>
      <w:numFmt w:val="bullet"/>
      <w:lvlText w:val=""/>
      <w:lvlJc w:val="left"/>
      <w:pPr>
        <w:ind w:left="2160" w:hanging="360"/>
      </w:pPr>
      <w:rPr>
        <w:rFonts w:ascii="Wingdings" w:hAnsi="Wingdings" w:hint="default"/>
      </w:rPr>
    </w:lvl>
    <w:lvl w:ilvl="3" w:tplc="044AE9D2">
      <w:start w:val="1"/>
      <w:numFmt w:val="bullet"/>
      <w:lvlText w:val=""/>
      <w:lvlJc w:val="left"/>
      <w:pPr>
        <w:ind w:left="2880" w:hanging="360"/>
      </w:pPr>
      <w:rPr>
        <w:rFonts w:ascii="Symbol" w:hAnsi="Symbol" w:hint="default"/>
      </w:rPr>
    </w:lvl>
    <w:lvl w:ilvl="4" w:tplc="CE703042">
      <w:start w:val="1"/>
      <w:numFmt w:val="bullet"/>
      <w:lvlText w:val="o"/>
      <w:lvlJc w:val="left"/>
      <w:pPr>
        <w:ind w:left="3600" w:hanging="360"/>
      </w:pPr>
      <w:rPr>
        <w:rFonts w:ascii="Courier New" w:hAnsi="Courier New" w:hint="default"/>
      </w:rPr>
    </w:lvl>
    <w:lvl w:ilvl="5" w:tplc="AE0A535A">
      <w:start w:val="1"/>
      <w:numFmt w:val="bullet"/>
      <w:lvlText w:val=""/>
      <w:lvlJc w:val="left"/>
      <w:pPr>
        <w:ind w:left="4320" w:hanging="360"/>
      </w:pPr>
      <w:rPr>
        <w:rFonts w:ascii="Wingdings" w:hAnsi="Wingdings" w:hint="default"/>
      </w:rPr>
    </w:lvl>
    <w:lvl w:ilvl="6" w:tplc="0BB22414">
      <w:start w:val="1"/>
      <w:numFmt w:val="bullet"/>
      <w:lvlText w:val=""/>
      <w:lvlJc w:val="left"/>
      <w:pPr>
        <w:ind w:left="5040" w:hanging="360"/>
      </w:pPr>
      <w:rPr>
        <w:rFonts w:ascii="Symbol" w:hAnsi="Symbol" w:hint="default"/>
      </w:rPr>
    </w:lvl>
    <w:lvl w:ilvl="7" w:tplc="9AFC60E8">
      <w:start w:val="1"/>
      <w:numFmt w:val="bullet"/>
      <w:lvlText w:val="o"/>
      <w:lvlJc w:val="left"/>
      <w:pPr>
        <w:ind w:left="5760" w:hanging="360"/>
      </w:pPr>
      <w:rPr>
        <w:rFonts w:ascii="Courier New" w:hAnsi="Courier New" w:hint="default"/>
      </w:rPr>
    </w:lvl>
    <w:lvl w:ilvl="8" w:tplc="30D6010E">
      <w:start w:val="1"/>
      <w:numFmt w:val="bullet"/>
      <w:lvlText w:val=""/>
      <w:lvlJc w:val="left"/>
      <w:pPr>
        <w:ind w:left="6480" w:hanging="360"/>
      </w:pPr>
      <w:rPr>
        <w:rFonts w:ascii="Wingdings" w:hAnsi="Wingdings" w:hint="default"/>
      </w:rPr>
    </w:lvl>
  </w:abstractNum>
  <w:abstractNum w:abstractNumId="4" w15:restartNumberingAfterBreak="0">
    <w:nsid w:val="4A9CBCEE"/>
    <w:multiLevelType w:val="hybridMultilevel"/>
    <w:tmpl w:val="D0A01CA6"/>
    <w:lvl w:ilvl="0" w:tplc="6B761D52">
      <w:start w:val="1"/>
      <w:numFmt w:val="bullet"/>
      <w:lvlText w:val=""/>
      <w:lvlJc w:val="left"/>
      <w:pPr>
        <w:ind w:left="720" w:hanging="360"/>
      </w:pPr>
      <w:rPr>
        <w:rFonts w:ascii="Symbol" w:hAnsi="Symbol" w:hint="default"/>
      </w:rPr>
    </w:lvl>
    <w:lvl w:ilvl="1" w:tplc="1248D29A">
      <w:start w:val="1"/>
      <w:numFmt w:val="bullet"/>
      <w:lvlText w:val="o"/>
      <w:lvlJc w:val="left"/>
      <w:pPr>
        <w:ind w:left="1440" w:hanging="360"/>
      </w:pPr>
      <w:rPr>
        <w:rFonts w:ascii="Courier New" w:hAnsi="Courier New" w:hint="default"/>
      </w:rPr>
    </w:lvl>
    <w:lvl w:ilvl="2" w:tplc="178A60DA">
      <w:start w:val="1"/>
      <w:numFmt w:val="bullet"/>
      <w:lvlText w:val=""/>
      <w:lvlJc w:val="left"/>
      <w:pPr>
        <w:ind w:left="2160" w:hanging="360"/>
      </w:pPr>
      <w:rPr>
        <w:rFonts w:ascii="Wingdings" w:hAnsi="Wingdings" w:hint="default"/>
      </w:rPr>
    </w:lvl>
    <w:lvl w:ilvl="3" w:tplc="FB2A2B5A">
      <w:start w:val="1"/>
      <w:numFmt w:val="bullet"/>
      <w:lvlText w:val=""/>
      <w:lvlJc w:val="left"/>
      <w:pPr>
        <w:ind w:left="2880" w:hanging="360"/>
      </w:pPr>
      <w:rPr>
        <w:rFonts w:ascii="Symbol" w:hAnsi="Symbol" w:hint="default"/>
      </w:rPr>
    </w:lvl>
    <w:lvl w:ilvl="4" w:tplc="66CC1350">
      <w:start w:val="1"/>
      <w:numFmt w:val="bullet"/>
      <w:lvlText w:val="o"/>
      <w:lvlJc w:val="left"/>
      <w:pPr>
        <w:ind w:left="3600" w:hanging="360"/>
      </w:pPr>
      <w:rPr>
        <w:rFonts w:ascii="Courier New" w:hAnsi="Courier New" w:hint="default"/>
      </w:rPr>
    </w:lvl>
    <w:lvl w:ilvl="5" w:tplc="2E56E468">
      <w:start w:val="1"/>
      <w:numFmt w:val="bullet"/>
      <w:lvlText w:val=""/>
      <w:lvlJc w:val="left"/>
      <w:pPr>
        <w:ind w:left="4320" w:hanging="360"/>
      </w:pPr>
      <w:rPr>
        <w:rFonts w:ascii="Wingdings" w:hAnsi="Wingdings" w:hint="default"/>
      </w:rPr>
    </w:lvl>
    <w:lvl w:ilvl="6" w:tplc="2F44C4E6">
      <w:start w:val="1"/>
      <w:numFmt w:val="bullet"/>
      <w:lvlText w:val=""/>
      <w:lvlJc w:val="left"/>
      <w:pPr>
        <w:ind w:left="5040" w:hanging="360"/>
      </w:pPr>
      <w:rPr>
        <w:rFonts w:ascii="Symbol" w:hAnsi="Symbol" w:hint="default"/>
      </w:rPr>
    </w:lvl>
    <w:lvl w:ilvl="7" w:tplc="66820118">
      <w:start w:val="1"/>
      <w:numFmt w:val="bullet"/>
      <w:lvlText w:val="o"/>
      <w:lvlJc w:val="left"/>
      <w:pPr>
        <w:ind w:left="5760" w:hanging="360"/>
      </w:pPr>
      <w:rPr>
        <w:rFonts w:ascii="Courier New" w:hAnsi="Courier New" w:hint="default"/>
      </w:rPr>
    </w:lvl>
    <w:lvl w:ilvl="8" w:tplc="62224578">
      <w:start w:val="1"/>
      <w:numFmt w:val="bullet"/>
      <w:lvlText w:val=""/>
      <w:lvlJc w:val="left"/>
      <w:pPr>
        <w:ind w:left="6480" w:hanging="360"/>
      </w:pPr>
      <w:rPr>
        <w:rFonts w:ascii="Wingdings" w:hAnsi="Wingdings" w:hint="default"/>
      </w:rPr>
    </w:lvl>
  </w:abstractNum>
  <w:abstractNum w:abstractNumId="5" w15:restartNumberingAfterBreak="0">
    <w:nsid w:val="50381CA7"/>
    <w:multiLevelType w:val="hybridMultilevel"/>
    <w:tmpl w:val="F856909A"/>
    <w:lvl w:ilvl="0" w:tplc="D578164C">
      <w:start w:val="1"/>
      <w:numFmt w:val="bullet"/>
      <w:lvlText w:val=""/>
      <w:lvlJc w:val="left"/>
      <w:pPr>
        <w:ind w:left="720" w:hanging="360"/>
      </w:pPr>
      <w:rPr>
        <w:rFonts w:ascii="Symbol" w:hAnsi="Symbol" w:hint="default"/>
      </w:rPr>
    </w:lvl>
    <w:lvl w:ilvl="1" w:tplc="CFDCDA82">
      <w:start w:val="1"/>
      <w:numFmt w:val="bullet"/>
      <w:lvlText w:val="o"/>
      <w:lvlJc w:val="left"/>
      <w:pPr>
        <w:ind w:left="1440" w:hanging="360"/>
      </w:pPr>
      <w:rPr>
        <w:rFonts w:ascii="Courier New" w:hAnsi="Courier New" w:hint="default"/>
      </w:rPr>
    </w:lvl>
    <w:lvl w:ilvl="2" w:tplc="2880FC4A">
      <w:start w:val="1"/>
      <w:numFmt w:val="bullet"/>
      <w:lvlText w:val=""/>
      <w:lvlJc w:val="left"/>
      <w:pPr>
        <w:ind w:left="2160" w:hanging="360"/>
      </w:pPr>
      <w:rPr>
        <w:rFonts w:ascii="Wingdings" w:hAnsi="Wingdings" w:hint="default"/>
      </w:rPr>
    </w:lvl>
    <w:lvl w:ilvl="3" w:tplc="62E4318C">
      <w:start w:val="1"/>
      <w:numFmt w:val="bullet"/>
      <w:lvlText w:val=""/>
      <w:lvlJc w:val="left"/>
      <w:pPr>
        <w:ind w:left="2880" w:hanging="360"/>
      </w:pPr>
      <w:rPr>
        <w:rFonts w:ascii="Symbol" w:hAnsi="Symbol" w:hint="default"/>
      </w:rPr>
    </w:lvl>
    <w:lvl w:ilvl="4" w:tplc="36C45220">
      <w:start w:val="1"/>
      <w:numFmt w:val="bullet"/>
      <w:lvlText w:val="o"/>
      <w:lvlJc w:val="left"/>
      <w:pPr>
        <w:ind w:left="3600" w:hanging="360"/>
      </w:pPr>
      <w:rPr>
        <w:rFonts w:ascii="Courier New" w:hAnsi="Courier New" w:hint="default"/>
      </w:rPr>
    </w:lvl>
    <w:lvl w:ilvl="5" w:tplc="E53CC3D4">
      <w:start w:val="1"/>
      <w:numFmt w:val="bullet"/>
      <w:lvlText w:val=""/>
      <w:lvlJc w:val="left"/>
      <w:pPr>
        <w:ind w:left="4320" w:hanging="360"/>
      </w:pPr>
      <w:rPr>
        <w:rFonts w:ascii="Wingdings" w:hAnsi="Wingdings" w:hint="default"/>
      </w:rPr>
    </w:lvl>
    <w:lvl w:ilvl="6" w:tplc="1D1E5960">
      <w:start w:val="1"/>
      <w:numFmt w:val="bullet"/>
      <w:lvlText w:val=""/>
      <w:lvlJc w:val="left"/>
      <w:pPr>
        <w:ind w:left="5040" w:hanging="360"/>
      </w:pPr>
      <w:rPr>
        <w:rFonts w:ascii="Symbol" w:hAnsi="Symbol" w:hint="default"/>
      </w:rPr>
    </w:lvl>
    <w:lvl w:ilvl="7" w:tplc="363E2FDA">
      <w:start w:val="1"/>
      <w:numFmt w:val="bullet"/>
      <w:lvlText w:val="o"/>
      <w:lvlJc w:val="left"/>
      <w:pPr>
        <w:ind w:left="5760" w:hanging="360"/>
      </w:pPr>
      <w:rPr>
        <w:rFonts w:ascii="Courier New" w:hAnsi="Courier New" w:hint="default"/>
      </w:rPr>
    </w:lvl>
    <w:lvl w:ilvl="8" w:tplc="42703EA0">
      <w:start w:val="1"/>
      <w:numFmt w:val="bullet"/>
      <w:lvlText w:val=""/>
      <w:lvlJc w:val="left"/>
      <w:pPr>
        <w:ind w:left="6480" w:hanging="360"/>
      </w:pPr>
      <w:rPr>
        <w:rFonts w:ascii="Wingdings" w:hAnsi="Wingdings" w:hint="default"/>
      </w:rPr>
    </w:lvl>
  </w:abstractNum>
  <w:abstractNum w:abstractNumId="6" w15:restartNumberingAfterBreak="0">
    <w:nsid w:val="64BE6627"/>
    <w:multiLevelType w:val="hybridMultilevel"/>
    <w:tmpl w:val="C6C04316"/>
    <w:lvl w:ilvl="0" w:tplc="2B7EFF0A">
      <w:start w:val="1"/>
      <w:numFmt w:val="bullet"/>
      <w:lvlText w:val=""/>
      <w:lvlJc w:val="left"/>
      <w:pPr>
        <w:ind w:left="720" w:hanging="360"/>
      </w:pPr>
      <w:rPr>
        <w:rFonts w:ascii="Symbol" w:hAnsi="Symbol" w:hint="default"/>
      </w:rPr>
    </w:lvl>
    <w:lvl w:ilvl="1" w:tplc="A8A8BB64">
      <w:start w:val="1"/>
      <w:numFmt w:val="bullet"/>
      <w:lvlText w:val="o"/>
      <w:lvlJc w:val="left"/>
      <w:pPr>
        <w:ind w:left="1440" w:hanging="360"/>
      </w:pPr>
      <w:rPr>
        <w:rFonts w:ascii="Courier New" w:hAnsi="Courier New" w:hint="default"/>
      </w:rPr>
    </w:lvl>
    <w:lvl w:ilvl="2" w:tplc="5AFC0544">
      <w:start w:val="1"/>
      <w:numFmt w:val="bullet"/>
      <w:lvlText w:val=""/>
      <w:lvlJc w:val="left"/>
      <w:pPr>
        <w:ind w:left="2160" w:hanging="360"/>
      </w:pPr>
      <w:rPr>
        <w:rFonts w:ascii="Wingdings" w:hAnsi="Wingdings" w:hint="default"/>
      </w:rPr>
    </w:lvl>
    <w:lvl w:ilvl="3" w:tplc="7646E340">
      <w:start w:val="1"/>
      <w:numFmt w:val="bullet"/>
      <w:lvlText w:val=""/>
      <w:lvlJc w:val="left"/>
      <w:pPr>
        <w:ind w:left="2880" w:hanging="360"/>
      </w:pPr>
      <w:rPr>
        <w:rFonts w:ascii="Symbol" w:hAnsi="Symbol" w:hint="default"/>
      </w:rPr>
    </w:lvl>
    <w:lvl w:ilvl="4" w:tplc="980A59D4">
      <w:start w:val="1"/>
      <w:numFmt w:val="bullet"/>
      <w:lvlText w:val="o"/>
      <w:lvlJc w:val="left"/>
      <w:pPr>
        <w:ind w:left="3600" w:hanging="360"/>
      </w:pPr>
      <w:rPr>
        <w:rFonts w:ascii="Courier New" w:hAnsi="Courier New" w:hint="default"/>
      </w:rPr>
    </w:lvl>
    <w:lvl w:ilvl="5" w:tplc="A22CFFFA">
      <w:start w:val="1"/>
      <w:numFmt w:val="bullet"/>
      <w:lvlText w:val=""/>
      <w:lvlJc w:val="left"/>
      <w:pPr>
        <w:ind w:left="4320" w:hanging="360"/>
      </w:pPr>
      <w:rPr>
        <w:rFonts w:ascii="Wingdings" w:hAnsi="Wingdings" w:hint="default"/>
      </w:rPr>
    </w:lvl>
    <w:lvl w:ilvl="6" w:tplc="B9EE5176">
      <w:start w:val="1"/>
      <w:numFmt w:val="bullet"/>
      <w:lvlText w:val=""/>
      <w:lvlJc w:val="left"/>
      <w:pPr>
        <w:ind w:left="5040" w:hanging="360"/>
      </w:pPr>
      <w:rPr>
        <w:rFonts w:ascii="Symbol" w:hAnsi="Symbol" w:hint="default"/>
      </w:rPr>
    </w:lvl>
    <w:lvl w:ilvl="7" w:tplc="93FA80FE">
      <w:start w:val="1"/>
      <w:numFmt w:val="bullet"/>
      <w:lvlText w:val="o"/>
      <w:lvlJc w:val="left"/>
      <w:pPr>
        <w:ind w:left="5760" w:hanging="360"/>
      </w:pPr>
      <w:rPr>
        <w:rFonts w:ascii="Courier New" w:hAnsi="Courier New" w:hint="default"/>
      </w:rPr>
    </w:lvl>
    <w:lvl w:ilvl="8" w:tplc="2DEC32DE">
      <w:start w:val="1"/>
      <w:numFmt w:val="bullet"/>
      <w:lvlText w:val=""/>
      <w:lvlJc w:val="left"/>
      <w:pPr>
        <w:ind w:left="6480" w:hanging="360"/>
      </w:pPr>
      <w:rPr>
        <w:rFonts w:ascii="Wingdings" w:hAnsi="Wingdings" w:hint="default"/>
      </w:rPr>
    </w:lvl>
  </w:abstractNum>
  <w:abstractNum w:abstractNumId="7" w15:restartNumberingAfterBreak="0">
    <w:nsid w:val="71466C55"/>
    <w:multiLevelType w:val="hybridMultilevel"/>
    <w:tmpl w:val="237CC74A"/>
    <w:lvl w:ilvl="0" w:tplc="F49CB062">
      <w:start w:val="1"/>
      <w:numFmt w:val="bullet"/>
      <w:lvlText w:val=""/>
      <w:lvlJc w:val="left"/>
      <w:pPr>
        <w:ind w:left="720" w:hanging="360"/>
      </w:pPr>
      <w:rPr>
        <w:rFonts w:ascii="Symbol" w:hAnsi="Symbol" w:hint="default"/>
      </w:rPr>
    </w:lvl>
    <w:lvl w:ilvl="1" w:tplc="22BA9F5C">
      <w:start w:val="1"/>
      <w:numFmt w:val="bullet"/>
      <w:lvlText w:val="o"/>
      <w:lvlJc w:val="left"/>
      <w:pPr>
        <w:ind w:left="1440" w:hanging="360"/>
      </w:pPr>
      <w:rPr>
        <w:rFonts w:ascii="Courier New" w:hAnsi="Courier New" w:hint="default"/>
      </w:rPr>
    </w:lvl>
    <w:lvl w:ilvl="2" w:tplc="0B946BFE">
      <w:start w:val="1"/>
      <w:numFmt w:val="bullet"/>
      <w:lvlText w:val=""/>
      <w:lvlJc w:val="left"/>
      <w:pPr>
        <w:ind w:left="2160" w:hanging="360"/>
      </w:pPr>
      <w:rPr>
        <w:rFonts w:ascii="Wingdings" w:hAnsi="Wingdings" w:hint="default"/>
      </w:rPr>
    </w:lvl>
    <w:lvl w:ilvl="3" w:tplc="8EE2DC34">
      <w:start w:val="1"/>
      <w:numFmt w:val="bullet"/>
      <w:lvlText w:val=""/>
      <w:lvlJc w:val="left"/>
      <w:pPr>
        <w:ind w:left="2880" w:hanging="360"/>
      </w:pPr>
      <w:rPr>
        <w:rFonts w:ascii="Symbol" w:hAnsi="Symbol" w:hint="default"/>
      </w:rPr>
    </w:lvl>
    <w:lvl w:ilvl="4" w:tplc="5A06147C">
      <w:start w:val="1"/>
      <w:numFmt w:val="bullet"/>
      <w:lvlText w:val="o"/>
      <w:lvlJc w:val="left"/>
      <w:pPr>
        <w:ind w:left="3600" w:hanging="360"/>
      </w:pPr>
      <w:rPr>
        <w:rFonts w:ascii="Courier New" w:hAnsi="Courier New" w:hint="default"/>
      </w:rPr>
    </w:lvl>
    <w:lvl w:ilvl="5" w:tplc="25A48C38">
      <w:start w:val="1"/>
      <w:numFmt w:val="bullet"/>
      <w:lvlText w:val=""/>
      <w:lvlJc w:val="left"/>
      <w:pPr>
        <w:ind w:left="4320" w:hanging="360"/>
      </w:pPr>
      <w:rPr>
        <w:rFonts w:ascii="Wingdings" w:hAnsi="Wingdings" w:hint="default"/>
      </w:rPr>
    </w:lvl>
    <w:lvl w:ilvl="6" w:tplc="C428C0F8">
      <w:start w:val="1"/>
      <w:numFmt w:val="bullet"/>
      <w:lvlText w:val=""/>
      <w:lvlJc w:val="left"/>
      <w:pPr>
        <w:ind w:left="5040" w:hanging="360"/>
      </w:pPr>
      <w:rPr>
        <w:rFonts w:ascii="Symbol" w:hAnsi="Symbol" w:hint="default"/>
      </w:rPr>
    </w:lvl>
    <w:lvl w:ilvl="7" w:tplc="82069630">
      <w:start w:val="1"/>
      <w:numFmt w:val="bullet"/>
      <w:lvlText w:val="o"/>
      <w:lvlJc w:val="left"/>
      <w:pPr>
        <w:ind w:left="5760" w:hanging="360"/>
      </w:pPr>
      <w:rPr>
        <w:rFonts w:ascii="Courier New" w:hAnsi="Courier New" w:hint="default"/>
      </w:rPr>
    </w:lvl>
    <w:lvl w:ilvl="8" w:tplc="3CC01548">
      <w:start w:val="1"/>
      <w:numFmt w:val="bullet"/>
      <w:lvlText w:val=""/>
      <w:lvlJc w:val="left"/>
      <w:pPr>
        <w:ind w:left="6480" w:hanging="360"/>
      </w:pPr>
      <w:rPr>
        <w:rFonts w:ascii="Wingdings" w:hAnsi="Wingdings" w:hint="default"/>
      </w:rPr>
    </w:lvl>
  </w:abstractNum>
  <w:num w:numId="1" w16cid:durableId="1868444039">
    <w:abstractNumId w:val="6"/>
  </w:num>
  <w:num w:numId="2" w16cid:durableId="1304963082">
    <w:abstractNumId w:val="5"/>
  </w:num>
  <w:num w:numId="3" w16cid:durableId="869951973">
    <w:abstractNumId w:val="4"/>
  </w:num>
  <w:num w:numId="4" w16cid:durableId="90972635">
    <w:abstractNumId w:val="7"/>
  </w:num>
  <w:num w:numId="5" w16cid:durableId="108940410">
    <w:abstractNumId w:val="2"/>
  </w:num>
  <w:num w:numId="6" w16cid:durableId="216430448">
    <w:abstractNumId w:val="1"/>
  </w:num>
  <w:num w:numId="7" w16cid:durableId="1972902471">
    <w:abstractNumId w:val="0"/>
  </w:num>
  <w:num w:numId="8" w16cid:durableId="14615358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69CB1D"/>
    <w:rsid w:val="002949C9"/>
    <w:rsid w:val="003A58D0"/>
    <w:rsid w:val="008619BC"/>
    <w:rsid w:val="008B017B"/>
    <w:rsid w:val="00A198DA"/>
    <w:rsid w:val="00C8769A"/>
    <w:rsid w:val="00CB30D6"/>
    <w:rsid w:val="01ADBAE4"/>
    <w:rsid w:val="0348CD7D"/>
    <w:rsid w:val="03A5AF97"/>
    <w:rsid w:val="04E82B31"/>
    <w:rsid w:val="05BAA352"/>
    <w:rsid w:val="0614807A"/>
    <w:rsid w:val="081E8400"/>
    <w:rsid w:val="082AC760"/>
    <w:rsid w:val="0A2D3357"/>
    <w:rsid w:val="0B607EB2"/>
    <w:rsid w:val="0BC58FF7"/>
    <w:rsid w:val="0C625127"/>
    <w:rsid w:val="0C795E4F"/>
    <w:rsid w:val="0D39156B"/>
    <w:rsid w:val="0E396492"/>
    <w:rsid w:val="0FF70F0E"/>
    <w:rsid w:val="1007B821"/>
    <w:rsid w:val="1171452E"/>
    <w:rsid w:val="148A9162"/>
    <w:rsid w:val="15AB98C8"/>
    <w:rsid w:val="16D7261C"/>
    <w:rsid w:val="1870E978"/>
    <w:rsid w:val="19AEA507"/>
    <w:rsid w:val="1A2057EC"/>
    <w:rsid w:val="1B047DA9"/>
    <w:rsid w:val="1B5425E2"/>
    <w:rsid w:val="1C683445"/>
    <w:rsid w:val="1CF84798"/>
    <w:rsid w:val="1DADC048"/>
    <w:rsid w:val="20D5F0FE"/>
    <w:rsid w:val="20E71D96"/>
    <w:rsid w:val="242B74E5"/>
    <w:rsid w:val="250809CC"/>
    <w:rsid w:val="261BF88B"/>
    <w:rsid w:val="27A991EA"/>
    <w:rsid w:val="27CAC836"/>
    <w:rsid w:val="2925E0D6"/>
    <w:rsid w:val="29D57A6C"/>
    <w:rsid w:val="2FFEF8E4"/>
    <w:rsid w:val="3023EBF8"/>
    <w:rsid w:val="3048EBFE"/>
    <w:rsid w:val="306FC7D1"/>
    <w:rsid w:val="30EFB471"/>
    <w:rsid w:val="31386887"/>
    <w:rsid w:val="326EF548"/>
    <w:rsid w:val="34A9D597"/>
    <w:rsid w:val="3B56CFCC"/>
    <w:rsid w:val="3C1D7924"/>
    <w:rsid w:val="3D7F513F"/>
    <w:rsid w:val="3FF6DEB4"/>
    <w:rsid w:val="40400EB7"/>
    <w:rsid w:val="4169CB1D"/>
    <w:rsid w:val="417DFC5A"/>
    <w:rsid w:val="41A12073"/>
    <w:rsid w:val="43C47E1E"/>
    <w:rsid w:val="4405DAD3"/>
    <w:rsid w:val="44D0530E"/>
    <w:rsid w:val="459D794A"/>
    <w:rsid w:val="45DF110B"/>
    <w:rsid w:val="49B1539D"/>
    <w:rsid w:val="4C0D8D21"/>
    <w:rsid w:val="4C32C188"/>
    <w:rsid w:val="4ED7A206"/>
    <w:rsid w:val="4FD2EFD6"/>
    <w:rsid w:val="50276C80"/>
    <w:rsid w:val="519CA028"/>
    <w:rsid w:val="51C126A7"/>
    <w:rsid w:val="5410DB9F"/>
    <w:rsid w:val="543C9902"/>
    <w:rsid w:val="571B9933"/>
    <w:rsid w:val="577071B7"/>
    <w:rsid w:val="5A520B94"/>
    <w:rsid w:val="5B436B46"/>
    <w:rsid w:val="5BE88A78"/>
    <w:rsid w:val="5C685259"/>
    <w:rsid w:val="5D7DA093"/>
    <w:rsid w:val="5E65AB50"/>
    <w:rsid w:val="5F33452D"/>
    <w:rsid w:val="5F4BC2FF"/>
    <w:rsid w:val="611475A5"/>
    <w:rsid w:val="624DE791"/>
    <w:rsid w:val="631870CF"/>
    <w:rsid w:val="6497851B"/>
    <w:rsid w:val="64A82F84"/>
    <w:rsid w:val="64B7D8D8"/>
    <w:rsid w:val="65B7F8D6"/>
    <w:rsid w:val="663766A1"/>
    <w:rsid w:val="67003955"/>
    <w:rsid w:val="677D9821"/>
    <w:rsid w:val="685FA383"/>
    <w:rsid w:val="69EC41A8"/>
    <w:rsid w:val="6ACE6148"/>
    <w:rsid w:val="6B95C9FD"/>
    <w:rsid w:val="6C4053BF"/>
    <w:rsid w:val="6D00DB00"/>
    <w:rsid w:val="700EB42C"/>
    <w:rsid w:val="7071A07D"/>
    <w:rsid w:val="71CE1DF7"/>
    <w:rsid w:val="72713B28"/>
    <w:rsid w:val="73045B0D"/>
    <w:rsid w:val="758892C1"/>
    <w:rsid w:val="766FC8C0"/>
    <w:rsid w:val="769442C0"/>
    <w:rsid w:val="77BA3354"/>
    <w:rsid w:val="7843E941"/>
    <w:rsid w:val="795D80E9"/>
    <w:rsid w:val="7D70A29E"/>
    <w:rsid w:val="7D9D2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9CB1D"/>
  <w15:chartTrackingRefBased/>
  <w15:docId w15:val="{560C824E-5D4B-40CE-9C05-D9D1BA1AE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paragraph" w:styleId="Header">
    <w:name w:val="header"/>
    <w:basedOn w:val="Normal"/>
    <w:uiPriority w:val="99"/>
    <w:unhideWhenUsed/>
    <w:rsid w:val="758892C1"/>
    <w:pPr>
      <w:tabs>
        <w:tab w:val="center" w:pos="4680"/>
        <w:tab w:val="right" w:pos="9360"/>
      </w:tabs>
      <w:spacing w:after="0" w:line="240" w:lineRule="auto"/>
    </w:pPr>
  </w:style>
  <w:style w:type="paragraph" w:styleId="Footer">
    <w:name w:val="footer"/>
    <w:basedOn w:val="Normal"/>
    <w:uiPriority w:val="99"/>
    <w:unhideWhenUsed/>
    <w:rsid w:val="758892C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1a24288-5bde-430b-b7db-c6528579611b">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8320F09F0F87469DEFD9DB6C3EDA93" ma:contentTypeVersion="8" ma:contentTypeDescription="Create a new document." ma:contentTypeScope="" ma:versionID="70855ceb1dcd9f959b07ffac8268f8e7">
  <xsd:schema xmlns:xsd="http://www.w3.org/2001/XMLSchema" xmlns:xs="http://www.w3.org/2001/XMLSchema" xmlns:p="http://schemas.microsoft.com/office/2006/metadata/properties" xmlns:ns2="1eb5852d-68dc-4ccc-bfd1-3d2823a895ab" xmlns:ns3="c1a24288-5bde-430b-b7db-c6528579611b" targetNamespace="http://schemas.microsoft.com/office/2006/metadata/properties" ma:root="true" ma:fieldsID="b206362c8da494ca44f5fa9443eb3954" ns2:_="" ns3:_="">
    <xsd:import namespace="1eb5852d-68dc-4ccc-bfd1-3d2823a895ab"/>
    <xsd:import namespace="c1a24288-5bde-430b-b7db-c6528579611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b5852d-68dc-4ccc-bfd1-3d2823a895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a24288-5bde-430b-b7db-c6528579611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96268D-384D-4589-A7FA-428EB43D59B0}">
  <ds:schemaRefs>
    <ds:schemaRef ds:uri="http://schemas.microsoft.com/office/2006/metadata/properties"/>
    <ds:schemaRef ds:uri="http://schemas.microsoft.com/office/infopath/2007/PartnerControls"/>
    <ds:schemaRef ds:uri="c1a24288-5bde-430b-b7db-c6528579611b"/>
  </ds:schemaRefs>
</ds:datastoreItem>
</file>

<file path=customXml/itemProps2.xml><?xml version="1.0" encoding="utf-8"?>
<ds:datastoreItem xmlns:ds="http://schemas.openxmlformats.org/officeDocument/2006/customXml" ds:itemID="{468542BA-ABC2-47C4-9301-63E86DC54885}">
  <ds:schemaRefs>
    <ds:schemaRef ds:uri="http://schemas.microsoft.com/sharepoint/v3/contenttype/forms"/>
  </ds:schemaRefs>
</ds:datastoreItem>
</file>

<file path=customXml/itemProps3.xml><?xml version="1.0" encoding="utf-8"?>
<ds:datastoreItem xmlns:ds="http://schemas.openxmlformats.org/officeDocument/2006/customXml" ds:itemID="{4E83FBD3-3AC7-485D-A384-FC13DD021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b5852d-68dc-4ccc-bfd1-3d2823a895ab"/>
    <ds:schemaRef ds:uri="c1a24288-5bde-430b-b7db-c652857961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4141</Words>
  <Characters>23607</Characters>
  <Application>Microsoft Office Word</Application>
  <DocSecurity>0</DocSecurity>
  <Lines>196</Lines>
  <Paragraphs>55</Paragraphs>
  <ScaleCrop>false</ScaleCrop>
  <Company/>
  <LinksUpToDate>false</LinksUpToDate>
  <CharactersWithSpaces>27693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Sullivan, Jaclyn</dc:creator>
  <cp:keywords/>
  <dc:description/>
  <cp:lastModifiedBy>Berchielli, Jennifer</cp:lastModifiedBy>
  <cp:revision>2</cp:revision>
  <dcterms:created xsi:type="dcterms:W3CDTF">2026-03-12T12:59:00Z</dcterms:created>
  <dcterms:modified xsi:type="dcterms:W3CDTF">2026-03-12T12:59:00Z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0x010100528320F09F0F87469DEFD9DB6C3EDA93</vt:lpwstr>
  </property>
  <property fmtid="{D5CDD505-2E9C-101B-9397-08002B2CF9AE}" pid="3" name="Order">
    <vt:r8>14900</vt:r8>
  </property>
  <property fmtid="{D5CDD505-2E9C-101B-9397-08002B2CF9AE}" pid="4" name="TriggerFlowInfo">
    <vt:lpwstr/>
  </property>
  <property fmtid="{D5CDD505-2E9C-101B-9397-08002B2CF9AE}" pid="5" name="ComplianceAssetId">
    <vt:lpwstr/>
  </property>
  <property fmtid="{D5CDD505-2E9C-101B-9397-08002B2CF9AE}" pid="6" name="_activity">
    <vt:lpwstr>{"FileActivityType":"9","FileActivityTimeStamp":"2024-12-17T15:35:31.167Z","FileActivityUsersOnPage":[{"DisplayName":"Sullivan, Jaclyn","Id":"sullij@elpsk12.org"},{"DisplayName":"Belisle, Lisa","Id":"belisl@elpsk12.org"}],"FileActivityNavigationId":null}</vt:lpwstr>
  </property>
  <property fmtid="{D5CDD505-2E9C-101B-9397-08002B2CF9AE}" pid="7" name="_ExtendedDescription">
    <vt:lpwstr/>
  </property>
</Properties>
</file>