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A17E" w14:textId="6B2D2B69" w:rsidR="00B642E6" w:rsidRDefault="00B642E6" w:rsidP="00B642E6">
      <w:pPr>
        <w:pStyle w:val="Header"/>
        <w:tabs>
          <w:tab w:val="clear" w:pos="4320"/>
        </w:tabs>
        <w:jc w:val="center"/>
        <w:rPr>
          <w:rFonts w:ascii="Minion Pro SmBd" w:hAnsi="Minion Pro SmBd" w:cs="Calibri"/>
          <w:b/>
          <w:bCs/>
          <w:smallCaps/>
          <w:noProof/>
          <w:sz w:val="28"/>
          <w:szCs w:val="28"/>
        </w:rPr>
      </w:pPr>
      <w:r>
        <w:rPr>
          <w:rFonts w:ascii="Minion Pro SmBd" w:hAnsi="Minion Pro SmBd" w:cs="Calibri"/>
          <w:b/>
          <w:bCs/>
          <w:smallCaps/>
          <w:noProof/>
          <w:sz w:val="28"/>
          <w:szCs w:val="28"/>
        </w:rPr>
        <w:drawing>
          <wp:inline distT="0" distB="0" distL="0" distR="0" wp14:anchorId="7B80E439" wp14:editId="3936E5DC">
            <wp:extent cx="666750" cy="666750"/>
            <wp:effectExtent l="0" t="0" r="0" b="0"/>
            <wp:docPr id="1595778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50F553C" w14:textId="77777777" w:rsidR="00B642E6" w:rsidRPr="00F35AC1" w:rsidRDefault="00B642E6" w:rsidP="00B642E6">
      <w:pPr>
        <w:pStyle w:val="Header"/>
        <w:tabs>
          <w:tab w:val="clear" w:pos="4320"/>
        </w:tabs>
        <w:jc w:val="center"/>
        <w:rPr>
          <w:rFonts w:ascii="Minion Pro SmBd" w:hAnsi="Minion Pro SmBd" w:cs="Calibri"/>
          <w:b/>
          <w:bCs/>
          <w:smallCaps/>
          <w:noProof/>
        </w:rPr>
      </w:pPr>
      <w:r w:rsidRPr="00F35AC1">
        <w:rPr>
          <w:rFonts w:ascii="Minion Pro SmBd" w:hAnsi="Minion Pro SmBd" w:cs="Calibri"/>
          <w:b/>
          <w:bCs/>
          <w:smallCaps/>
          <w:noProof/>
        </w:rPr>
        <w:t xml:space="preserve">Melrose high school </w:t>
      </w:r>
    </w:p>
    <w:p w14:paraId="2845BF62" w14:textId="7E43A01D" w:rsidR="00B642E6" w:rsidRDefault="00B642E6" w:rsidP="00B642E6">
      <w:r>
        <w:rPr>
          <w:noProof/>
        </w:rPr>
        <mc:AlternateContent>
          <mc:Choice Requires="wps">
            <w:drawing>
              <wp:anchor distT="4294967294" distB="4294967294" distL="114300" distR="114300" simplePos="0" relativeHeight="251659264" behindDoc="0" locked="0" layoutInCell="1" allowOverlap="1" wp14:anchorId="179FCD35" wp14:editId="772915BE">
                <wp:simplePos x="0" y="0"/>
                <wp:positionH relativeFrom="margin">
                  <wp:align>center</wp:align>
                </wp:positionH>
                <wp:positionV relativeFrom="paragraph">
                  <wp:posOffset>99060</wp:posOffset>
                </wp:positionV>
                <wp:extent cx="6766560" cy="0"/>
                <wp:effectExtent l="57150" t="76200" r="72390" b="9525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25400">
                          <a:solidFill>
                            <a:srgbClr val="4F81BD"/>
                          </a:solidFill>
                          <a:round/>
                          <a:headEnd/>
                          <a:tailEnd/>
                        </a:ln>
                        <a:effectLst>
                          <a:outerShdw blurRad="635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61C78C8" id="Straight Connector 5" o:spid="_x0000_s1026" style="position:absolute;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margin;mso-height-relative:margin" from="0,7.8pt" to="532.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" strokecolor="#4f81bd" strokeweight="2pt">
                <v:shadow on="t" color="black" opacity="24903f" origin=",.5" offset="0,0"/>
                <w10:wrap anchorx="margin"/>
              </v:line>
            </w:pict>
          </mc:Fallback>
        </mc:AlternateContent>
      </w:r>
      <w:r>
        <w:rPr>
          <w:noProof/>
        </w:rPr>
        <mc:AlternateContent>
          <mc:Choice Requires="wps">
            <w:drawing>
              <wp:anchor distT="0" distB="0" distL="114300" distR="114300" simplePos="0" relativeHeight="251661312" behindDoc="0" locked="0" layoutInCell="1" allowOverlap="1" wp14:anchorId="68901BA1" wp14:editId="046D0DEA">
                <wp:simplePos x="0" y="0"/>
                <wp:positionH relativeFrom="column">
                  <wp:posOffset>4334510</wp:posOffset>
                </wp:positionH>
                <wp:positionV relativeFrom="paragraph">
                  <wp:posOffset>152400</wp:posOffset>
                </wp:positionV>
                <wp:extent cx="1598930" cy="704850"/>
                <wp:effectExtent l="0" t="0" r="0" b="0"/>
                <wp:wrapThrough wrapText="bothSides">
                  <wp:wrapPolygon edited="0">
                    <wp:start x="515" y="0"/>
                    <wp:lineTo x="515" y="21016"/>
                    <wp:lineTo x="20845" y="21016"/>
                    <wp:lineTo x="20845" y="0"/>
                    <wp:lineTo x="515" y="0"/>
                  </wp:wrapPolygon>
                </wp:wrapThrough>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704850"/>
                        </a:xfrm>
                        <a:prstGeom prst="rect">
                          <a:avLst/>
                        </a:prstGeom>
                        <a:noFill/>
                        <a:ln>
                          <a:noFill/>
                        </a:ln>
                        <a:effectLst/>
                      </wps:spPr>
                      <wps:txbx>
                        <w:txbxContent>
                          <w:p w14:paraId="7D3C2B62"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Stephen Payne</w:t>
                            </w:r>
                          </w:p>
                          <w:p w14:paraId="08594046"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Tia Wells-Stuckey</w:t>
                            </w:r>
                          </w:p>
                          <w:p w14:paraId="63035FAC" w14:textId="77777777" w:rsidR="00B642E6" w:rsidRPr="004D476D" w:rsidRDefault="00B642E6" w:rsidP="00B642E6">
                            <w:pPr>
                              <w:spacing w:after="0" w:line="240" w:lineRule="auto"/>
                              <w:jc w:val="center"/>
                              <w:rPr>
                                <w:rFonts w:ascii="Minion Pro" w:hAnsi="Minion Pro"/>
                                <w:b/>
                                <w:i/>
                              </w:rPr>
                            </w:pPr>
                            <w:r w:rsidRPr="004D476D">
                              <w:rPr>
                                <w:rFonts w:ascii="Minion Pro" w:hAnsi="Minion Pro"/>
                                <w:b/>
                                <w:i/>
                              </w:rPr>
                              <w:t>Assistant Principals</w:t>
                            </w:r>
                          </w:p>
                          <w:p w14:paraId="137A23B3" w14:textId="77777777" w:rsidR="00B642E6" w:rsidRPr="007D2621" w:rsidRDefault="00B642E6" w:rsidP="00B642E6">
                            <w:pPr>
                              <w:spacing w:after="0" w:line="240" w:lineRule="auto"/>
                              <w:jc w:val="center"/>
                              <w:rPr>
                                <w:rFonts w:ascii="Minion Pro" w:hAnsi="Minion Pro"/>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901BA1" id="_x0000_t202" coordsize="21600,21600" o:spt="202" path="m,l,21600r21600,l21600,xe">
                <v:stroke joinstyle="miter"/>
                <v:path gradientshapeok="t" o:connecttype="rect"/>
              </v:shapetype>
              <v:shape id="Text Box 3" o:spid="_x0000_s1026" type="#_x0000_t202" style="position:absolute;margin-left:341.3pt;margin-top:12pt;width:125.9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" filled="f" stroked="f">
                <v:textbox>
                  <w:txbxContent>
                    <w:p w14:paraId="7D3C2B62"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Stephen Payne</w:t>
                      </w:r>
                    </w:p>
                    <w:p w14:paraId="08594046"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Tia Wells-Stuckey</w:t>
                      </w:r>
                    </w:p>
                    <w:p w14:paraId="63035FAC" w14:textId="77777777" w:rsidR="00B642E6" w:rsidRPr="004D476D" w:rsidRDefault="00B642E6" w:rsidP="00B642E6">
                      <w:pPr>
                        <w:spacing w:after="0" w:line="240" w:lineRule="auto"/>
                        <w:jc w:val="center"/>
                        <w:rPr>
                          <w:rFonts w:ascii="Minion Pro" w:hAnsi="Minion Pro"/>
                          <w:b/>
                          <w:i/>
                        </w:rPr>
                      </w:pPr>
                      <w:r w:rsidRPr="004D476D">
                        <w:rPr>
                          <w:rFonts w:ascii="Minion Pro" w:hAnsi="Minion Pro"/>
                          <w:b/>
                          <w:i/>
                        </w:rPr>
                        <w:t>Assistant Principals</w:t>
                      </w:r>
                    </w:p>
                    <w:p w14:paraId="137A23B3" w14:textId="77777777" w:rsidR="00B642E6" w:rsidRPr="007D2621" w:rsidRDefault="00B642E6" w:rsidP="00B642E6">
                      <w:pPr>
                        <w:spacing w:after="0" w:line="240" w:lineRule="auto"/>
                        <w:jc w:val="center"/>
                        <w:rPr>
                          <w:rFonts w:ascii="Minion Pro" w:hAnsi="Minion Pro"/>
                          <w:i/>
                          <w:sz w:val="20"/>
                          <w:szCs w:val="20"/>
                        </w:rPr>
                      </w:pPr>
                    </w:p>
                  </w:txbxContent>
                </v:textbox>
                <w10:wrap type="through"/>
              </v:shape>
            </w:pict>
          </mc:Fallback>
        </mc:AlternateContent>
      </w:r>
      <w:r>
        <w:rPr>
          <w:noProof/>
        </w:rPr>
        <mc:AlternateContent>
          <mc:Choice Requires="wps">
            <w:drawing>
              <wp:anchor distT="0" distB="0" distL="114300" distR="114300" simplePos="0" relativeHeight="251660288" behindDoc="0" locked="0" layoutInCell="1" allowOverlap="1" wp14:anchorId="40BC6C9E" wp14:editId="6FA1441C">
                <wp:simplePos x="0" y="0"/>
                <wp:positionH relativeFrom="column">
                  <wp:posOffset>-466090</wp:posOffset>
                </wp:positionH>
                <wp:positionV relativeFrom="paragraph">
                  <wp:posOffset>193675</wp:posOffset>
                </wp:positionV>
                <wp:extent cx="1504950" cy="485775"/>
                <wp:effectExtent l="0" t="0" r="0" b="9525"/>
                <wp:wrapThrough wrapText="bothSides">
                  <wp:wrapPolygon edited="0">
                    <wp:start x="547" y="0"/>
                    <wp:lineTo x="547" y="21176"/>
                    <wp:lineTo x="20780" y="21176"/>
                    <wp:lineTo x="20780" y="0"/>
                    <wp:lineTo x="547" y="0"/>
                  </wp:wrapPolygon>
                </wp:wrapThrough>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0" cy="485775"/>
                        </a:xfrm>
                        <a:prstGeom prst="rect">
                          <a:avLst/>
                        </a:prstGeom>
                        <a:noFill/>
                        <a:ln>
                          <a:noFill/>
                        </a:ln>
                        <a:effectLst/>
                      </wps:spPr>
                      <wps:txbx>
                        <w:txbxContent>
                          <w:p w14:paraId="1AC05EC3" w14:textId="77777777" w:rsidR="00B642E6" w:rsidRPr="00366CFC" w:rsidRDefault="00B642E6" w:rsidP="00B642E6">
                            <w:pPr>
                              <w:spacing w:after="0" w:line="240" w:lineRule="auto"/>
                              <w:rPr>
                                <w:rFonts w:ascii="Times New Roman" w:hAnsi="Times New Roman"/>
                                <w:sz w:val="24"/>
                                <w:szCs w:val="24"/>
                              </w:rPr>
                            </w:pPr>
                            <w:r w:rsidRPr="00366CFC">
                              <w:rPr>
                                <w:rFonts w:ascii="Times New Roman" w:hAnsi="Times New Roman"/>
                                <w:sz w:val="24"/>
                                <w:szCs w:val="24"/>
                              </w:rPr>
                              <w:t>Andrea Y. Talley</w:t>
                            </w:r>
                          </w:p>
                          <w:p w14:paraId="610022A6" w14:textId="77777777" w:rsidR="00B642E6" w:rsidRPr="00366CFC" w:rsidRDefault="00B642E6" w:rsidP="00B642E6">
                            <w:pPr>
                              <w:spacing w:after="0" w:line="240" w:lineRule="auto"/>
                              <w:rPr>
                                <w:rFonts w:ascii="Times New Roman" w:hAnsi="Times New Roman"/>
                                <w:b/>
                                <w:bCs/>
                                <w:i/>
                                <w:sz w:val="24"/>
                                <w:szCs w:val="24"/>
                              </w:rPr>
                            </w:pPr>
                            <w:r w:rsidRPr="00366CFC">
                              <w:rPr>
                                <w:rFonts w:ascii="Times New Roman" w:hAnsi="Times New Roman"/>
                                <w:b/>
                                <w:bCs/>
                                <w:i/>
                                <w:sz w:val="24"/>
                                <w:szCs w:val="24"/>
                              </w:rPr>
                              <w:t>Principal</w:t>
                            </w:r>
                          </w:p>
                          <w:p w14:paraId="5D3E22E7" w14:textId="77777777" w:rsidR="00B642E6" w:rsidRPr="007D2621" w:rsidRDefault="00B642E6" w:rsidP="00B642E6">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C6C9E" id="Text Box 7" o:spid="_x0000_s1027" type="#_x0000_t202" style="position:absolute;margin-left:-36.7pt;margin-top:15.25pt;width:118.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" filled="f" stroked="f">
                <v:textbox>
                  <w:txbxContent>
                    <w:p w14:paraId="1AC05EC3" w14:textId="77777777" w:rsidR="00B642E6" w:rsidRPr="00366CFC" w:rsidRDefault="00B642E6" w:rsidP="00B642E6">
                      <w:pPr>
                        <w:spacing w:after="0" w:line="240" w:lineRule="auto"/>
                        <w:rPr>
                          <w:rFonts w:ascii="Times New Roman" w:hAnsi="Times New Roman"/>
                          <w:sz w:val="24"/>
                          <w:szCs w:val="24"/>
                        </w:rPr>
                      </w:pPr>
                      <w:r w:rsidRPr="00366CFC">
                        <w:rPr>
                          <w:rFonts w:ascii="Times New Roman" w:hAnsi="Times New Roman"/>
                          <w:sz w:val="24"/>
                          <w:szCs w:val="24"/>
                        </w:rPr>
                        <w:t>Andrea Y. Talley</w:t>
                      </w:r>
                    </w:p>
                    <w:p w14:paraId="610022A6" w14:textId="77777777" w:rsidR="00B642E6" w:rsidRPr="00366CFC" w:rsidRDefault="00B642E6" w:rsidP="00B642E6">
                      <w:pPr>
                        <w:spacing w:after="0" w:line="240" w:lineRule="auto"/>
                        <w:rPr>
                          <w:rFonts w:ascii="Times New Roman" w:hAnsi="Times New Roman"/>
                          <w:b/>
                          <w:bCs/>
                          <w:i/>
                          <w:sz w:val="24"/>
                          <w:szCs w:val="24"/>
                        </w:rPr>
                      </w:pPr>
                      <w:r w:rsidRPr="00366CFC">
                        <w:rPr>
                          <w:rFonts w:ascii="Times New Roman" w:hAnsi="Times New Roman"/>
                          <w:b/>
                          <w:bCs/>
                          <w:i/>
                          <w:sz w:val="24"/>
                          <w:szCs w:val="24"/>
                        </w:rPr>
                        <w:t>Principal</w:t>
                      </w:r>
                    </w:p>
                    <w:p w14:paraId="5D3E22E7" w14:textId="77777777" w:rsidR="00B642E6" w:rsidRPr="007D2621" w:rsidRDefault="00B642E6" w:rsidP="00B642E6">
                      <w:pPr>
                        <w:rPr>
                          <w:b/>
                          <w:bCs/>
                        </w:rPr>
                      </w:pPr>
                    </w:p>
                  </w:txbxContent>
                </v:textbox>
                <w10:wrap type="through"/>
              </v:shape>
            </w:pict>
          </mc:Fallback>
        </mc:AlternateContent>
      </w:r>
    </w:p>
    <w:p w14:paraId="16CBCB40" w14:textId="23442D09" w:rsidR="00B642E6" w:rsidRDefault="00B642E6" w:rsidP="00B642E6">
      <w:pPr>
        <w:spacing w:after="0" w:line="240" w:lineRule="auto"/>
        <w:jc w:val="both"/>
        <w:rPr>
          <w:rFonts w:ascii="Times New Roman" w:eastAsia="Times New Roman" w:hAnsi="Times New Roman"/>
          <w:sz w:val="24"/>
          <w:szCs w:val="20"/>
        </w:rPr>
      </w:pPr>
    </w:p>
    <w:p w14:paraId="23411604" w14:textId="77777777" w:rsidR="00B642E6" w:rsidRDefault="00B642E6" w:rsidP="00B642E6">
      <w:pPr>
        <w:spacing w:after="0" w:line="240" w:lineRule="auto"/>
        <w:jc w:val="both"/>
        <w:rPr>
          <w:rFonts w:ascii="Times New Roman" w:eastAsia="Times New Roman" w:hAnsi="Times New Roman"/>
          <w:sz w:val="24"/>
          <w:szCs w:val="20"/>
        </w:rPr>
      </w:pPr>
    </w:p>
    <w:p w14:paraId="12F66109" w14:textId="77777777" w:rsidR="00B642E6" w:rsidRDefault="00B642E6" w:rsidP="00B642E6">
      <w:pPr>
        <w:shd w:val="clear" w:color="auto" w:fill="FFFFFF"/>
        <w:spacing w:after="0" w:line="240" w:lineRule="auto"/>
        <w:rPr>
          <w:rFonts w:eastAsia="Times New Roman"/>
          <w:color w:val="000000"/>
          <w:sz w:val="24"/>
          <w:szCs w:val="24"/>
          <w:shd w:val="clear" w:color="auto" w:fill="FFFFFF"/>
        </w:rPr>
      </w:pPr>
    </w:p>
    <w:p w14:paraId="10F557FC" w14:textId="7E6CFCF9" w:rsidR="00B642E6" w:rsidRPr="007B1F10" w:rsidRDefault="00B642E6" w:rsidP="00B642E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Melrose High School </w:t>
      </w:r>
    </w:p>
    <w:p w14:paraId="2F3D1D7D" w14:textId="054DBB28" w:rsidR="00B642E6" w:rsidRPr="007B1F10" w:rsidRDefault="00B642E6" w:rsidP="00B642E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2870 Deadrick Ave.   </w:t>
      </w:r>
    </w:p>
    <w:p w14:paraId="56A10E10" w14:textId="1E558CBD" w:rsidR="00B642E6" w:rsidRPr="007B1F10" w:rsidRDefault="00B642E6" w:rsidP="00B642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7B1F10">
        <w:rPr>
          <w:rFonts w:ascii="Times New Roman" w:eastAsia="Times New Roman" w:hAnsi="Times New Roman"/>
          <w:sz w:val="24"/>
          <w:szCs w:val="24"/>
        </w:rPr>
        <w:t xml:space="preserve">Memphis, TN </w:t>
      </w:r>
      <w:r>
        <w:rPr>
          <w:rFonts w:ascii="Times New Roman" w:eastAsia="Times New Roman" w:hAnsi="Times New Roman"/>
          <w:sz w:val="24"/>
          <w:szCs w:val="24"/>
        </w:rPr>
        <w:t>38114</w:t>
      </w:r>
    </w:p>
    <w:p w14:paraId="753267ED" w14:textId="77777777" w:rsidR="00FE3EDC" w:rsidRPr="00FE3EDC" w:rsidRDefault="00FE3EDC" w:rsidP="00FE3EDC">
      <w:pPr>
        <w:spacing w:after="0" w:line="240" w:lineRule="auto"/>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Estimado padre o tutor,</w:t>
      </w:r>
    </w:p>
    <w:p w14:paraId="29C9DD9E" w14:textId="77777777" w:rsidR="00FE3EDC" w:rsidRPr="00FE3EDC" w:rsidRDefault="00FE3EDC" w:rsidP="00FE3EDC">
      <w:pPr>
        <w:spacing w:after="0" w:line="240" w:lineRule="auto"/>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 </w:t>
      </w:r>
    </w:p>
    <w:p w14:paraId="4047CD3E" w14:textId="77777777" w:rsidR="00FE3EDC" w:rsidRPr="00FE3EDC" w:rsidRDefault="00FE3EDC" w:rsidP="00FE3EDC">
      <w:pPr>
        <w:spacing w:after="0" w:line="240" w:lineRule="auto"/>
        <w:contextualSpacing/>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Cada año, el Departamento de Educación de Tennessee examina el rendimiento de las escuelas en varios indicadores diferentes para ofrecer una visión global de cómo están atendiendo las necesidades de todos los estudiantes. El departamento de educación incluyó los siguientes indicadores en su análisis de la rendición de cuentas escolar:</w:t>
      </w:r>
    </w:p>
    <w:p w14:paraId="1D998B02"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sectPr w:rsidR="00FE3EDC" w:rsidRPr="00FE3EDC" w:rsidSect="00FE3EDC">
          <w:footerReference w:type="default" r:id="rId8"/>
          <w:type w:val="continuous"/>
          <w:pgSz w:w="12240" w:h="15840"/>
          <w:pgMar w:top="1440" w:right="1440" w:bottom="1440" w:left="1440" w:header="720" w:footer="720" w:gutter="0"/>
          <w:cols w:space="720"/>
          <w:docGrid w:linePitch="360"/>
        </w:sectPr>
      </w:pPr>
    </w:p>
    <w:p w14:paraId="26768A25"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pPr>
      <w:r w:rsidRPr="00FE3EDC">
        <w:rPr>
          <w:rFonts w:asciiTheme="minorHAnsi" w:eastAsia="Open Sans" w:hAnsiTheme="minorHAnsi" w:cs="Open Sans"/>
          <w:sz w:val="20"/>
          <w:szCs w:val="20"/>
          <w:lang w:bidi="en-US"/>
        </w:rPr>
        <w:t>Logro estudiantil</w:t>
      </w:r>
    </w:p>
    <w:p w14:paraId="2C9E6CAF"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pPr>
      <w:r w:rsidRPr="00FE3EDC">
        <w:rPr>
          <w:rFonts w:asciiTheme="minorHAnsi" w:eastAsia="Open Sans" w:hAnsiTheme="minorHAnsi" w:cs="Open Sans"/>
          <w:sz w:val="20"/>
          <w:szCs w:val="20"/>
          <w:lang w:bidi="en-US"/>
        </w:rPr>
        <w:t>Crecimiento estudiantil</w:t>
      </w:r>
    </w:p>
    <w:p w14:paraId="54BC34BD"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pPr>
      <w:r w:rsidRPr="00FE3EDC">
        <w:rPr>
          <w:rFonts w:asciiTheme="minorHAnsi" w:eastAsia="Open Sans" w:hAnsiTheme="minorHAnsi" w:cs="Open Sans"/>
          <w:sz w:val="20"/>
          <w:szCs w:val="20"/>
          <w:lang w:bidi="en-US"/>
        </w:rPr>
        <w:t>Examen de competencia para estudiantes de inglés (ELPA)</w:t>
      </w:r>
    </w:p>
    <w:p w14:paraId="53401538"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pPr>
      <w:r w:rsidRPr="00FE3EDC">
        <w:rPr>
          <w:rFonts w:asciiTheme="minorHAnsi" w:eastAsia="Open Sans" w:hAnsiTheme="minorHAnsi" w:cs="Open Sans"/>
          <w:sz w:val="20"/>
          <w:szCs w:val="20"/>
          <w:lang w:bidi="en-US"/>
        </w:rPr>
        <w:t>Absentismo crónico</w:t>
      </w:r>
    </w:p>
    <w:p w14:paraId="5C7AE806"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pPr>
      <w:r w:rsidRPr="00FE3EDC">
        <w:rPr>
          <w:rFonts w:asciiTheme="minorHAnsi" w:eastAsia="Open Sans" w:hAnsiTheme="minorHAnsi" w:cs="Open Sans"/>
          <w:sz w:val="20"/>
          <w:szCs w:val="20"/>
          <w:lang w:bidi="en-US"/>
        </w:rPr>
        <w:t>Ready graduate (solo bachillerato)</w:t>
      </w:r>
    </w:p>
    <w:p w14:paraId="7224107C" w14:textId="77777777" w:rsidR="00FE3EDC" w:rsidRPr="00FE3EDC" w:rsidRDefault="00FE3EDC" w:rsidP="00FE3EDC">
      <w:pPr>
        <w:widowControl w:val="0"/>
        <w:numPr>
          <w:ilvl w:val="0"/>
          <w:numId w:val="2"/>
        </w:numPr>
        <w:autoSpaceDE w:val="0"/>
        <w:autoSpaceDN w:val="0"/>
        <w:spacing w:after="0" w:line="259" w:lineRule="auto"/>
        <w:ind w:right="423"/>
        <w:contextualSpacing/>
        <w:rPr>
          <w:rFonts w:asciiTheme="minorHAnsi" w:eastAsia="Open Sans" w:hAnsiTheme="minorHAnsi" w:cs="Open Sans"/>
          <w:sz w:val="20"/>
          <w:szCs w:val="20"/>
          <w:lang w:bidi="en-US"/>
        </w:rPr>
      </w:pPr>
      <w:r w:rsidRPr="00FE3EDC">
        <w:rPr>
          <w:rFonts w:asciiTheme="minorHAnsi" w:eastAsia="Open Sans" w:hAnsiTheme="minorHAnsi" w:cs="Open Sans"/>
          <w:sz w:val="20"/>
          <w:szCs w:val="20"/>
          <w:lang w:bidi="en-US"/>
        </w:rPr>
        <w:t>Tasa de graduación (solo en secundaria)</w:t>
      </w:r>
    </w:p>
    <w:p w14:paraId="6C994ADF" w14:textId="77777777" w:rsidR="00FE3EDC" w:rsidRPr="00FE3EDC" w:rsidRDefault="00FE3EDC" w:rsidP="00FE3EDC">
      <w:pPr>
        <w:spacing w:after="0" w:line="240" w:lineRule="auto"/>
        <w:contextualSpacing/>
        <w:textAlignment w:val="baseline"/>
        <w:rPr>
          <w:rFonts w:asciiTheme="minorHAnsi" w:eastAsia="Times New Roman" w:hAnsiTheme="minorHAnsi" w:cs="Open Sans"/>
          <w:sz w:val="20"/>
          <w:szCs w:val="20"/>
        </w:rPr>
        <w:sectPr w:rsidR="00FE3EDC" w:rsidRPr="00FE3EDC" w:rsidSect="00FE3EDC">
          <w:type w:val="continuous"/>
          <w:pgSz w:w="12240" w:h="15840"/>
          <w:pgMar w:top="1440" w:right="1440" w:bottom="1440" w:left="1440" w:header="720" w:footer="720" w:gutter="0"/>
          <w:cols w:num="2" w:space="720"/>
          <w:docGrid w:linePitch="360"/>
        </w:sectPr>
      </w:pPr>
    </w:p>
    <w:p w14:paraId="4FDA4785" w14:textId="77777777" w:rsidR="00FE3EDC" w:rsidRPr="00FE3EDC" w:rsidRDefault="00FE3EDC" w:rsidP="00FE3EDC">
      <w:pPr>
        <w:spacing w:after="0" w:line="240" w:lineRule="auto"/>
        <w:contextualSpacing/>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 </w:t>
      </w:r>
    </w:p>
    <w:p w14:paraId="03F6928F" w14:textId="77777777" w:rsidR="00FE3EDC" w:rsidRPr="00FE3EDC" w:rsidRDefault="00FE3EDC" w:rsidP="00FE3EDC">
      <w:pPr>
        <w:spacing w:after="0" w:line="240" w:lineRule="auto"/>
        <w:contextualSpacing/>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 xml:space="preserve">Más información sobre cada uno de estos indicadores y los datos utilizados para definirlos puede encontrarse en el </w:t>
      </w:r>
      <w:hyperlink r:id="rId9" w:tgtFrame="_blank" w:tooltip="https://www.tn.gov/content/dam/tn/education/accountability/2024-25_Federal_Accountability_Protocol.pdf" w:history="1">
        <w:r w:rsidRPr="00FE3EDC">
          <w:rPr>
            <w:rFonts w:asciiTheme="minorHAnsi" w:eastAsia="Times New Roman" w:hAnsiTheme="minorHAnsi" w:cs="Open Sans"/>
            <w:color w:val="467886"/>
            <w:sz w:val="20"/>
            <w:szCs w:val="20"/>
            <w:u w:val="single"/>
            <w:bdr w:val="none" w:sz="0" w:space="0" w:color="auto" w:frame="1"/>
          </w:rPr>
          <w:br/>
        </w:r>
        <w:hyperlink r:id="rId10" w:tooltip="https://www.tn.gov/content/dam/tn/education/accountability/2024-25%20Federal%20Accountability%20Protocol%201.pdf" w:history="1">
          <w:r w:rsidRPr="00FE3EDC">
            <w:rPr>
              <w:rFonts w:asciiTheme="minorHAnsi" w:eastAsia="Times New Roman" w:hAnsiTheme="minorHAnsi" w:cs="Open Sans"/>
              <w:color w:val="0563C1"/>
              <w:sz w:val="20"/>
              <w:szCs w:val="20"/>
              <w:u w:val="single"/>
              <w:bdr w:val="none" w:sz="0" w:space="0" w:color="auto" w:frame="1"/>
            </w:rPr>
            <w:t>Protocolo Federal de Responsabilidad 2024-25</w:t>
          </w:r>
        </w:hyperlink>
      </w:hyperlink>
      <w:r w:rsidRPr="00FE3EDC">
        <w:rPr>
          <w:rFonts w:asciiTheme="minorHAnsi" w:eastAsia="Times New Roman" w:hAnsiTheme="minorHAnsi" w:cs="Open Sans"/>
          <w:sz w:val="20"/>
          <w:szCs w:val="20"/>
        </w:rPr>
        <w:t>.  Según la Ley Federal Every Student Succeeds Act (ESSA), el departamento está obligado a utilizar los resultados de rendición de cuentas escolares para identificar aquellas escuelas con el menor rendimiento en todos los grupos estudiantiles (por ejemplo, grupos estudiantiles raciales/étnicos individuales, estudiantes con discapacidad, desfavorecidos económicamente y estudiantes de inglés). Estas escuelas recibirán apoyos adicionales del departamento. </w:t>
      </w:r>
    </w:p>
    <w:p w14:paraId="2561383D" w14:textId="77777777" w:rsidR="00FE3EDC" w:rsidRPr="00FE3EDC" w:rsidRDefault="00FE3EDC" w:rsidP="00FE3EDC">
      <w:pPr>
        <w:spacing w:after="0" w:line="240" w:lineRule="auto"/>
        <w:contextualSpacing/>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 </w:t>
      </w:r>
    </w:p>
    <w:p w14:paraId="1DB75028" w14:textId="77777777" w:rsidR="00FE3EDC" w:rsidRPr="00FE3EDC" w:rsidRDefault="00FE3EDC" w:rsidP="00FE3EDC">
      <w:pPr>
        <w:spacing w:after="0" w:line="240" w:lineRule="auto"/>
        <w:contextualSpacing/>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 xml:space="preserve">Le escribimos para informarle de que </w:t>
      </w:r>
      <w:r w:rsidRPr="00FE3EDC">
        <w:rPr>
          <w:rFonts w:asciiTheme="minorHAnsi" w:eastAsia="Times New Roman" w:hAnsiTheme="minorHAnsi" w:cs="Open Sans"/>
          <w:b/>
          <w:bCs/>
          <w:sz w:val="20"/>
          <w:szCs w:val="20"/>
        </w:rPr>
        <w:t>el Instituto Melrose</w:t>
      </w:r>
      <w:r w:rsidRPr="00FE3EDC">
        <w:rPr>
          <w:rFonts w:asciiTheme="minorHAnsi" w:eastAsia="Times New Roman" w:hAnsiTheme="minorHAnsi" w:cs="Open Sans"/>
          <w:sz w:val="20"/>
          <w:szCs w:val="20"/>
        </w:rPr>
        <w:t xml:space="preserve"> está identificado para el Programa de Apoyo y Mejora Integral (CSI) según lo requieran la ESSA y el Departamento de Educación de EE. UU. durante el curso escolar 2025-26. </w:t>
      </w:r>
    </w:p>
    <w:p w14:paraId="1C8AD9C3" w14:textId="77777777" w:rsidR="00FE3EDC" w:rsidRPr="00FE3EDC" w:rsidRDefault="00FE3EDC" w:rsidP="00FE3EDC">
      <w:pPr>
        <w:spacing w:after="0" w:line="240" w:lineRule="auto"/>
        <w:contextualSpacing/>
        <w:textAlignment w:val="baseline"/>
        <w:rPr>
          <w:rFonts w:asciiTheme="minorHAnsi" w:eastAsia="Times New Roman" w:hAnsiTheme="minorHAnsi" w:cs="Segoe UI"/>
          <w:sz w:val="20"/>
          <w:szCs w:val="20"/>
        </w:rPr>
      </w:pPr>
      <w:r w:rsidRPr="00FE3EDC">
        <w:rPr>
          <w:rFonts w:asciiTheme="minorHAnsi" w:eastAsia="Times New Roman" w:hAnsiTheme="minorHAnsi" w:cs="Open Sans"/>
          <w:sz w:val="20"/>
          <w:szCs w:val="20"/>
        </w:rPr>
        <w:t> </w:t>
      </w:r>
    </w:p>
    <w:p w14:paraId="15D0CF68" w14:textId="77777777" w:rsidR="00FE3EDC" w:rsidRPr="00FE3EDC" w:rsidRDefault="00FE3EDC" w:rsidP="00FE3EDC">
      <w:pPr>
        <w:spacing w:after="0" w:line="240" w:lineRule="auto"/>
        <w:contextualSpacing/>
        <w:textAlignment w:val="baseline"/>
        <w:rPr>
          <w:rFonts w:asciiTheme="minorHAnsi" w:eastAsia="Times New Roman" w:hAnsiTheme="minorHAnsi"/>
          <w:sz w:val="20"/>
          <w:szCs w:val="20"/>
        </w:rPr>
      </w:pPr>
      <w:r w:rsidRPr="00FE3EDC">
        <w:rPr>
          <w:rFonts w:asciiTheme="minorHAnsi" w:eastAsia="Times New Roman" w:hAnsiTheme="minorHAnsi" w:cs="Open Sans"/>
          <w:sz w:val="20"/>
          <w:szCs w:val="20"/>
        </w:rPr>
        <w:t xml:space="preserve">Nuestro centro está trabajando intensamente con el distrito y el Departamento de Educación de Tennessee para mejorar el rendimiento de los estudiantes mejorando </w:t>
      </w:r>
      <w:r w:rsidRPr="00FE3EDC">
        <w:rPr>
          <w:rFonts w:asciiTheme="minorHAnsi" w:eastAsia="Times New Roman" w:hAnsiTheme="minorHAnsi" w:cs="Open Sans"/>
          <w:b/>
          <w:bCs/>
          <w:sz w:val="20"/>
          <w:szCs w:val="20"/>
        </w:rPr>
        <w:t xml:space="preserve">la enseñanza diaria, supervisando regularmente el progreso de los alumnos, proporcionando apoyo académico adicional cuando sea necesario, centrándose en los estándares de aprendizaje esenciales y aumentando las oportunidades que preparan a los estudiantes para el éxito tras el instituto. </w:t>
      </w:r>
      <w:r w:rsidRPr="00FE3EDC">
        <w:rPr>
          <w:rFonts w:asciiTheme="minorHAnsi" w:eastAsia="Times New Roman" w:hAnsiTheme="minorHAnsi" w:cs="Open Sans"/>
          <w:sz w:val="20"/>
          <w:szCs w:val="20"/>
        </w:rPr>
        <w:t xml:space="preserve">Te animamos a que ayudes participando en el desarrollo e implementación de nuestro plan de mejora escolar y/o </w:t>
      </w:r>
      <w:r w:rsidRPr="00FE3EDC">
        <w:rPr>
          <w:rFonts w:asciiTheme="minorHAnsi" w:eastAsia="Times New Roman" w:hAnsiTheme="minorHAnsi" w:cs="Open Sans"/>
          <w:b/>
          <w:bCs/>
          <w:sz w:val="20"/>
          <w:szCs w:val="20"/>
        </w:rPr>
        <w:t>participando en oportunidades de participación familiar, manteniendo la conexión con los profesores de tu hijo y apoyando una asistencia diaria fuerte. Estar presente y puntual cada día desempeña un papel fundamental en el crecimiento y el rendimiento académico</w:t>
      </w:r>
      <w:r w:rsidRPr="00FE3EDC">
        <w:rPr>
          <w:rFonts w:asciiTheme="minorHAnsi" w:eastAsia="Times New Roman" w:hAnsiTheme="minorHAnsi" w:cs="Open Sans"/>
          <w:sz w:val="20"/>
          <w:szCs w:val="20"/>
        </w:rPr>
        <w:t>.</w:t>
      </w:r>
    </w:p>
    <w:p w14:paraId="06B179CA" w14:textId="77777777" w:rsidR="00FE3EDC" w:rsidRPr="00FE3EDC" w:rsidRDefault="00FE3EDC" w:rsidP="00FE3EDC">
      <w:pPr>
        <w:spacing w:after="0" w:line="240" w:lineRule="auto"/>
        <w:contextualSpacing/>
        <w:textAlignment w:val="baseline"/>
        <w:rPr>
          <w:rFonts w:asciiTheme="minorHAnsi" w:eastAsia="Times New Roman" w:hAnsiTheme="minorHAnsi" w:cs="Open Sans"/>
          <w:sz w:val="20"/>
          <w:szCs w:val="20"/>
        </w:rPr>
      </w:pPr>
    </w:p>
    <w:p w14:paraId="6816304D" w14:textId="28B07567" w:rsidR="00FE3EDC" w:rsidRPr="00FE3EDC" w:rsidRDefault="00FE3EDC" w:rsidP="00FE3EDC">
      <w:pPr>
        <w:spacing w:after="0" w:line="240" w:lineRule="auto"/>
        <w:contextualSpacing/>
        <w:textAlignment w:val="baseline"/>
        <w:rPr>
          <w:rFonts w:asciiTheme="minorHAnsi" w:eastAsia="Times New Roman" w:hAnsiTheme="minorHAnsi" w:cs="Open Sans"/>
          <w:sz w:val="20"/>
          <w:szCs w:val="20"/>
        </w:rPr>
      </w:pPr>
      <w:r w:rsidRPr="00FE3EDC">
        <w:rPr>
          <w:rFonts w:asciiTheme="minorHAnsi" w:eastAsia="Times New Roman" w:hAnsiTheme="minorHAnsi" w:cs="Open Sans"/>
          <w:sz w:val="20"/>
          <w:szCs w:val="20"/>
        </w:rPr>
        <w:t>Atentamente,</w:t>
      </w:r>
    </w:p>
    <w:p w14:paraId="73EF9A21" w14:textId="5CD7A8D5" w:rsidR="00B642E6" w:rsidRPr="00FE3EDC" w:rsidRDefault="00FE3EDC" w:rsidP="00FE3EDC">
      <w:pPr>
        <w:spacing w:after="160" w:line="259" w:lineRule="auto"/>
        <w:rPr>
          <w:rFonts w:asciiTheme="minorHAnsi" w:eastAsia="Times New Roman" w:hAnsiTheme="minorHAnsi" w:cs="Open Sans"/>
          <w:sz w:val="20"/>
          <w:szCs w:val="20"/>
        </w:rPr>
      </w:pPr>
      <w:r w:rsidRPr="00FE3EDC">
        <w:rPr>
          <w:rFonts w:asciiTheme="minorHAnsi" w:eastAsia="Times New Roman" w:hAnsiTheme="minorHAnsi" w:cs="Open Sans"/>
          <w:sz w:val="20"/>
          <w:szCs w:val="20"/>
        </w:rPr>
        <w:t>Principal Andrea Y. Talley</w:t>
      </w:r>
    </w:p>
    <w:sectPr w:rsidR="00B642E6" w:rsidRPr="00FE3EDC" w:rsidSect="00B642E6">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FF094" w14:textId="77777777" w:rsidR="00835B08" w:rsidRDefault="00835B08" w:rsidP="00B642E6">
      <w:pPr>
        <w:spacing w:after="0" w:line="240" w:lineRule="auto"/>
      </w:pPr>
      <w:r>
        <w:separator/>
      </w:r>
    </w:p>
  </w:endnote>
  <w:endnote w:type="continuationSeparator" w:id="0">
    <w:p w14:paraId="69D919B7" w14:textId="77777777" w:rsidR="00835B08" w:rsidRDefault="00835B08" w:rsidP="00B64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Minion Pro SmBd">
    <w:altName w:val="Lucida Bright"/>
    <w:charset w:val="00"/>
    <w:family w:val="auto"/>
    <w:pitch w:val="variable"/>
    <w:sig w:usb0="00000003" w:usb1="00000000" w:usb2="00000000" w:usb3="00000000" w:csb0="00000001" w:csb1="00000000"/>
  </w:font>
  <w:font w:name="Minion Pro">
    <w:altName w:val="Cambria Math"/>
    <w:charset w:val="00"/>
    <w:family w:val="auto"/>
    <w:pitch w:val="variable"/>
    <w:sig w:usb0="00000001" w:usb1="00000001"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EB4E" w14:textId="77777777" w:rsidR="00FE3EDC" w:rsidRDefault="00FE3EDC" w:rsidP="00FE3EDC">
    <w:pPr>
      <w:pStyle w:val="BasicParagraph"/>
      <w:ind w:left="270"/>
      <w:jc w:val="center"/>
      <w:rPr>
        <w:rFonts w:ascii="Minion Pro SmBd" w:hAnsi="Minion Pro SmBd" w:cs="Calibri"/>
        <w:b/>
        <w:bCs/>
        <w:smallCaps/>
        <w:noProof/>
      </w:rPr>
    </w:pPr>
    <w:r>
      <w:rPr>
        <w:rFonts w:ascii="Minion Pro SmBd" w:hAnsi="Minion Pro SmBd" w:cs="Calibri"/>
        <w:b/>
        <w:bCs/>
        <w:smallCaps/>
        <w:noProof/>
        <w14:ligatures w14:val="standardContextual"/>
      </w:rPr>
      <mc:AlternateContent>
        <mc:Choice Requires="wps">
          <w:drawing>
            <wp:anchor distT="0" distB="0" distL="114300" distR="114300" simplePos="0" relativeHeight="251659264" behindDoc="0" locked="0" layoutInCell="1" allowOverlap="1" wp14:anchorId="13E43989" wp14:editId="35800BD2">
              <wp:simplePos x="0" y="0"/>
              <wp:positionH relativeFrom="column">
                <wp:posOffset>-600075</wp:posOffset>
              </wp:positionH>
              <wp:positionV relativeFrom="paragraph">
                <wp:posOffset>113665</wp:posOffset>
              </wp:positionV>
              <wp:extent cx="7143750" cy="9525"/>
              <wp:effectExtent l="0" t="0" r="19050" b="28575"/>
              <wp:wrapNone/>
              <wp:docPr id="430150767" name="Straight Connector 10"/>
              <wp:cNvGraphicFramePr/>
              <a:graphic xmlns:a="http://schemas.openxmlformats.org/drawingml/2006/main">
                <a:graphicData uri="http://schemas.microsoft.com/office/word/2010/wordprocessingShape">
                  <wps:wsp>
                    <wps:cNvCnPr/>
                    <wps:spPr>
                      <a:xfrm flipV="1">
                        <a:off x="0" y="0"/>
                        <a:ext cx="7143750" cy="9525"/>
                      </a:xfrm>
                      <a:prstGeom prst="line">
                        <a:avLst/>
                      </a:prstGeom>
                      <a:noFill/>
                      <a:ln w="19050" cap="flat" cmpd="sng" algn="ctr">
                        <a:solidFill>
                          <a:srgbClr val="C00000"/>
                        </a:solidFill>
                        <a:prstDash val="solid"/>
                        <a:miter lim="800000"/>
                      </a:ln>
                      <a:effectLst/>
                    </wps:spPr>
                    <wps:bodyPr/>
                  </wps:wsp>
                </a:graphicData>
              </a:graphic>
            </wp:anchor>
          </w:drawing>
        </mc:Choice>
        <mc:Fallback>
          <w:pict>
            <v:line w14:anchorId="75D30357" id="Straight Connector 10"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7.25pt,8.95pt" to="515.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" strokecolor="#c00000" strokeweight="1.5pt">
              <v:stroke joinstyle="miter"/>
            </v:line>
          </w:pict>
        </mc:Fallback>
      </mc:AlternateContent>
    </w:r>
    <w:r>
      <w:rPr>
        <w:rFonts w:ascii="Minion Pro SmBd" w:hAnsi="Minion Pro SmBd" w:cs="Calibri"/>
        <w:b/>
        <w:bCs/>
        <w:smallCaps/>
        <w:noProof/>
        <w14:ligatures w14:val="standardContextual"/>
      </w:rPr>
      <w:t xml:space="preserve"> </w:t>
    </w:r>
  </w:p>
  <w:p w14:paraId="0AA2DA6B" w14:textId="77777777" w:rsidR="00FE3EDC" w:rsidRPr="00FE3EDC" w:rsidRDefault="00FE3EDC" w:rsidP="00FE3EDC">
    <w:pPr>
      <w:pStyle w:val="BasicParagraph"/>
      <w:ind w:left="270"/>
      <w:jc w:val="center"/>
      <w:rPr>
        <w:rFonts w:ascii="Calibri" w:hAnsi="Calibri" w:cs="Calibri"/>
        <w:sz w:val="22"/>
        <w:szCs w:val="22"/>
      </w:rPr>
    </w:pPr>
    <w:r w:rsidRPr="00FE3EDC">
      <w:rPr>
        <w:rFonts w:ascii="Minion Pro SmBd" w:hAnsi="Minion Pro SmBd" w:cs="Calibri"/>
        <w:b/>
        <w:bCs/>
        <w:smallCaps/>
        <w:noProof/>
        <w:sz w:val="22"/>
        <w:szCs w:val="22"/>
      </w:rPr>
      <w:t>MELROSE HIGH SCHOOL</w:t>
    </w:r>
  </w:p>
  <w:p w14:paraId="24A1EE80" w14:textId="77777777" w:rsidR="00FE3EDC" w:rsidRPr="00FE3EDC" w:rsidRDefault="00FE3EDC" w:rsidP="00FE3EDC">
    <w:pPr>
      <w:pStyle w:val="BasicParagraph"/>
      <w:ind w:left="270"/>
      <w:jc w:val="center"/>
      <w:rPr>
        <w:rFonts w:ascii="Times New Roman" w:hAnsi="Times New Roman" w:cs="Times New Roman"/>
        <w:sz w:val="20"/>
        <w:szCs w:val="20"/>
      </w:rPr>
    </w:pPr>
    <w:r w:rsidRPr="00FE3EDC">
      <w:rPr>
        <w:rFonts w:ascii="Times New Roman" w:hAnsi="Times New Roman" w:cs="Times New Roman"/>
        <w:sz w:val="20"/>
        <w:szCs w:val="20"/>
      </w:rPr>
      <w:t>2870 Deadrick Ave.• Memphis, TN 38114 • (901) 416-5974 • Fax (901) 416-5984 • www.scsk12.org</w:t>
    </w:r>
  </w:p>
  <w:p w14:paraId="73475DBE" w14:textId="77777777" w:rsidR="00FE3EDC" w:rsidRPr="00FE3EDC" w:rsidRDefault="00FE3EDC" w:rsidP="00FE3EDC">
    <w:pPr>
      <w:pStyle w:val="Footer"/>
      <w:rPr>
        <w:sz w:val="12"/>
        <w:szCs w:val="12"/>
      </w:rPr>
    </w:pPr>
    <w:r w:rsidRPr="00FE3EDC">
      <w:rPr>
        <w:rFonts w:ascii="Times New Roman" w:hAnsi="Times New Roman"/>
        <w:iCs/>
        <w:w w:val="99"/>
        <w:sz w:val="12"/>
        <w:szCs w:val="12"/>
      </w:rPr>
      <w:t>Memphis-Shelby County Schools offers educational and employment opportunities without regard to race, color, religion, sex, creed, age, disability, national origin, or genetic information</w:t>
    </w:r>
  </w:p>
  <w:p w14:paraId="58CF1B01" w14:textId="77777777" w:rsidR="00FE3EDC" w:rsidRDefault="00FE3E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2E93" w14:textId="1EF48F6F" w:rsidR="00B642E6" w:rsidRDefault="00B64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42468" w14:textId="77777777" w:rsidR="00835B08" w:rsidRDefault="00835B08" w:rsidP="00B642E6">
      <w:pPr>
        <w:spacing w:after="0" w:line="240" w:lineRule="auto"/>
      </w:pPr>
      <w:r>
        <w:separator/>
      </w:r>
    </w:p>
  </w:footnote>
  <w:footnote w:type="continuationSeparator" w:id="0">
    <w:p w14:paraId="28F61E52" w14:textId="77777777" w:rsidR="00835B08" w:rsidRDefault="00835B08" w:rsidP="00B642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25415"/>
    <w:multiLevelType w:val="hybridMultilevel"/>
    <w:tmpl w:val="C15C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5C28B8"/>
    <w:multiLevelType w:val="multilevel"/>
    <w:tmpl w:val="B6C66F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60723205">
    <w:abstractNumId w:val="0"/>
  </w:num>
  <w:num w:numId="2" w16cid:durableId="44986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2E6"/>
    <w:rsid w:val="001A6F85"/>
    <w:rsid w:val="004821BD"/>
    <w:rsid w:val="00580EB2"/>
    <w:rsid w:val="00696307"/>
    <w:rsid w:val="00835B08"/>
    <w:rsid w:val="008362F7"/>
    <w:rsid w:val="00A43A79"/>
    <w:rsid w:val="00B642E6"/>
    <w:rsid w:val="00DD1A1E"/>
    <w:rsid w:val="00DD258A"/>
    <w:rsid w:val="00FE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D0D78"/>
  <w15:chartTrackingRefBased/>
  <w15:docId w15:val="{68E183CA-7B3F-401A-B09B-0A7FBD584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2E6"/>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64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2E6"/>
    <w:rPr>
      <w:rFonts w:eastAsiaTheme="majorEastAsia" w:cstheme="majorBidi"/>
      <w:color w:val="272727" w:themeColor="text1" w:themeTint="D8"/>
    </w:rPr>
  </w:style>
  <w:style w:type="paragraph" w:styleId="Title">
    <w:name w:val="Title"/>
    <w:basedOn w:val="Normal"/>
    <w:next w:val="Normal"/>
    <w:link w:val="TitleChar"/>
    <w:uiPriority w:val="10"/>
    <w:qFormat/>
    <w:rsid w:val="00B64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2E6"/>
    <w:pPr>
      <w:spacing w:before="160"/>
      <w:jc w:val="center"/>
    </w:pPr>
    <w:rPr>
      <w:i/>
      <w:iCs/>
      <w:color w:val="404040" w:themeColor="text1" w:themeTint="BF"/>
    </w:rPr>
  </w:style>
  <w:style w:type="character" w:customStyle="1" w:styleId="QuoteChar">
    <w:name w:val="Quote Char"/>
    <w:basedOn w:val="DefaultParagraphFont"/>
    <w:link w:val="Quote"/>
    <w:uiPriority w:val="29"/>
    <w:rsid w:val="00B642E6"/>
    <w:rPr>
      <w:i/>
      <w:iCs/>
      <w:color w:val="404040" w:themeColor="text1" w:themeTint="BF"/>
    </w:rPr>
  </w:style>
  <w:style w:type="paragraph" w:styleId="ListParagraph">
    <w:name w:val="List Paragraph"/>
    <w:basedOn w:val="Normal"/>
    <w:uiPriority w:val="34"/>
    <w:qFormat/>
    <w:rsid w:val="00B642E6"/>
    <w:pPr>
      <w:ind w:left="720"/>
      <w:contextualSpacing/>
    </w:pPr>
  </w:style>
  <w:style w:type="character" w:styleId="IntenseEmphasis">
    <w:name w:val="Intense Emphasis"/>
    <w:basedOn w:val="DefaultParagraphFont"/>
    <w:uiPriority w:val="21"/>
    <w:qFormat/>
    <w:rsid w:val="00B642E6"/>
    <w:rPr>
      <w:i/>
      <w:iCs/>
      <w:color w:val="0F4761" w:themeColor="accent1" w:themeShade="BF"/>
    </w:rPr>
  </w:style>
  <w:style w:type="paragraph" w:styleId="IntenseQuote">
    <w:name w:val="Intense Quote"/>
    <w:basedOn w:val="Normal"/>
    <w:next w:val="Normal"/>
    <w:link w:val="IntenseQuoteChar"/>
    <w:uiPriority w:val="30"/>
    <w:qFormat/>
    <w:rsid w:val="00B64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2E6"/>
    <w:rPr>
      <w:i/>
      <w:iCs/>
      <w:color w:val="0F4761" w:themeColor="accent1" w:themeShade="BF"/>
    </w:rPr>
  </w:style>
  <w:style w:type="character" w:styleId="IntenseReference">
    <w:name w:val="Intense Reference"/>
    <w:basedOn w:val="DefaultParagraphFont"/>
    <w:uiPriority w:val="32"/>
    <w:qFormat/>
    <w:rsid w:val="00B642E6"/>
    <w:rPr>
      <w:b/>
      <w:bCs/>
      <w:smallCaps/>
      <w:color w:val="0F4761" w:themeColor="accent1" w:themeShade="BF"/>
      <w:spacing w:val="5"/>
    </w:rPr>
  </w:style>
  <w:style w:type="paragraph" w:styleId="Header">
    <w:name w:val="header"/>
    <w:basedOn w:val="Normal"/>
    <w:link w:val="HeaderChar"/>
    <w:uiPriority w:val="99"/>
    <w:unhideWhenUsed/>
    <w:rsid w:val="00B642E6"/>
    <w:pPr>
      <w:tabs>
        <w:tab w:val="center" w:pos="4320"/>
        <w:tab w:val="right" w:pos="8640"/>
      </w:tabs>
      <w:spacing w:after="0" w:line="240" w:lineRule="auto"/>
    </w:pPr>
    <w:rPr>
      <w:rFonts w:ascii="Cambria" w:eastAsia="MS Mincho" w:hAnsi="Cambria"/>
      <w:sz w:val="24"/>
      <w:szCs w:val="24"/>
    </w:rPr>
  </w:style>
  <w:style w:type="character" w:customStyle="1" w:styleId="HeaderChar">
    <w:name w:val="Header Char"/>
    <w:basedOn w:val="DefaultParagraphFont"/>
    <w:link w:val="Header"/>
    <w:uiPriority w:val="99"/>
    <w:rsid w:val="00B642E6"/>
    <w:rPr>
      <w:rFonts w:ascii="Cambria" w:eastAsia="MS Mincho" w:hAnsi="Cambria" w:cs="Times New Roman"/>
      <w:kern w:val="0"/>
      <w14:ligatures w14:val="none"/>
    </w:rPr>
  </w:style>
  <w:style w:type="paragraph" w:customStyle="1" w:styleId="paragraph">
    <w:name w:val="paragraph"/>
    <w:basedOn w:val="Normal"/>
    <w:rsid w:val="00B642E6"/>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B642E6"/>
  </w:style>
  <w:style w:type="character" w:customStyle="1" w:styleId="eop">
    <w:name w:val="eop"/>
    <w:basedOn w:val="DefaultParagraphFont"/>
    <w:rsid w:val="00B642E6"/>
  </w:style>
  <w:style w:type="character" w:styleId="Hyperlink">
    <w:name w:val="Hyperlink"/>
    <w:basedOn w:val="DefaultParagraphFont"/>
    <w:uiPriority w:val="99"/>
    <w:unhideWhenUsed/>
    <w:rsid w:val="00B642E6"/>
    <w:rPr>
      <w:color w:val="467886" w:themeColor="hyperlink"/>
      <w:u w:val="single"/>
    </w:rPr>
  </w:style>
  <w:style w:type="paragraph" w:styleId="Footer">
    <w:name w:val="footer"/>
    <w:basedOn w:val="Normal"/>
    <w:link w:val="FooterChar"/>
    <w:uiPriority w:val="99"/>
    <w:unhideWhenUsed/>
    <w:rsid w:val="00B64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2E6"/>
    <w:rPr>
      <w:rFonts w:ascii="Calibri" w:eastAsia="Calibri" w:hAnsi="Calibri" w:cs="Times New Roman"/>
      <w:kern w:val="0"/>
      <w:sz w:val="22"/>
      <w:szCs w:val="22"/>
      <w14:ligatures w14:val="none"/>
    </w:rPr>
  </w:style>
  <w:style w:type="paragraph" w:customStyle="1" w:styleId="BasicParagraph">
    <w:name w:val="[Basic Paragraph]"/>
    <w:basedOn w:val="Normal"/>
    <w:uiPriority w:val="99"/>
    <w:rsid w:val="00B642E6"/>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tn.gov/content/dam/tn/education/accountability/2024-25%20Federal%20Accountability%20Protocol%201.pdf" TargetMode="External"/><Relationship Id="rId4" Type="http://schemas.openxmlformats.org/officeDocument/2006/relationships/webSettings" Target="webSettings.xml"/><Relationship Id="rId9" Type="http://schemas.openxmlformats.org/officeDocument/2006/relationships/hyperlink" Target="https://www.tn.gov/content/dam/tn/education/accountability/2024-25_Federal_Accountability_Protoc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R WILLIAMS</dc:creator>
  <cp:keywords/>
  <dc:description/>
  <cp:lastModifiedBy>ANDREA Y TALLEY</cp:lastModifiedBy>
  <cp:revision>2</cp:revision>
  <dcterms:created xsi:type="dcterms:W3CDTF">2026-03-04T21:49:00Z</dcterms:created>
  <dcterms:modified xsi:type="dcterms:W3CDTF">2026-03-04T21:49:00Z</dcterms:modified>
</cp:coreProperties>
</file>