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A17E" w14:textId="6B2D2B69" w:rsidR="00B642E6" w:rsidRDefault="00B642E6" w:rsidP="00B642E6">
      <w:pPr>
        <w:pStyle w:val="Header"/>
        <w:tabs>
          <w:tab w:val="clear" w:pos="4320"/>
        </w:tabs>
        <w:jc w:val="center"/>
        <w:rPr>
          <w:rFonts w:ascii="Minion Pro SmBd" w:hAnsi="Minion Pro SmBd" w:cs="Calibri"/>
          <w:b/>
          <w:bCs/>
          <w:smallCaps/>
          <w:noProof/>
          <w:sz w:val="28"/>
          <w:szCs w:val="28"/>
        </w:rPr>
      </w:pPr>
      <w:r>
        <w:rPr>
          <w:rFonts w:ascii="Minion Pro SmBd" w:hAnsi="Minion Pro SmBd" w:cs="Calibri"/>
          <w:b/>
          <w:bCs/>
          <w:smallCaps/>
          <w:noProof/>
          <w:sz w:val="28"/>
          <w:szCs w:val="28"/>
        </w:rPr>
        <w:drawing>
          <wp:inline distT="0" distB="0" distL="0" distR="0" wp14:anchorId="7B80E439" wp14:editId="3936E5DC">
            <wp:extent cx="666750" cy="666750"/>
            <wp:effectExtent l="0" t="0" r="0" b="0"/>
            <wp:docPr id="1595778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50F553C" w14:textId="77777777" w:rsidR="00B642E6" w:rsidRPr="00F35AC1" w:rsidRDefault="00B642E6" w:rsidP="00B642E6">
      <w:pPr>
        <w:pStyle w:val="Header"/>
        <w:tabs>
          <w:tab w:val="clear" w:pos="4320"/>
        </w:tabs>
        <w:jc w:val="center"/>
        <w:rPr>
          <w:rFonts w:ascii="Minion Pro SmBd" w:hAnsi="Minion Pro SmBd" w:cs="Calibri"/>
          <w:b/>
          <w:bCs/>
          <w:smallCaps/>
          <w:noProof/>
        </w:rPr>
      </w:pPr>
      <w:r w:rsidRPr="00F35AC1">
        <w:rPr>
          <w:rFonts w:ascii="Minion Pro SmBd" w:hAnsi="Minion Pro SmBd" w:cs="Calibri"/>
          <w:b/>
          <w:bCs/>
          <w:smallCaps/>
          <w:noProof/>
        </w:rPr>
        <w:t xml:space="preserve">Melrose high school </w:t>
      </w:r>
    </w:p>
    <w:p w14:paraId="2845BF62" w14:textId="7E43A01D" w:rsidR="00B642E6" w:rsidRDefault="00B642E6" w:rsidP="00B642E6">
      <w:r>
        <w:rPr>
          <w:noProof/>
        </w:rPr>
        <mc:AlternateContent>
          <mc:Choice Requires="wps">
            <w:drawing>
              <wp:anchor distT="4294967294" distB="4294967294" distL="114300" distR="114300" simplePos="0" relativeHeight="251659264" behindDoc="0" locked="0" layoutInCell="1" allowOverlap="1" wp14:anchorId="179FCD35" wp14:editId="772915BE">
                <wp:simplePos x="0" y="0"/>
                <wp:positionH relativeFrom="margin">
                  <wp:align>center</wp:align>
                </wp:positionH>
                <wp:positionV relativeFrom="paragraph">
                  <wp:posOffset>99060</wp:posOffset>
                </wp:positionV>
                <wp:extent cx="6766560" cy="0"/>
                <wp:effectExtent l="57150" t="76200" r="72390" b="9525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25400">
                          <a:solidFill>
                            <a:srgbClr val="4F81BD"/>
                          </a:solidFill>
                          <a:round/>
                          <a:headEnd/>
                          <a:tailEnd/>
                        </a:ln>
                        <a:effectLst>
                          <a:outerShdw blurRad="635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61C78C8" id="Straight Connector 5" o:spid="_x0000_s1026" style="position:absolute;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margin;mso-height-relative:margin" from="0,7.8pt" to="532.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" strokecolor="#4f81bd" strokeweight="2pt">
                <v:shadow on="t" color="black" opacity="24903f" origin=",.5" offset="0,0"/>
                <w10:wrap anchorx="margin"/>
              </v:line>
            </w:pict>
          </mc:Fallback>
        </mc:AlternateContent>
      </w:r>
      <w:r>
        <w:rPr>
          <w:noProof/>
        </w:rPr>
        <mc:AlternateContent>
          <mc:Choice Requires="wps">
            <w:drawing>
              <wp:anchor distT="0" distB="0" distL="114300" distR="114300" simplePos="0" relativeHeight="251661312" behindDoc="0" locked="0" layoutInCell="1" allowOverlap="1" wp14:anchorId="68901BA1" wp14:editId="046D0DEA">
                <wp:simplePos x="0" y="0"/>
                <wp:positionH relativeFrom="column">
                  <wp:posOffset>4334510</wp:posOffset>
                </wp:positionH>
                <wp:positionV relativeFrom="paragraph">
                  <wp:posOffset>152400</wp:posOffset>
                </wp:positionV>
                <wp:extent cx="1598930" cy="704850"/>
                <wp:effectExtent l="0" t="0" r="0" b="0"/>
                <wp:wrapThrough wrapText="bothSides">
                  <wp:wrapPolygon edited="0">
                    <wp:start x="515" y="0"/>
                    <wp:lineTo x="515" y="21016"/>
                    <wp:lineTo x="20845" y="21016"/>
                    <wp:lineTo x="20845" y="0"/>
                    <wp:lineTo x="515" y="0"/>
                  </wp:wrapPolygon>
                </wp:wrapThrough>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704850"/>
                        </a:xfrm>
                        <a:prstGeom prst="rect">
                          <a:avLst/>
                        </a:prstGeom>
                        <a:noFill/>
                        <a:ln>
                          <a:noFill/>
                        </a:ln>
                        <a:effectLst/>
                      </wps:spPr>
                      <wps:txbx>
                        <w:txbxContent>
                          <w:p w14:paraId="7D3C2B62"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Stephen Payne</w:t>
                            </w:r>
                          </w:p>
                          <w:p w14:paraId="08594046"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Tia Wells-Stuckey</w:t>
                            </w:r>
                          </w:p>
                          <w:p w14:paraId="63035FAC" w14:textId="77777777" w:rsidR="00B642E6" w:rsidRPr="004D476D" w:rsidRDefault="00B642E6" w:rsidP="00B642E6">
                            <w:pPr>
                              <w:spacing w:after="0" w:line="240" w:lineRule="auto"/>
                              <w:jc w:val="center"/>
                              <w:rPr>
                                <w:rFonts w:ascii="Minion Pro" w:hAnsi="Minion Pro"/>
                                <w:b/>
                                <w:i/>
                              </w:rPr>
                            </w:pPr>
                            <w:r w:rsidRPr="004D476D">
                              <w:rPr>
                                <w:rFonts w:ascii="Minion Pro" w:hAnsi="Minion Pro"/>
                                <w:b/>
                                <w:i/>
                              </w:rPr>
                              <w:t>Assistant Principals</w:t>
                            </w:r>
                          </w:p>
                          <w:p w14:paraId="137A23B3" w14:textId="77777777" w:rsidR="00B642E6" w:rsidRPr="007D2621" w:rsidRDefault="00B642E6" w:rsidP="00B642E6">
                            <w:pPr>
                              <w:spacing w:after="0" w:line="240" w:lineRule="auto"/>
                              <w:jc w:val="center"/>
                              <w:rPr>
                                <w:rFonts w:ascii="Minion Pro" w:hAnsi="Minion Pro"/>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901BA1" id="_x0000_t202" coordsize="21600,21600" o:spt="202" path="m,l,21600r21600,l21600,xe">
                <v:stroke joinstyle="miter"/>
                <v:path gradientshapeok="t" o:connecttype="rect"/>
              </v:shapetype>
              <v:shape id="Text Box 3" o:spid="_x0000_s1026" type="#_x0000_t202" style="position:absolute;margin-left:341.3pt;margin-top:12pt;width:125.9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" filled="f" stroked="f">
                <v:textbox>
                  <w:txbxContent>
                    <w:p w14:paraId="7D3C2B62"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Stephen Payne</w:t>
                      </w:r>
                    </w:p>
                    <w:p w14:paraId="08594046" w14:textId="77777777" w:rsidR="00B642E6" w:rsidRPr="004D476D" w:rsidRDefault="00B642E6" w:rsidP="00B642E6">
                      <w:pPr>
                        <w:spacing w:after="0" w:line="240" w:lineRule="auto"/>
                        <w:jc w:val="center"/>
                        <w:rPr>
                          <w:rFonts w:ascii="Minion Pro" w:hAnsi="Minion Pro"/>
                          <w:iCs/>
                        </w:rPr>
                      </w:pPr>
                      <w:r w:rsidRPr="004D476D">
                        <w:rPr>
                          <w:rFonts w:ascii="Minion Pro" w:hAnsi="Minion Pro"/>
                          <w:iCs/>
                        </w:rPr>
                        <w:t>Tia Wells-Stuckey</w:t>
                      </w:r>
                    </w:p>
                    <w:p w14:paraId="63035FAC" w14:textId="77777777" w:rsidR="00B642E6" w:rsidRPr="004D476D" w:rsidRDefault="00B642E6" w:rsidP="00B642E6">
                      <w:pPr>
                        <w:spacing w:after="0" w:line="240" w:lineRule="auto"/>
                        <w:jc w:val="center"/>
                        <w:rPr>
                          <w:rFonts w:ascii="Minion Pro" w:hAnsi="Minion Pro"/>
                          <w:b/>
                          <w:i/>
                        </w:rPr>
                      </w:pPr>
                      <w:r w:rsidRPr="004D476D">
                        <w:rPr>
                          <w:rFonts w:ascii="Minion Pro" w:hAnsi="Minion Pro"/>
                          <w:b/>
                          <w:i/>
                        </w:rPr>
                        <w:t>Assistant Principals</w:t>
                      </w:r>
                    </w:p>
                    <w:p w14:paraId="137A23B3" w14:textId="77777777" w:rsidR="00B642E6" w:rsidRPr="007D2621" w:rsidRDefault="00B642E6" w:rsidP="00B642E6">
                      <w:pPr>
                        <w:spacing w:after="0" w:line="240" w:lineRule="auto"/>
                        <w:jc w:val="center"/>
                        <w:rPr>
                          <w:rFonts w:ascii="Minion Pro" w:hAnsi="Minion Pro"/>
                          <w:i/>
                          <w:sz w:val="20"/>
                          <w:szCs w:val="20"/>
                        </w:rPr>
                      </w:pPr>
                    </w:p>
                  </w:txbxContent>
                </v:textbox>
                <w10:wrap type="through"/>
              </v:shape>
            </w:pict>
          </mc:Fallback>
        </mc:AlternateContent>
      </w:r>
      <w:r>
        <w:rPr>
          <w:noProof/>
        </w:rPr>
        <mc:AlternateContent>
          <mc:Choice Requires="wps">
            <w:drawing>
              <wp:anchor distT="0" distB="0" distL="114300" distR="114300" simplePos="0" relativeHeight="251660288" behindDoc="0" locked="0" layoutInCell="1" allowOverlap="1" wp14:anchorId="40BC6C9E" wp14:editId="6FA1441C">
                <wp:simplePos x="0" y="0"/>
                <wp:positionH relativeFrom="column">
                  <wp:posOffset>-466090</wp:posOffset>
                </wp:positionH>
                <wp:positionV relativeFrom="paragraph">
                  <wp:posOffset>193675</wp:posOffset>
                </wp:positionV>
                <wp:extent cx="1504950" cy="485775"/>
                <wp:effectExtent l="0" t="0" r="0" b="9525"/>
                <wp:wrapThrough wrapText="bothSides">
                  <wp:wrapPolygon edited="0">
                    <wp:start x="547" y="0"/>
                    <wp:lineTo x="547" y="21176"/>
                    <wp:lineTo x="20780" y="21176"/>
                    <wp:lineTo x="20780" y="0"/>
                    <wp:lineTo x="547" y="0"/>
                  </wp:wrapPolygon>
                </wp:wrapThrough>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0" cy="485775"/>
                        </a:xfrm>
                        <a:prstGeom prst="rect">
                          <a:avLst/>
                        </a:prstGeom>
                        <a:noFill/>
                        <a:ln>
                          <a:noFill/>
                        </a:ln>
                        <a:effectLst/>
                      </wps:spPr>
                      <wps:txbx>
                        <w:txbxContent>
                          <w:p w14:paraId="1AC05EC3" w14:textId="77777777" w:rsidR="00B642E6" w:rsidRPr="00366CFC" w:rsidRDefault="00B642E6" w:rsidP="00B642E6">
                            <w:pPr>
                              <w:spacing w:after="0" w:line="240" w:lineRule="auto"/>
                              <w:rPr>
                                <w:rFonts w:ascii="Times New Roman" w:hAnsi="Times New Roman"/>
                                <w:sz w:val="24"/>
                                <w:szCs w:val="24"/>
                              </w:rPr>
                            </w:pPr>
                            <w:r w:rsidRPr="00366CFC">
                              <w:rPr>
                                <w:rFonts w:ascii="Times New Roman" w:hAnsi="Times New Roman"/>
                                <w:sz w:val="24"/>
                                <w:szCs w:val="24"/>
                              </w:rPr>
                              <w:t>Andrea Y. Talley</w:t>
                            </w:r>
                          </w:p>
                          <w:p w14:paraId="610022A6" w14:textId="77777777" w:rsidR="00B642E6" w:rsidRPr="00366CFC" w:rsidRDefault="00B642E6" w:rsidP="00B642E6">
                            <w:pPr>
                              <w:spacing w:after="0" w:line="240" w:lineRule="auto"/>
                              <w:rPr>
                                <w:rFonts w:ascii="Times New Roman" w:hAnsi="Times New Roman"/>
                                <w:b/>
                                <w:bCs/>
                                <w:i/>
                                <w:sz w:val="24"/>
                                <w:szCs w:val="24"/>
                              </w:rPr>
                            </w:pPr>
                            <w:r w:rsidRPr="00366CFC">
                              <w:rPr>
                                <w:rFonts w:ascii="Times New Roman" w:hAnsi="Times New Roman"/>
                                <w:b/>
                                <w:bCs/>
                                <w:i/>
                                <w:sz w:val="24"/>
                                <w:szCs w:val="24"/>
                              </w:rPr>
                              <w:t>Principal</w:t>
                            </w:r>
                          </w:p>
                          <w:p w14:paraId="5D3E22E7" w14:textId="77777777" w:rsidR="00B642E6" w:rsidRPr="007D2621" w:rsidRDefault="00B642E6" w:rsidP="00B642E6">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C6C9E" id="Text Box 7" o:spid="_x0000_s1027" type="#_x0000_t202" style="position:absolute;margin-left:-36.7pt;margin-top:15.25pt;width:118.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" filled="f" stroked="f">
                <v:textbox>
                  <w:txbxContent>
                    <w:p w14:paraId="1AC05EC3" w14:textId="77777777" w:rsidR="00B642E6" w:rsidRPr="00366CFC" w:rsidRDefault="00B642E6" w:rsidP="00B642E6">
                      <w:pPr>
                        <w:spacing w:after="0" w:line="240" w:lineRule="auto"/>
                        <w:rPr>
                          <w:rFonts w:ascii="Times New Roman" w:hAnsi="Times New Roman"/>
                          <w:sz w:val="24"/>
                          <w:szCs w:val="24"/>
                        </w:rPr>
                      </w:pPr>
                      <w:r w:rsidRPr="00366CFC">
                        <w:rPr>
                          <w:rFonts w:ascii="Times New Roman" w:hAnsi="Times New Roman"/>
                          <w:sz w:val="24"/>
                          <w:szCs w:val="24"/>
                        </w:rPr>
                        <w:t>Andrea Y. Talley</w:t>
                      </w:r>
                    </w:p>
                    <w:p w14:paraId="610022A6" w14:textId="77777777" w:rsidR="00B642E6" w:rsidRPr="00366CFC" w:rsidRDefault="00B642E6" w:rsidP="00B642E6">
                      <w:pPr>
                        <w:spacing w:after="0" w:line="240" w:lineRule="auto"/>
                        <w:rPr>
                          <w:rFonts w:ascii="Times New Roman" w:hAnsi="Times New Roman"/>
                          <w:b/>
                          <w:bCs/>
                          <w:i/>
                          <w:sz w:val="24"/>
                          <w:szCs w:val="24"/>
                        </w:rPr>
                      </w:pPr>
                      <w:r w:rsidRPr="00366CFC">
                        <w:rPr>
                          <w:rFonts w:ascii="Times New Roman" w:hAnsi="Times New Roman"/>
                          <w:b/>
                          <w:bCs/>
                          <w:i/>
                          <w:sz w:val="24"/>
                          <w:szCs w:val="24"/>
                        </w:rPr>
                        <w:t>Principal</w:t>
                      </w:r>
                    </w:p>
                    <w:p w14:paraId="5D3E22E7" w14:textId="77777777" w:rsidR="00B642E6" w:rsidRPr="007D2621" w:rsidRDefault="00B642E6" w:rsidP="00B642E6">
                      <w:pPr>
                        <w:rPr>
                          <w:b/>
                          <w:bCs/>
                        </w:rPr>
                      </w:pPr>
                    </w:p>
                  </w:txbxContent>
                </v:textbox>
                <w10:wrap type="through"/>
              </v:shape>
            </w:pict>
          </mc:Fallback>
        </mc:AlternateContent>
      </w:r>
    </w:p>
    <w:p w14:paraId="16CBCB40" w14:textId="23442D09" w:rsidR="00B642E6" w:rsidRDefault="00B642E6" w:rsidP="00B642E6">
      <w:pPr>
        <w:spacing w:after="0" w:line="240" w:lineRule="auto"/>
        <w:jc w:val="both"/>
        <w:rPr>
          <w:rFonts w:ascii="Times New Roman" w:eastAsia="Times New Roman" w:hAnsi="Times New Roman"/>
          <w:sz w:val="24"/>
          <w:szCs w:val="20"/>
        </w:rPr>
      </w:pPr>
    </w:p>
    <w:p w14:paraId="23411604" w14:textId="77777777" w:rsidR="00B642E6" w:rsidRDefault="00B642E6" w:rsidP="00B642E6">
      <w:pPr>
        <w:spacing w:after="0" w:line="240" w:lineRule="auto"/>
        <w:jc w:val="both"/>
        <w:rPr>
          <w:rFonts w:ascii="Times New Roman" w:eastAsia="Times New Roman" w:hAnsi="Times New Roman"/>
          <w:sz w:val="24"/>
          <w:szCs w:val="20"/>
        </w:rPr>
      </w:pPr>
    </w:p>
    <w:p w14:paraId="12F66109" w14:textId="77777777" w:rsidR="00B642E6" w:rsidRDefault="00B642E6" w:rsidP="00B642E6">
      <w:pPr>
        <w:shd w:val="clear" w:color="auto" w:fill="FFFFFF"/>
        <w:spacing w:after="0" w:line="240" w:lineRule="auto"/>
        <w:rPr>
          <w:rFonts w:eastAsia="Times New Roman"/>
          <w:color w:val="000000"/>
          <w:sz w:val="24"/>
          <w:szCs w:val="24"/>
          <w:shd w:val="clear" w:color="auto" w:fill="FFFFFF"/>
        </w:rPr>
      </w:pPr>
    </w:p>
    <w:p w14:paraId="10F557FC" w14:textId="7E6CFCF9" w:rsidR="00B642E6" w:rsidRPr="007B1F10" w:rsidRDefault="00B642E6" w:rsidP="00B642E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Melrose High School </w:t>
      </w:r>
    </w:p>
    <w:p w14:paraId="2F3D1D7D" w14:textId="054DBB28" w:rsidR="00B642E6" w:rsidRPr="007B1F10" w:rsidRDefault="00B642E6" w:rsidP="00B642E6">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2870 Deadrick Ave.   </w:t>
      </w:r>
    </w:p>
    <w:p w14:paraId="56A10E10" w14:textId="1E558CBD" w:rsidR="00B642E6" w:rsidRPr="007B1F10" w:rsidRDefault="00B642E6" w:rsidP="00B642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sidRPr="007B1F10">
        <w:rPr>
          <w:rFonts w:ascii="Times New Roman" w:eastAsia="Times New Roman" w:hAnsi="Times New Roman"/>
          <w:sz w:val="24"/>
          <w:szCs w:val="24"/>
        </w:rPr>
        <w:t xml:space="preserve">Memphis, TN </w:t>
      </w:r>
      <w:r>
        <w:rPr>
          <w:rFonts w:ascii="Times New Roman" w:eastAsia="Times New Roman" w:hAnsi="Times New Roman"/>
          <w:sz w:val="24"/>
          <w:szCs w:val="24"/>
        </w:rPr>
        <w:t>38114</w:t>
      </w:r>
    </w:p>
    <w:p w14:paraId="16D45055"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normaltextrun"/>
          <w:rFonts w:ascii="Calibri" w:eastAsiaTheme="majorEastAsia" w:hAnsi="Calibri" w:cs="Calibri"/>
          <w:sz w:val="22"/>
          <w:szCs w:val="22"/>
        </w:rPr>
        <w:t>Dear Parent or Guardian,</w:t>
      </w:r>
      <w:r w:rsidRPr="00DD258A">
        <w:rPr>
          <w:rStyle w:val="eop"/>
          <w:rFonts w:ascii="Calibri" w:eastAsiaTheme="majorEastAsia" w:hAnsi="Calibri" w:cs="Calibri"/>
          <w:sz w:val="22"/>
          <w:szCs w:val="22"/>
        </w:rPr>
        <w:t> </w:t>
      </w:r>
    </w:p>
    <w:p w14:paraId="6A1A8D2A"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eop"/>
          <w:rFonts w:ascii="Calibri" w:eastAsiaTheme="majorEastAsia" w:hAnsi="Calibri" w:cs="Calibri"/>
          <w:sz w:val="22"/>
          <w:szCs w:val="22"/>
        </w:rPr>
        <w:t> </w:t>
      </w:r>
    </w:p>
    <w:p w14:paraId="17A67E9E"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normaltextrun"/>
          <w:rFonts w:ascii="Calibri" w:eastAsiaTheme="majorEastAsia" w:hAnsi="Calibri" w:cs="Calibri"/>
          <w:sz w:val="22"/>
          <w:szCs w:val="22"/>
        </w:rPr>
        <w:t>Each year the Tennessee Department of Education examines schools’ performance across several different indicators to provide an overall look at how schools are serving the needs of all students. The department of education included the following indicators in its analysis of school accountability:</w:t>
      </w:r>
      <w:r w:rsidRPr="00DD258A">
        <w:rPr>
          <w:rStyle w:val="eop"/>
          <w:rFonts w:ascii="Calibri" w:eastAsiaTheme="majorEastAsia" w:hAnsi="Calibri" w:cs="Calibri"/>
          <w:sz w:val="22"/>
          <w:szCs w:val="22"/>
        </w:rPr>
        <w:t> </w:t>
      </w:r>
    </w:p>
    <w:p w14:paraId="4D8D5CF2" w14:textId="77777777" w:rsidR="00B642E6" w:rsidRPr="00DD258A" w:rsidRDefault="00B642E6" w:rsidP="00B642E6">
      <w:pPr>
        <w:widowControl w:val="0"/>
        <w:numPr>
          <w:ilvl w:val="0"/>
          <w:numId w:val="1"/>
        </w:numPr>
        <w:autoSpaceDE w:val="0"/>
        <w:autoSpaceDN w:val="0"/>
        <w:spacing w:after="0" w:line="259" w:lineRule="auto"/>
        <w:ind w:right="423"/>
        <w:rPr>
          <w:rFonts w:eastAsia="Open Sans" w:cs="Calibri"/>
          <w:lang w:bidi="en-US"/>
        </w:rPr>
        <w:sectPr w:rsidR="00B642E6" w:rsidRPr="00DD258A">
          <w:footerReference w:type="default" r:id="rId8"/>
          <w:pgSz w:w="12240" w:h="15840"/>
          <w:pgMar w:top="1440" w:right="1440" w:bottom="1440" w:left="1440" w:header="720" w:footer="720" w:gutter="0"/>
          <w:cols w:space="720"/>
          <w:docGrid w:linePitch="360"/>
        </w:sectPr>
      </w:pPr>
    </w:p>
    <w:p w14:paraId="24F075A5" w14:textId="77777777" w:rsidR="00B642E6" w:rsidRPr="00B642E6" w:rsidRDefault="00B642E6" w:rsidP="00B642E6">
      <w:pPr>
        <w:widowControl w:val="0"/>
        <w:numPr>
          <w:ilvl w:val="0"/>
          <w:numId w:val="1"/>
        </w:numPr>
        <w:autoSpaceDE w:val="0"/>
        <w:autoSpaceDN w:val="0"/>
        <w:spacing w:after="0" w:line="259" w:lineRule="auto"/>
        <w:ind w:right="423"/>
        <w:rPr>
          <w:rFonts w:eastAsia="Open Sans" w:cs="Calibri"/>
          <w:lang w:bidi="en-US"/>
        </w:rPr>
      </w:pPr>
      <w:r w:rsidRPr="00B642E6">
        <w:rPr>
          <w:rFonts w:eastAsia="Open Sans" w:cs="Calibri"/>
          <w:lang w:bidi="en-US"/>
        </w:rPr>
        <w:t>Student achievement</w:t>
      </w:r>
    </w:p>
    <w:p w14:paraId="37DDF995" w14:textId="77777777" w:rsidR="00B642E6" w:rsidRPr="00B642E6" w:rsidRDefault="00B642E6" w:rsidP="00B642E6">
      <w:pPr>
        <w:widowControl w:val="0"/>
        <w:numPr>
          <w:ilvl w:val="0"/>
          <w:numId w:val="1"/>
        </w:numPr>
        <w:autoSpaceDE w:val="0"/>
        <w:autoSpaceDN w:val="0"/>
        <w:spacing w:after="0" w:line="259" w:lineRule="auto"/>
        <w:ind w:right="423"/>
        <w:rPr>
          <w:rFonts w:eastAsia="Open Sans" w:cs="Calibri"/>
          <w:lang w:bidi="en-US"/>
        </w:rPr>
      </w:pPr>
      <w:r w:rsidRPr="00B642E6">
        <w:rPr>
          <w:rFonts w:eastAsia="Open Sans" w:cs="Calibri"/>
          <w:lang w:bidi="en-US"/>
        </w:rPr>
        <w:t>Student growth</w:t>
      </w:r>
    </w:p>
    <w:p w14:paraId="59BC9D46" w14:textId="77777777" w:rsidR="00B642E6" w:rsidRPr="00B642E6" w:rsidRDefault="00B642E6" w:rsidP="00B642E6">
      <w:pPr>
        <w:widowControl w:val="0"/>
        <w:numPr>
          <w:ilvl w:val="0"/>
          <w:numId w:val="1"/>
        </w:numPr>
        <w:autoSpaceDE w:val="0"/>
        <w:autoSpaceDN w:val="0"/>
        <w:spacing w:after="0" w:line="259" w:lineRule="auto"/>
        <w:ind w:right="423"/>
        <w:rPr>
          <w:rFonts w:eastAsia="Open Sans" w:cs="Calibri"/>
          <w:lang w:bidi="en-US"/>
        </w:rPr>
      </w:pPr>
      <w:r w:rsidRPr="00B642E6">
        <w:rPr>
          <w:rFonts w:eastAsia="Open Sans" w:cs="Calibri"/>
          <w:lang w:bidi="en-US"/>
        </w:rPr>
        <w:t>English learner proficiency exam (ELPA)</w:t>
      </w:r>
    </w:p>
    <w:p w14:paraId="33EA5F98" w14:textId="77777777" w:rsidR="00B642E6" w:rsidRPr="00B642E6" w:rsidRDefault="00B642E6" w:rsidP="00B642E6">
      <w:pPr>
        <w:widowControl w:val="0"/>
        <w:numPr>
          <w:ilvl w:val="0"/>
          <w:numId w:val="1"/>
        </w:numPr>
        <w:autoSpaceDE w:val="0"/>
        <w:autoSpaceDN w:val="0"/>
        <w:spacing w:after="0" w:line="259" w:lineRule="auto"/>
        <w:ind w:right="423"/>
        <w:rPr>
          <w:rFonts w:eastAsia="Open Sans" w:cs="Calibri"/>
          <w:lang w:bidi="en-US"/>
        </w:rPr>
      </w:pPr>
      <w:r w:rsidRPr="00B642E6">
        <w:rPr>
          <w:rFonts w:eastAsia="Open Sans" w:cs="Calibri"/>
          <w:lang w:bidi="en-US"/>
        </w:rPr>
        <w:t>Chronic absenteeism</w:t>
      </w:r>
    </w:p>
    <w:p w14:paraId="416229E7" w14:textId="77777777" w:rsidR="00B642E6" w:rsidRPr="00B642E6" w:rsidRDefault="00B642E6" w:rsidP="00B642E6">
      <w:pPr>
        <w:widowControl w:val="0"/>
        <w:numPr>
          <w:ilvl w:val="0"/>
          <w:numId w:val="1"/>
        </w:numPr>
        <w:autoSpaceDE w:val="0"/>
        <w:autoSpaceDN w:val="0"/>
        <w:spacing w:after="0" w:line="259" w:lineRule="auto"/>
        <w:ind w:right="423"/>
        <w:rPr>
          <w:rFonts w:eastAsia="Open Sans" w:cs="Calibri"/>
          <w:lang w:bidi="en-US"/>
        </w:rPr>
      </w:pPr>
      <w:r w:rsidRPr="00B642E6">
        <w:rPr>
          <w:rFonts w:eastAsia="Open Sans" w:cs="Calibri"/>
          <w:lang w:bidi="en-US"/>
        </w:rPr>
        <w:t>Ready graduate (high school only)</w:t>
      </w:r>
    </w:p>
    <w:p w14:paraId="6DEE5B08" w14:textId="77777777" w:rsidR="00B642E6" w:rsidRPr="00B642E6" w:rsidRDefault="00B642E6" w:rsidP="00B642E6">
      <w:pPr>
        <w:widowControl w:val="0"/>
        <w:numPr>
          <w:ilvl w:val="0"/>
          <w:numId w:val="1"/>
        </w:numPr>
        <w:autoSpaceDE w:val="0"/>
        <w:autoSpaceDN w:val="0"/>
        <w:spacing w:after="0" w:line="259" w:lineRule="auto"/>
        <w:ind w:right="423"/>
        <w:rPr>
          <w:rFonts w:eastAsia="Open Sans" w:cs="Calibri"/>
          <w:lang w:bidi="en-US"/>
        </w:rPr>
      </w:pPr>
      <w:r w:rsidRPr="00B642E6">
        <w:rPr>
          <w:rFonts w:eastAsia="Open Sans" w:cs="Calibri"/>
          <w:lang w:bidi="en-US"/>
        </w:rPr>
        <w:t>Graduation rate (high school only)</w:t>
      </w:r>
    </w:p>
    <w:p w14:paraId="43339764" w14:textId="77777777" w:rsidR="00B642E6" w:rsidRPr="00DD258A" w:rsidRDefault="00B642E6">
      <w:pPr>
        <w:rPr>
          <w:rFonts w:cs="Calibri"/>
        </w:rPr>
        <w:sectPr w:rsidR="00B642E6" w:rsidRPr="00DD258A" w:rsidSect="00B642E6">
          <w:type w:val="continuous"/>
          <w:pgSz w:w="12240" w:h="15840"/>
          <w:pgMar w:top="1440" w:right="1440" w:bottom="1440" w:left="1440" w:header="720" w:footer="720" w:gutter="0"/>
          <w:cols w:num="2" w:space="720"/>
          <w:docGrid w:linePitch="360"/>
        </w:sectPr>
      </w:pPr>
    </w:p>
    <w:p w14:paraId="5126A280" w14:textId="5072CA96"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normaltextrun"/>
          <w:rFonts w:ascii="Calibri" w:eastAsiaTheme="majorEastAsia" w:hAnsi="Calibri" w:cs="Calibri"/>
          <w:sz w:val="22"/>
          <w:szCs w:val="22"/>
        </w:rPr>
        <w:t xml:space="preserve">More information on each of these indicators and the data used to define them can be found in the </w:t>
      </w:r>
      <w:hyperlink r:id="rId9" w:tgtFrame="_blank" w:tooltip="https://www.tn.gov/content/dam/tn/education/accountability/2024-25_Federal_Accountability_Protocol.pdf" w:history="1">
        <w:r w:rsidRPr="00DD258A">
          <w:rPr>
            <w:rFonts w:ascii="Calibri" w:hAnsi="Calibri" w:cs="Calibri"/>
            <w:color w:val="467886"/>
            <w:sz w:val="22"/>
            <w:szCs w:val="22"/>
            <w:u w:val="single"/>
            <w:bdr w:val="none" w:sz="0" w:space="0" w:color="auto" w:frame="1"/>
          </w:rPr>
          <w:br/>
        </w:r>
        <w:hyperlink r:id="rId10" w:tooltip="https://www.tn.gov/content/dam/tn/education/accountability/2024-25%20Federal%20Accountability%20Protocol%201.pdf" w:history="1">
          <w:r w:rsidRPr="00DD258A">
            <w:rPr>
              <w:rStyle w:val="Hyperlink"/>
              <w:rFonts w:ascii="Calibri" w:eastAsiaTheme="majorEastAsia" w:hAnsi="Calibri" w:cs="Calibri"/>
              <w:sz w:val="22"/>
              <w:szCs w:val="22"/>
              <w:bdr w:val="none" w:sz="0" w:space="0" w:color="auto" w:frame="1"/>
            </w:rPr>
            <w:t>2024-25 Federal Accountability Protocol</w:t>
          </w:r>
        </w:hyperlink>
      </w:hyperlink>
      <w:r w:rsidRPr="00DD258A">
        <w:rPr>
          <w:rStyle w:val="normaltextrun"/>
          <w:rFonts w:ascii="Calibri" w:eastAsiaTheme="majorEastAsia" w:hAnsi="Calibri" w:cs="Calibri"/>
          <w:sz w:val="22"/>
          <w:szCs w:val="22"/>
        </w:rPr>
        <w:t xml:space="preserve">.  Under the federal Every Student Succeeds Act (ESSA), the department is required to use the school accountability results to identify those schools with the lowest performance across student groups (e.g., individual racial/ethnic student groups, students with disabilities, economically disadvantaged, and English learners). These schools will receive additional </w:t>
      </w:r>
      <w:r w:rsidR="00DD258A" w:rsidRPr="00DD258A">
        <w:rPr>
          <w:rStyle w:val="normaltextrun"/>
          <w:rFonts w:ascii="Calibri" w:eastAsiaTheme="majorEastAsia" w:hAnsi="Calibri" w:cs="Calibri"/>
          <w:sz w:val="22"/>
          <w:szCs w:val="22"/>
        </w:rPr>
        <w:t>support</w:t>
      </w:r>
      <w:r w:rsidRPr="00DD258A">
        <w:rPr>
          <w:rStyle w:val="normaltextrun"/>
          <w:rFonts w:ascii="Calibri" w:eastAsiaTheme="majorEastAsia" w:hAnsi="Calibri" w:cs="Calibri"/>
          <w:sz w:val="22"/>
          <w:szCs w:val="22"/>
        </w:rPr>
        <w:t xml:space="preserve"> from the department.</w:t>
      </w:r>
      <w:r w:rsidRPr="00DD258A">
        <w:rPr>
          <w:rStyle w:val="eop"/>
          <w:rFonts w:ascii="Calibri" w:eastAsiaTheme="majorEastAsia" w:hAnsi="Calibri" w:cs="Calibri"/>
          <w:sz w:val="22"/>
          <w:szCs w:val="22"/>
        </w:rPr>
        <w:t> </w:t>
      </w:r>
    </w:p>
    <w:p w14:paraId="5234F645"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eop"/>
          <w:rFonts w:ascii="Calibri" w:eastAsiaTheme="majorEastAsia" w:hAnsi="Calibri" w:cs="Calibri"/>
          <w:sz w:val="22"/>
          <w:szCs w:val="22"/>
        </w:rPr>
        <w:t> </w:t>
      </w:r>
    </w:p>
    <w:p w14:paraId="54D892E0"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normaltextrun"/>
          <w:rFonts w:ascii="Calibri" w:eastAsiaTheme="majorEastAsia" w:hAnsi="Calibri" w:cs="Calibri"/>
          <w:sz w:val="22"/>
          <w:szCs w:val="22"/>
        </w:rPr>
        <w:t xml:space="preserve">We are writing to inform you that </w:t>
      </w:r>
      <w:r w:rsidRPr="00DD258A">
        <w:rPr>
          <w:rStyle w:val="normaltextrun"/>
          <w:rFonts w:ascii="Calibri" w:eastAsiaTheme="majorEastAsia" w:hAnsi="Calibri" w:cs="Calibri"/>
          <w:b/>
          <w:bCs/>
          <w:sz w:val="22"/>
          <w:szCs w:val="22"/>
        </w:rPr>
        <w:t>Melrose High School</w:t>
      </w:r>
      <w:r w:rsidRPr="00DD258A">
        <w:rPr>
          <w:rStyle w:val="normaltextrun"/>
          <w:rFonts w:ascii="Calibri" w:eastAsiaTheme="majorEastAsia" w:hAnsi="Calibri" w:cs="Calibri"/>
          <w:sz w:val="22"/>
          <w:szCs w:val="22"/>
        </w:rPr>
        <w:t xml:space="preserve"> is identified for Comprehensive Support and Improvement (CSI)</w:t>
      </w:r>
      <w:r w:rsidRPr="00DD258A">
        <w:rPr>
          <w:rStyle w:val="normaltextrun"/>
          <w:rFonts w:ascii="Calibri" w:eastAsiaTheme="majorEastAsia" w:hAnsi="Calibri" w:cs="Calibri"/>
          <w:i/>
          <w:iCs/>
          <w:color w:val="FF0000"/>
          <w:sz w:val="22"/>
          <w:szCs w:val="22"/>
        </w:rPr>
        <w:t xml:space="preserve"> </w:t>
      </w:r>
      <w:r w:rsidRPr="00DD258A">
        <w:rPr>
          <w:rStyle w:val="normaltextrun"/>
          <w:rFonts w:ascii="Calibri" w:eastAsiaTheme="majorEastAsia" w:hAnsi="Calibri" w:cs="Calibri"/>
          <w:sz w:val="22"/>
          <w:szCs w:val="22"/>
        </w:rPr>
        <w:t>as required by ESSA and the U.S. Department of Education during the 2025-26 school year.</w:t>
      </w:r>
      <w:r w:rsidRPr="00DD258A">
        <w:rPr>
          <w:rStyle w:val="eop"/>
          <w:rFonts w:ascii="Calibri" w:eastAsiaTheme="majorEastAsia" w:hAnsi="Calibri" w:cs="Calibri"/>
          <w:sz w:val="22"/>
          <w:szCs w:val="22"/>
        </w:rPr>
        <w:t> </w:t>
      </w:r>
    </w:p>
    <w:p w14:paraId="1387851A"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eop"/>
          <w:rFonts w:ascii="Calibri" w:eastAsiaTheme="majorEastAsia" w:hAnsi="Calibri" w:cs="Calibri"/>
          <w:sz w:val="22"/>
          <w:szCs w:val="22"/>
        </w:rPr>
        <w:t> </w:t>
      </w:r>
    </w:p>
    <w:p w14:paraId="5109F53C" w14:textId="77777777" w:rsidR="00B642E6" w:rsidRPr="00DD258A" w:rsidRDefault="00B642E6" w:rsidP="00B642E6">
      <w:pPr>
        <w:pStyle w:val="paragraph"/>
        <w:spacing w:before="0" w:beforeAutospacing="0" w:after="0" w:afterAutospacing="0"/>
        <w:textAlignment w:val="baseline"/>
        <w:rPr>
          <w:rFonts w:ascii="Calibri" w:hAnsi="Calibri" w:cs="Calibri"/>
          <w:sz w:val="22"/>
          <w:szCs w:val="22"/>
        </w:rPr>
      </w:pPr>
      <w:r w:rsidRPr="00DD258A">
        <w:rPr>
          <w:rStyle w:val="normaltextrun"/>
          <w:rFonts w:ascii="Calibri" w:eastAsiaTheme="majorEastAsia" w:hAnsi="Calibri" w:cs="Calibri"/>
          <w:sz w:val="22"/>
          <w:szCs w:val="22"/>
        </w:rPr>
        <w:t xml:space="preserve">Our school is working hard with the district and the Tennessee Department of Education to increase student performance by </w:t>
      </w:r>
      <w:r w:rsidRPr="00DD258A">
        <w:rPr>
          <w:rFonts w:ascii="Calibri" w:hAnsi="Calibri" w:cs="Calibri"/>
          <w:b/>
          <w:bCs/>
          <w:sz w:val="22"/>
          <w:szCs w:val="22"/>
        </w:rPr>
        <w:t>improving daily instruction, regularly monitoring student progress, providing extra academic support when needed, focusing on essential learning standards, and increasing opportunities that prepare students for success after high school.</w:t>
      </w:r>
      <w:r w:rsidRPr="00DD258A">
        <w:rPr>
          <w:rFonts w:ascii="Calibri" w:hAnsi="Calibri" w:cs="Calibri"/>
          <w:sz w:val="22"/>
          <w:szCs w:val="22"/>
        </w:rPr>
        <w:t xml:space="preserve"> </w:t>
      </w:r>
      <w:r w:rsidRPr="00DD258A">
        <w:rPr>
          <w:rStyle w:val="normaltextrun"/>
          <w:rFonts w:ascii="Calibri" w:eastAsiaTheme="majorEastAsia" w:hAnsi="Calibri" w:cs="Calibri"/>
          <w:sz w:val="22"/>
          <w:szCs w:val="22"/>
        </w:rPr>
        <w:t xml:space="preserve">We encourage you to help by participating in the development and implementation of our school improvement plan and/or </w:t>
      </w:r>
      <w:r w:rsidRPr="00DD258A">
        <w:rPr>
          <w:rFonts w:ascii="Calibri" w:hAnsi="Calibri" w:cs="Calibri"/>
          <w:b/>
          <w:bCs/>
          <w:sz w:val="22"/>
          <w:szCs w:val="22"/>
        </w:rPr>
        <w:t>participating in family engagement opportunities, staying connected with your child’s teachers, and supporting strong daily attendance. Being present and on time each day plays a critical role in academic growth and achievement</w:t>
      </w:r>
      <w:r w:rsidRPr="00DD258A">
        <w:rPr>
          <w:rFonts w:ascii="Calibri" w:hAnsi="Calibri" w:cs="Calibri"/>
          <w:sz w:val="22"/>
          <w:szCs w:val="22"/>
        </w:rPr>
        <w:t>.</w:t>
      </w:r>
    </w:p>
    <w:p w14:paraId="0611E0E2" w14:textId="77777777" w:rsidR="00B642E6" w:rsidRPr="00DD258A" w:rsidRDefault="00B642E6" w:rsidP="00B642E6">
      <w:pPr>
        <w:pStyle w:val="paragraph"/>
        <w:spacing w:before="0" w:beforeAutospacing="0" w:after="0" w:afterAutospacing="0"/>
        <w:textAlignment w:val="baseline"/>
        <w:rPr>
          <w:rStyle w:val="normaltextrun"/>
          <w:rFonts w:ascii="Calibri" w:eastAsiaTheme="majorEastAsia" w:hAnsi="Calibri" w:cs="Calibri"/>
          <w:sz w:val="22"/>
          <w:szCs w:val="22"/>
        </w:rPr>
      </w:pPr>
    </w:p>
    <w:p w14:paraId="76ECE8A8" w14:textId="77777777" w:rsidR="00B642E6" w:rsidRPr="00DD258A" w:rsidRDefault="00B642E6" w:rsidP="00B642E6">
      <w:pPr>
        <w:pStyle w:val="paragraph"/>
        <w:spacing w:before="0" w:beforeAutospacing="0" w:after="0" w:afterAutospacing="0"/>
        <w:textAlignment w:val="baseline"/>
        <w:rPr>
          <w:rStyle w:val="normaltextrun"/>
          <w:rFonts w:ascii="Calibri" w:eastAsiaTheme="majorEastAsia" w:hAnsi="Calibri" w:cs="Calibri"/>
          <w:sz w:val="22"/>
          <w:szCs w:val="22"/>
        </w:rPr>
      </w:pPr>
      <w:r w:rsidRPr="00DD258A">
        <w:rPr>
          <w:rStyle w:val="normaltextrun"/>
          <w:rFonts w:ascii="Calibri" w:eastAsiaTheme="majorEastAsia" w:hAnsi="Calibri" w:cs="Calibri"/>
          <w:sz w:val="22"/>
          <w:szCs w:val="22"/>
        </w:rPr>
        <w:t>Sincerely, </w:t>
      </w:r>
    </w:p>
    <w:p w14:paraId="02E9452B" w14:textId="77777777" w:rsidR="00B642E6" w:rsidRPr="00DD258A" w:rsidRDefault="00B642E6" w:rsidP="00B642E6">
      <w:pPr>
        <w:pStyle w:val="paragraph"/>
        <w:spacing w:before="0" w:beforeAutospacing="0" w:after="0" w:afterAutospacing="0"/>
        <w:textAlignment w:val="baseline"/>
        <w:rPr>
          <w:rStyle w:val="normaltextrun"/>
          <w:rFonts w:ascii="Calibri" w:eastAsiaTheme="majorEastAsia" w:hAnsi="Calibri" w:cs="Calibri"/>
          <w:i/>
          <w:iCs/>
          <w:color w:val="FF0000"/>
          <w:sz w:val="22"/>
          <w:szCs w:val="22"/>
        </w:rPr>
      </w:pPr>
    </w:p>
    <w:p w14:paraId="73EF9A21" w14:textId="0F8BE50F" w:rsidR="00B642E6" w:rsidRPr="00DD258A" w:rsidRDefault="00B642E6" w:rsidP="00DD258A">
      <w:pPr>
        <w:tabs>
          <w:tab w:val="left" w:pos="3495"/>
        </w:tabs>
        <w:rPr>
          <w:rFonts w:eastAsia="Times New Roman" w:cs="Calibri"/>
        </w:rPr>
      </w:pPr>
      <w:r w:rsidRPr="00DD258A">
        <w:rPr>
          <w:rStyle w:val="normaltextrun"/>
          <w:rFonts w:eastAsia="Times New Roman" w:cs="Calibri"/>
        </w:rPr>
        <w:t>Principal Andrea Y. Talley</w:t>
      </w:r>
      <w:r w:rsidR="00DD258A">
        <w:rPr>
          <w:rStyle w:val="normaltextrun"/>
          <w:rFonts w:eastAsia="Times New Roman" w:cs="Calibri"/>
        </w:rPr>
        <w:tab/>
      </w:r>
    </w:p>
    <w:sectPr w:rsidR="00B642E6" w:rsidRPr="00DD258A" w:rsidSect="00B642E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14351" w14:textId="77777777" w:rsidR="00C869B9" w:rsidRDefault="00C869B9" w:rsidP="00B642E6">
      <w:pPr>
        <w:spacing w:after="0" w:line="240" w:lineRule="auto"/>
      </w:pPr>
      <w:r>
        <w:separator/>
      </w:r>
    </w:p>
  </w:endnote>
  <w:endnote w:type="continuationSeparator" w:id="0">
    <w:p w14:paraId="39A5AFC3" w14:textId="77777777" w:rsidR="00C869B9" w:rsidRDefault="00C869B9" w:rsidP="00B64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Minion Pro SmBd">
    <w:altName w:val="Lucida Bright"/>
    <w:charset w:val="00"/>
    <w:family w:val="auto"/>
    <w:pitch w:val="variable"/>
    <w:sig w:usb0="00000003" w:usb1="00000000" w:usb2="00000000" w:usb3="00000000" w:csb0="00000001" w:csb1="00000000"/>
  </w:font>
  <w:font w:name="Minion Pro">
    <w:altName w:val="Cambria Math"/>
    <w:charset w:val="00"/>
    <w:family w:val="auto"/>
    <w:pitch w:val="variable"/>
    <w:sig w:usb0="00000001" w:usb1="00000001"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B0C4" w14:textId="39D3BE5E" w:rsidR="00DD258A" w:rsidRDefault="00DD258A" w:rsidP="00B642E6">
    <w:pPr>
      <w:pStyle w:val="BasicParagraph"/>
      <w:ind w:left="270"/>
      <w:jc w:val="center"/>
      <w:rPr>
        <w:rFonts w:ascii="Minion Pro SmBd" w:hAnsi="Minion Pro SmBd" w:cs="Calibri"/>
        <w:b/>
        <w:bCs/>
        <w:smallCaps/>
        <w:noProof/>
      </w:rPr>
    </w:pPr>
    <w:r>
      <w:rPr>
        <w:rFonts w:ascii="Minion Pro SmBd" w:hAnsi="Minion Pro SmBd" w:cs="Calibri"/>
        <w:b/>
        <w:bCs/>
        <w:smallCaps/>
        <w:noProof/>
        <w14:ligatures w14:val="standardContextual"/>
      </w:rPr>
      <mc:AlternateContent>
        <mc:Choice Requires="wps">
          <w:drawing>
            <wp:anchor distT="0" distB="0" distL="114300" distR="114300" simplePos="0" relativeHeight="251659264" behindDoc="0" locked="0" layoutInCell="1" allowOverlap="1" wp14:anchorId="5A7F8BD9" wp14:editId="3C418D3A">
              <wp:simplePos x="0" y="0"/>
              <wp:positionH relativeFrom="column">
                <wp:posOffset>-600075</wp:posOffset>
              </wp:positionH>
              <wp:positionV relativeFrom="paragraph">
                <wp:posOffset>113665</wp:posOffset>
              </wp:positionV>
              <wp:extent cx="7143750" cy="9525"/>
              <wp:effectExtent l="0" t="0" r="19050" b="28575"/>
              <wp:wrapNone/>
              <wp:docPr id="430150767" name="Straight Connector 10"/>
              <wp:cNvGraphicFramePr/>
              <a:graphic xmlns:a="http://schemas.openxmlformats.org/drawingml/2006/main">
                <a:graphicData uri="http://schemas.microsoft.com/office/word/2010/wordprocessingShape">
                  <wps:wsp>
                    <wps:cNvCnPr/>
                    <wps:spPr>
                      <a:xfrm flipV="1">
                        <a:off x="0" y="0"/>
                        <a:ext cx="7143750" cy="9525"/>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C140513" id="Straight Connector 10"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47.25pt,8.95pt" to="515.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" strokecolor="#c00000" strokeweight="1.5pt">
              <v:stroke joinstyle="miter"/>
            </v:line>
          </w:pict>
        </mc:Fallback>
      </mc:AlternateContent>
    </w:r>
    <w:r>
      <w:rPr>
        <w:rFonts w:ascii="Minion Pro SmBd" w:hAnsi="Minion Pro SmBd" w:cs="Calibri"/>
        <w:b/>
        <w:bCs/>
        <w:smallCaps/>
        <w:noProof/>
        <w14:ligatures w14:val="standardContextual"/>
      </w:rPr>
      <w:t xml:space="preserve"> </w:t>
    </w:r>
  </w:p>
  <w:p w14:paraId="3FE95375" w14:textId="0A1AFBC0" w:rsidR="00B642E6" w:rsidRPr="00AC5AE1" w:rsidRDefault="00B642E6" w:rsidP="00B642E6">
    <w:pPr>
      <w:pStyle w:val="BasicParagraph"/>
      <w:ind w:left="270"/>
      <w:jc w:val="center"/>
      <w:rPr>
        <w:rFonts w:ascii="Calibri" w:hAnsi="Calibri" w:cs="Calibri"/>
        <w:sz w:val="22"/>
        <w:szCs w:val="22"/>
      </w:rPr>
    </w:pPr>
    <w:r>
      <w:rPr>
        <w:rFonts w:ascii="Minion Pro SmBd" w:hAnsi="Minion Pro SmBd" w:cs="Calibri"/>
        <w:b/>
        <w:bCs/>
        <w:smallCaps/>
        <w:noProof/>
      </w:rPr>
      <w:t>MELROSE HIGH SCHOOL</w:t>
    </w:r>
  </w:p>
  <w:p w14:paraId="7533830C" w14:textId="77777777" w:rsidR="00B642E6" w:rsidRPr="00A61C35" w:rsidRDefault="00B642E6" w:rsidP="00B642E6">
    <w:pPr>
      <w:pStyle w:val="BasicParagraph"/>
      <w:ind w:left="270"/>
      <w:jc w:val="center"/>
      <w:rPr>
        <w:rFonts w:ascii="Times New Roman" w:hAnsi="Times New Roman" w:cs="Times New Roman"/>
        <w:sz w:val="22"/>
        <w:szCs w:val="22"/>
      </w:rPr>
    </w:pPr>
    <w:r w:rsidRPr="00A61C35">
      <w:rPr>
        <w:rFonts w:ascii="Times New Roman" w:hAnsi="Times New Roman" w:cs="Times New Roman"/>
        <w:sz w:val="22"/>
        <w:szCs w:val="22"/>
      </w:rPr>
      <w:t>2870 Deadrick Ave.• Memphis, TN 38114 • (901) 416-5974 • Fax (901) 416-59</w:t>
    </w:r>
    <w:r>
      <w:rPr>
        <w:rFonts w:ascii="Times New Roman" w:hAnsi="Times New Roman" w:cs="Times New Roman"/>
        <w:sz w:val="22"/>
        <w:szCs w:val="22"/>
      </w:rPr>
      <w:t>8</w:t>
    </w:r>
    <w:r w:rsidRPr="00A61C35">
      <w:rPr>
        <w:rFonts w:ascii="Times New Roman" w:hAnsi="Times New Roman" w:cs="Times New Roman"/>
        <w:sz w:val="22"/>
        <w:szCs w:val="22"/>
      </w:rPr>
      <w:t>4 • www.scsk12.org</w:t>
    </w:r>
  </w:p>
  <w:p w14:paraId="21D82E93" w14:textId="7D7F8268" w:rsidR="00B642E6" w:rsidRDefault="00B642E6">
    <w:pPr>
      <w:pStyle w:val="Footer"/>
    </w:pPr>
    <w:r w:rsidRPr="00A61C35">
      <w:rPr>
        <w:rFonts w:ascii="Times New Roman" w:hAnsi="Times New Roman"/>
        <w:iCs/>
        <w:w w:val="99"/>
        <w:sz w:val="14"/>
        <w:szCs w:val="14"/>
      </w:rPr>
      <w:t>Memphis-Shelby County Schools offers educational and employment opportunities without regard to race, color, religion, sex, creed, age, disability, national origin, or genetic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56D05" w14:textId="77777777" w:rsidR="00C869B9" w:rsidRDefault="00C869B9" w:rsidP="00B642E6">
      <w:pPr>
        <w:spacing w:after="0" w:line="240" w:lineRule="auto"/>
      </w:pPr>
      <w:r>
        <w:separator/>
      </w:r>
    </w:p>
  </w:footnote>
  <w:footnote w:type="continuationSeparator" w:id="0">
    <w:p w14:paraId="57EB1F47" w14:textId="77777777" w:rsidR="00C869B9" w:rsidRDefault="00C869B9" w:rsidP="00B642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25415"/>
    <w:multiLevelType w:val="hybridMultilevel"/>
    <w:tmpl w:val="C15C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72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2E6"/>
    <w:rsid w:val="00014737"/>
    <w:rsid w:val="001A6F85"/>
    <w:rsid w:val="004821BD"/>
    <w:rsid w:val="00696307"/>
    <w:rsid w:val="00A43A79"/>
    <w:rsid w:val="00B642E6"/>
    <w:rsid w:val="00C869B9"/>
    <w:rsid w:val="00DD1A1E"/>
    <w:rsid w:val="00DD2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D0D78"/>
  <w15:chartTrackingRefBased/>
  <w15:docId w15:val="{68E183CA-7B3F-401A-B09B-0A7FBD584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2E6"/>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64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2E6"/>
    <w:rPr>
      <w:rFonts w:eastAsiaTheme="majorEastAsia" w:cstheme="majorBidi"/>
      <w:color w:val="272727" w:themeColor="text1" w:themeTint="D8"/>
    </w:rPr>
  </w:style>
  <w:style w:type="paragraph" w:styleId="Title">
    <w:name w:val="Title"/>
    <w:basedOn w:val="Normal"/>
    <w:next w:val="Normal"/>
    <w:link w:val="TitleChar"/>
    <w:uiPriority w:val="10"/>
    <w:qFormat/>
    <w:rsid w:val="00B64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2E6"/>
    <w:pPr>
      <w:spacing w:before="160"/>
      <w:jc w:val="center"/>
    </w:pPr>
    <w:rPr>
      <w:i/>
      <w:iCs/>
      <w:color w:val="404040" w:themeColor="text1" w:themeTint="BF"/>
    </w:rPr>
  </w:style>
  <w:style w:type="character" w:customStyle="1" w:styleId="QuoteChar">
    <w:name w:val="Quote Char"/>
    <w:basedOn w:val="DefaultParagraphFont"/>
    <w:link w:val="Quote"/>
    <w:uiPriority w:val="29"/>
    <w:rsid w:val="00B642E6"/>
    <w:rPr>
      <w:i/>
      <w:iCs/>
      <w:color w:val="404040" w:themeColor="text1" w:themeTint="BF"/>
    </w:rPr>
  </w:style>
  <w:style w:type="paragraph" w:styleId="ListParagraph">
    <w:name w:val="List Paragraph"/>
    <w:basedOn w:val="Normal"/>
    <w:uiPriority w:val="34"/>
    <w:qFormat/>
    <w:rsid w:val="00B642E6"/>
    <w:pPr>
      <w:ind w:left="720"/>
      <w:contextualSpacing/>
    </w:pPr>
  </w:style>
  <w:style w:type="character" w:styleId="IntenseEmphasis">
    <w:name w:val="Intense Emphasis"/>
    <w:basedOn w:val="DefaultParagraphFont"/>
    <w:uiPriority w:val="21"/>
    <w:qFormat/>
    <w:rsid w:val="00B642E6"/>
    <w:rPr>
      <w:i/>
      <w:iCs/>
      <w:color w:val="0F4761" w:themeColor="accent1" w:themeShade="BF"/>
    </w:rPr>
  </w:style>
  <w:style w:type="paragraph" w:styleId="IntenseQuote">
    <w:name w:val="Intense Quote"/>
    <w:basedOn w:val="Normal"/>
    <w:next w:val="Normal"/>
    <w:link w:val="IntenseQuoteChar"/>
    <w:uiPriority w:val="30"/>
    <w:qFormat/>
    <w:rsid w:val="00B64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2E6"/>
    <w:rPr>
      <w:i/>
      <w:iCs/>
      <w:color w:val="0F4761" w:themeColor="accent1" w:themeShade="BF"/>
    </w:rPr>
  </w:style>
  <w:style w:type="character" w:styleId="IntenseReference">
    <w:name w:val="Intense Reference"/>
    <w:basedOn w:val="DefaultParagraphFont"/>
    <w:uiPriority w:val="32"/>
    <w:qFormat/>
    <w:rsid w:val="00B642E6"/>
    <w:rPr>
      <w:b/>
      <w:bCs/>
      <w:smallCaps/>
      <w:color w:val="0F4761" w:themeColor="accent1" w:themeShade="BF"/>
      <w:spacing w:val="5"/>
    </w:rPr>
  </w:style>
  <w:style w:type="paragraph" w:styleId="Header">
    <w:name w:val="header"/>
    <w:basedOn w:val="Normal"/>
    <w:link w:val="HeaderChar"/>
    <w:uiPriority w:val="99"/>
    <w:unhideWhenUsed/>
    <w:rsid w:val="00B642E6"/>
    <w:pPr>
      <w:tabs>
        <w:tab w:val="center" w:pos="4320"/>
        <w:tab w:val="right" w:pos="8640"/>
      </w:tabs>
      <w:spacing w:after="0" w:line="240" w:lineRule="auto"/>
    </w:pPr>
    <w:rPr>
      <w:rFonts w:ascii="Cambria" w:eastAsia="MS Mincho" w:hAnsi="Cambria"/>
      <w:sz w:val="24"/>
      <w:szCs w:val="24"/>
    </w:rPr>
  </w:style>
  <w:style w:type="character" w:customStyle="1" w:styleId="HeaderChar">
    <w:name w:val="Header Char"/>
    <w:basedOn w:val="DefaultParagraphFont"/>
    <w:link w:val="Header"/>
    <w:uiPriority w:val="99"/>
    <w:rsid w:val="00B642E6"/>
    <w:rPr>
      <w:rFonts w:ascii="Cambria" w:eastAsia="MS Mincho" w:hAnsi="Cambria" w:cs="Times New Roman"/>
      <w:kern w:val="0"/>
      <w14:ligatures w14:val="none"/>
    </w:rPr>
  </w:style>
  <w:style w:type="paragraph" w:customStyle="1" w:styleId="paragraph">
    <w:name w:val="paragraph"/>
    <w:basedOn w:val="Normal"/>
    <w:rsid w:val="00B642E6"/>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B642E6"/>
  </w:style>
  <w:style w:type="character" w:customStyle="1" w:styleId="eop">
    <w:name w:val="eop"/>
    <w:basedOn w:val="DefaultParagraphFont"/>
    <w:rsid w:val="00B642E6"/>
  </w:style>
  <w:style w:type="character" w:styleId="Hyperlink">
    <w:name w:val="Hyperlink"/>
    <w:basedOn w:val="DefaultParagraphFont"/>
    <w:uiPriority w:val="99"/>
    <w:unhideWhenUsed/>
    <w:rsid w:val="00B642E6"/>
    <w:rPr>
      <w:color w:val="467886" w:themeColor="hyperlink"/>
      <w:u w:val="single"/>
    </w:rPr>
  </w:style>
  <w:style w:type="paragraph" w:styleId="Footer">
    <w:name w:val="footer"/>
    <w:basedOn w:val="Normal"/>
    <w:link w:val="FooterChar"/>
    <w:uiPriority w:val="99"/>
    <w:unhideWhenUsed/>
    <w:rsid w:val="00B64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2E6"/>
    <w:rPr>
      <w:rFonts w:ascii="Calibri" w:eastAsia="Calibri" w:hAnsi="Calibri" w:cs="Times New Roman"/>
      <w:kern w:val="0"/>
      <w:sz w:val="22"/>
      <w:szCs w:val="22"/>
      <w14:ligatures w14:val="none"/>
    </w:rPr>
  </w:style>
  <w:style w:type="paragraph" w:customStyle="1" w:styleId="BasicParagraph">
    <w:name w:val="[Basic Paragraph]"/>
    <w:basedOn w:val="Normal"/>
    <w:uiPriority w:val="99"/>
    <w:rsid w:val="00B642E6"/>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tn.gov/content/dam/tn/education/accountability/2024-25%20Federal%20Accountability%20Protocol%201.pdf" TargetMode="External"/><Relationship Id="rId4" Type="http://schemas.openxmlformats.org/officeDocument/2006/relationships/webSettings" Target="webSettings.xml"/><Relationship Id="rId9" Type="http://schemas.openxmlformats.org/officeDocument/2006/relationships/hyperlink" Target="https://www.tn.gov/content/dam/tn/education/accountability/2024-25_Federal_Accountability_Protoc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R WILLIAMS</dc:creator>
  <cp:keywords/>
  <dc:description/>
  <cp:lastModifiedBy>ANDREA Y TALLEY</cp:lastModifiedBy>
  <cp:revision>2</cp:revision>
  <dcterms:created xsi:type="dcterms:W3CDTF">2026-03-04T21:49:00Z</dcterms:created>
  <dcterms:modified xsi:type="dcterms:W3CDTF">2026-03-04T21:49:00Z</dcterms:modified>
</cp:coreProperties>
</file>