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2025-2026 Staff Meeting Schedule</w:t>
      </w:r>
    </w:p>
    <w:p w:rsidR="00000000" w:rsidDel="00000000" w:rsidP="00000000" w:rsidRDefault="00000000" w:rsidRPr="00000000" w14:paraId="00000002">
      <w:pPr>
        <w:jc w:val="center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All staff meetings with meet in the Triple unless otherwise stated. Each meeting will start at 3:00 p.m.</w:t>
      </w:r>
    </w:p>
    <w:tbl>
      <w:tblPr>
        <w:tblStyle w:val="Table1"/>
        <w:tblW w:w="9469.0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1909"/>
        <w:gridCol w:w="7560"/>
        <w:tblGridChange w:id="0">
          <w:tblGrid>
            <w:gridCol w:w="1909"/>
            <w:gridCol w:w="7560"/>
          </w:tblGrid>
        </w:tblGridChange>
      </w:tblGrid>
      <w:tr>
        <w:trPr>
          <w:cantSplit w:val="0"/>
          <w:trHeight w:val="27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Topic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August 20th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Business Office Updates-Joanne Hughes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September 3rd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Schoolinks Review- Matt Vella, Elizabeth Del 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September 17th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Crisis Plan Updates- Laura Emmerling and Eric Baumann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October 1st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Celebration of Partnerships - Derrick Buress, Danielle Friedlieb, Elizabeth del 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October 9th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Fall Institute 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October 15th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Wellness -Laura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November 5th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Tour of Tech/ Skills-Danielle Friedlieb and Laura Emmerling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Nov 19th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Work-Based Learning- Elizabeth Del 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December 4th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Introduction to SEL- Laura Emmerling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Jan 7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, 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Classroom Management Refresh-Eric Baumann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January 21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Introduction to AI- Surprise Guest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February 4th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Dual Credit and Certifications- Technology 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February 13</w:t>
            </w: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Spring Institute 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February 18th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TBD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March 4th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Career Expo-Elizabeth Del 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April 1st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Future Quest-Danielle Friedlieb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April 15th 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Laura’s Surprise Event- Laura Emmerling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Comic Sans MS" w:cs="Comic Sans MS" w:eastAsia="Comic Sans MS" w:hAnsi="Comic Sans M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ffffff"/>
                <w:sz w:val="24"/>
                <w:szCs w:val="24"/>
                <w:rtl w:val="0"/>
              </w:rPr>
              <w:t xml:space="preserve">May 6th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24"/>
                <w:szCs w:val="24"/>
                <w:rtl w:val="0"/>
              </w:rPr>
              <w:t xml:space="preserve">Student Recognition Night- Administrative Team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194913" cy="639268"/>
          <wp:effectExtent b="0" l="0" r="0" t="0"/>
          <wp:docPr descr="https://lh5.googleusercontent.com/NWKGEujJsXydrFMNTZErq2Ub9j07ovxONIdjvBT6M2UQrYmkn3voIU4pKH8rMinyG9eG-oJ8zPksybM4HpdX9PIJR5rc0Zaf2t12jxMjYJbPg5SHpgqQcmAwyMgVxwMaLOwB-SUry5NS4IH55eUy71Gh1EQnF0XMHeG0MlxuiZzY_uvM5uf1CADFGkA" id="1" name="image1.png"/>
          <a:graphic>
            <a:graphicData uri="http://schemas.openxmlformats.org/drawingml/2006/picture">
              <pic:pic>
                <pic:nvPicPr>
                  <pic:cNvPr descr="https://lh5.googleusercontent.com/NWKGEujJsXydrFMNTZErq2Ub9j07ovxONIdjvBT6M2UQrYmkn3voIU4pKH8rMinyG9eG-oJ8zPksybM4HpdX9PIJR5rc0Zaf2t12jxMjYJbPg5SHpgqQcmAwyMgVxwMaLOwB-SUry5NS4IH55eUy71Gh1EQnF0XMHeG0MlxuiZzY_uvM5uf1CADFGk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913" cy="6392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9e2f3" w:val="clear"/>
    </w:tcPr>
    <w:tblStylePr w:type="band1Horz">
      <w:tcPr>
        <w:shd w:fill="b4c6e7" w:val="clear"/>
      </w:tcPr>
    </w:tblStylePr>
    <w:tblStylePr w:type="band1Vert">
      <w:tcPr>
        <w:shd w:fill="b4c6e7" w:val="clear"/>
      </w:tcPr>
    </w:tblStylePr>
    <w:tblStylePr w:type="firstCol">
      <w:rPr>
        <w:b w:val="1"/>
        <w:bCs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4472c4" w:val="clear"/>
      </w:tcPr>
    </w:tblStylePr>
    <w:tblStylePr w:type="firstRow">
      <w:rPr>
        <w:b w:val="1"/>
        <w:bCs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  <w:bCs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4472c4" w:val="clear"/>
      </w:tcPr>
    </w:tblStylePr>
    <w:tblStylePr w:type="lastRow">
      <w:rPr>
        <w:b w:val="1"/>
        <w:bCs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