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829DA" w14:textId="3DC882DD" w:rsidR="00F07D78" w:rsidRPr="00906EBE" w:rsidRDefault="00F07D78" w:rsidP="009803C1">
      <w:pPr>
        <w:spacing w:after="0" w:line="240" w:lineRule="auto"/>
        <w:contextualSpacing/>
        <w:jc w:val="center"/>
        <w:rPr>
          <w:rFonts w:ascii="Arial" w:hAnsi="Arial" w:cs="Arial"/>
          <w:b/>
          <w:sz w:val="36"/>
          <w:szCs w:val="36"/>
        </w:rPr>
      </w:pPr>
      <w:r w:rsidRPr="00906EBE">
        <w:rPr>
          <w:rFonts w:ascii="Arial" w:hAnsi="Arial" w:cs="Arial"/>
          <w:b/>
          <w:sz w:val="36"/>
          <w:szCs w:val="36"/>
        </w:rPr>
        <w:t>Services – Offer of FAPE</w:t>
      </w:r>
      <w:r w:rsidR="005223A1" w:rsidRPr="00906EBE">
        <w:rPr>
          <w:rFonts w:ascii="Arial" w:hAnsi="Arial" w:cs="Arial"/>
          <w:b/>
          <w:sz w:val="36"/>
          <w:szCs w:val="36"/>
        </w:rPr>
        <w:t xml:space="preserve">: </w:t>
      </w:r>
      <w:r w:rsidRPr="00906EBE">
        <w:rPr>
          <w:rFonts w:ascii="Arial" w:hAnsi="Arial" w:cs="Arial"/>
          <w:b/>
          <w:sz w:val="36"/>
          <w:szCs w:val="36"/>
        </w:rPr>
        <w:t>Service Options and Potential Harmful Effects</w:t>
      </w:r>
      <w:r w:rsidR="005223A1" w:rsidRPr="00906EBE">
        <w:rPr>
          <w:rFonts w:ascii="Arial" w:hAnsi="Arial" w:cs="Arial"/>
          <w:b/>
          <w:sz w:val="36"/>
          <w:szCs w:val="36"/>
        </w:rPr>
        <w:t xml:space="preserve"> </w:t>
      </w:r>
      <w:r w:rsidRPr="00906EBE">
        <w:rPr>
          <w:rFonts w:ascii="Arial" w:hAnsi="Arial" w:cs="Arial"/>
          <w:b/>
          <w:sz w:val="36"/>
          <w:szCs w:val="36"/>
        </w:rPr>
        <w:t>Guidance Document</w:t>
      </w:r>
    </w:p>
    <w:p w14:paraId="4B4A5E92" w14:textId="77777777" w:rsidR="00F07D78" w:rsidRPr="00906EBE" w:rsidRDefault="00F07D78" w:rsidP="00943593">
      <w:pPr>
        <w:spacing w:after="0" w:line="240" w:lineRule="auto"/>
        <w:contextualSpacing/>
        <w:rPr>
          <w:rFonts w:ascii="Arial" w:hAnsi="Arial" w:cs="Arial"/>
        </w:rPr>
      </w:pPr>
    </w:p>
    <w:p w14:paraId="2CEB415F" w14:textId="77777777" w:rsidR="00C833E8" w:rsidRDefault="00C833E8" w:rsidP="00B93C4F">
      <w:pPr>
        <w:spacing w:after="0" w:line="240" w:lineRule="auto"/>
        <w:contextualSpacing/>
        <w:rPr>
          <w:rFonts w:ascii="Arial" w:hAnsi="Arial" w:cs="Arial"/>
          <w:b/>
        </w:rPr>
      </w:pPr>
    </w:p>
    <w:p w14:paraId="1A637326" w14:textId="6D7E9A1D" w:rsidR="00B93C4F" w:rsidRPr="00906EBE" w:rsidRDefault="00B93C4F" w:rsidP="00B93C4F">
      <w:pPr>
        <w:spacing w:after="0" w:line="240" w:lineRule="auto"/>
        <w:contextualSpacing/>
        <w:rPr>
          <w:rFonts w:ascii="Arial" w:hAnsi="Arial" w:cs="Arial"/>
          <w:b/>
        </w:rPr>
      </w:pPr>
      <w:r w:rsidRPr="00906EBE">
        <w:rPr>
          <w:rFonts w:ascii="Arial" w:hAnsi="Arial" w:cs="Arial"/>
          <w:b/>
        </w:rPr>
        <w:t xml:space="preserve">Services – Offer of FAPE </w:t>
      </w:r>
    </w:p>
    <w:p w14:paraId="187F14E7" w14:textId="1E6CE490" w:rsidR="00B93C4F" w:rsidRPr="00906EBE" w:rsidRDefault="00B93C4F" w:rsidP="00B93C4F">
      <w:pPr>
        <w:spacing w:after="0" w:line="240" w:lineRule="auto"/>
        <w:contextualSpacing/>
        <w:rPr>
          <w:rFonts w:ascii="Arial" w:hAnsi="Arial" w:cs="Arial"/>
          <w:b/>
        </w:rPr>
      </w:pPr>
      <w:r w:rsidRPr="00906EBE">
        <w:rPr>
          <w:rFonts w:ascii="Arial" w:hAnsi="Arial" w:cs="Arial"/>
          <w:b/>
        </w:rPr>
        <w:t>Service Options and Potential Harmful Effects Guidance Document</w:t>
      </w:r>
    </w:p>
    <w:p w14:paraId="1D3888B9" w14:textId="77777777" w:rsidR="00B93C4F" w:rsidRPr="00906EBE" w:rsidRDefault="00B93C4F" w:rsidP="00943593">
      <w:pPr>
        <w:spacing w:after="0" w:line="240" w:lineRule="auto"/>
        <w:contextualSpacing/>
        <w:rPr>
          <w:rFonts w:ascii="Arial" w:hAnsi="Arial" w:cs="Arial"/>
        </w:rPr>
      </w:pPr>
    </w:p>
    <w:p w14:paraId="452C29AB" w14:textId="02554B5B" w:rsidR="00F07D78" w:rsidRPr="00906EBE" w:rsidRDefault="00F07D78" w:rsidP="00943593">
      <w:pPr>
        <w:spacing w:after="0" w:line="240" w:lineRule="auto"/>
        <w:contextualSpacing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There are two questions we must answer on the Services – Offer of FAPE IEP page. </w:t>
      </w:r>
    </w:p>
    <w:p w14:paraId="4A4766C1" w14:textId="77777777" w:rsidR="00F07D78" w:rsidRPr="00906EBE" w:rsidRDefault="00F07D78" w:rsidP="00943593">
      <w:pPr>
        <w:spacing w:after="0" w:line="240" w:lineRule="auto"/>
        <w:contextualSpacing/>
        <w:rPr>
          <w:rFonts w:ascii="Arial" w:hAnsi="Arial" w:cs="Arial"/>
        </w:rPr>
      </w:pPr>
    </w:p>
    <w:p w14:paraId="303DC797" w14:textId="77777777" w:rsidR="00F07D78" w:rsidRPr="00906EBE" w:rsidRDefault="00F07D78" w:rsidP="001D449D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  <w:r w:rsidRPr="00906EBE">
        <w:rPr>
          <w:rFonts w:ascii="Arial" w:hAnsi="Arial" w:cs="Arial"/>
          <w:bCs/>
          <w:iCs/>
          <w:color w:val="000000"/>
          <w:shd w:val="clear" w:color="auto" w:fill="FFFFFF"/>
        </w:rPr>
        <w:t>The</w:t>
      </w:r>
      <w:r w:rsidRPr="00906EBE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 w:rsidRPr="00906EBE">
        <w:rPr>
          <w:rFonts w:ascii="Arial" w:hAnsi="Arial" w:cs="Arial"/>
          <w:color w:val="000000"/>
          <w:shd w:val="clear" w:color="auto" w:fill="FFFFFF"/>
        </w:rPr>
        <w:t>service options that were considered by the IEP team (List all):</w:t>
      </w:r>
    </w:p>
    <w:p w14:paraId="4D1EBEA7" w14:textId="77777777" w:rsidR="001D449D" w:rsidRPr="00906EBE" w:rsidRDefault="001D449D" w:rsidP="00943593">
      <w:pPr>
        <w:spacing w:after="0" w:line="240" w:lineRule="auto"/>
        <w:contextualSpacing/>
        <w:rPr>
          <w:rFonts w:ascii="Arial" w:hAnsi="Arial" w:cs="Arial"/>
          <w:color w:val="000000"/>
          <w:shd w:val="clear" w:color="auto" w:fill="FFFFFF"/>
        </w:rPr>
      </w:pPr>
    </w:p>
    <w:p w14:paraId="2F84DB7E" w14:textId="77777777" w:rsidR="00F07D78" w:rsidRPr="00906EBE" w:rsidRDefault="00F07D78" w:rsidP="00943593">
      <w:pPr>
        <w:spacing w:after="0" w:line="240" w:lineRule="auto"/>
        <w:contextualSpacing/>
        <w:rPr>
          <w:rFonts w:ascii="Arial" w:hAnsi="Arial" w:cs="Arial"/>
          <w:color w:val="000000"/>
          <w:shd w:val="clear" w:color="auto" w:fill="FFFFFF"/>
        </w:rPr>
      </w:pPr>
      <w:r w:rsidRPr="00906EBE">
        <w:rPr>
          <w:rFonts w:ascii="Arial" w:hAnsi="Arial" w:cs="Arial"/>
          <w:noProof/>
          <w:color w:val="000000"/>
          <w:shd w:val="clear" w:color="auto" w:fill="FFFFFF"/>
        </w:rPr>
        <w:drawing>
          <wp:inline distT="0" distB="0" distL="0" distR="0" wp14:anchorId="01CA5762" wp14:editId="4A87074B">
            <wp:extent cx="5934075" cy="88582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E54DEA" w14:textId="77777777" w:rsidR="001D449D" w:rsidRPr="00906EBE" w:rsidRDefault="001D449D" w:rsidP="001D449D">
      <w:p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First, we must consider the continuum of services when considering a placement in the LRE. Use the following continuum of services to assist in determining what LRE is for a particular student: </w:t>
      </w:r>
    </w:p>
    <w:p w14:paraId="75EAB504" w14:textId="77777777" w:rsidR="001D449D" w:rsidRPr="00906EBE" w:rsidRDefault="001D449D" w:rsidP="001D449D">
      <w:pPr>
        <w:pStyle w:val="ListParagraph"/>
        <w:spacing w:after="0" w:line="240" w:lineRule="auto"/>
        <w:ind w:left="1080"/>
        <w:rPr>
          <w:rFonts w:ascii="Arial" w:hAnsi="Arial" w:cs="Arial"/>
        </w:rPr>
      </w:pPr>
    </w:p>
    <w:p w14:paraId="482F3E55" w14:textId="77777777" w:rsidR="001D449D" w:rsidRPr="00906EBE" w:rsidRDefault="001D449D" w:rsidP="001D449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General Education Class </w:t>
      </w:r>
    </w:p>
    <w:p w14:paraId="577721A9" w14:textId="77777777" w:rsidR="001D449D" w:rsidRPr="00906EBE" w:rsidRDefault="001D449D" w:rsidP="001D449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General Education Class – Supplemental aids or services </w:t>
      </w:r>
    </w:p>
    <w:p w14:paraId="105347FC" w14:textId="77777777" w:rsidR="001D449D" w:rsidRPr="00906EBE" w:rsidRDefault="001D449D" w:rsidP="001D449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General Education Class – Some direct instruction by special education staff. Less than 21% of time out of the classroom for special education services </w:t>
      </w:r>
    </w:p>
    <w:p w14:paraId="65FD3E20" w14:textId="77777777" w:rsidR="001D449D" w:rsidRPr="00906EBE" w:rsidRDefault="001D449D" w:rsidP="001D449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General Education Class – 21% to 60% of instructional day in a separate classroom. </w:t>
      </w:r>
    </w:p>
    <w:p w14:paraId="3F453894" w14:textId="77777777" w:rsidR="001D449D" w:rsidRPr="00906EBE" w:rsidRDefault="001D449D" w:rsidP="001D449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Some/or no instruction in General Education Class – 60% or more of the instructional day in a separate classroom (intensive services) </w:t>
      </w:r>
    </w:p>
    <w:p w14:paraId="5D984F45" w14:textId="77777777" w:rsidR="001D449D" w:rsidRPr="00906EBE" w:rsidRDefault="001D449D" w:rsidP="001D449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Special day school – Separate facility (public or nonpublic) with no general education students on campus </w:t>
      </w:r>
    </w:p>
    <w:p w14:paraId="3725EB2D" w14:textId="77777777" w:rsidR="001D449D" w:rsidRPr="00906EBE" w:rsidRDefault="001D449D" w:rsidP="001D449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Residential School </w:t>
      </w:r>
    </w:p>
    <w:p w14:paraId="44BBE069" w14:textId="77777777" w:rsidR="001D449D" w:rsidRPr="00906EBE" w:rsidRDefault="001D449D" w:rsidP="001D449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Hospital Program </w:t>
      </w:r>
    </w:p>
    <w:p w14:paraId="769CE56C" w14:textId="77777777" w:rsidR="001D449D" w:rsidRPr="00906EBE" w:rsidRDefault="001D449D" w:rsidP="001D449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Home Instruction </w:t>
      </w:r>
    </w:p>
    <w:p w14:paraId="7C1A52CC" w14:textId="77777777" w:rsidR="001D449D" w:rsidRPr="00906EBE" w:rsidRDefault="001D449D" w:rsidP="001D449D">
      <w:pPr>
        <w:spacing w:line="240" w:lineRule="auto"/>
        <w:contextualSpacing/>
        <w:rPr>
          <w:rFonts w:ascii="Arial" w:hAnsi="Arial" w:cs="Arial"/>
        </w:rPr>
      </w:pPr>
    </w:p>
    <w:p w14:paraId="18E751F9" w14:textId="77777777" w:rsidR="001D449D" w:rsidRPr="00906EBE" w:rsidRDefault="001D449D" w:rsidP="001D449D">
      <w:pPr>
        <w:spacing w:line="240" w:lineRule="auto"/>
        <w:contextualSpacing/>
        <w:rPr>
          <w:rFonts w:ascii="Arial" w:hAnsi="Arial" w:cs="Arial"/>
        </w:rPr>
      </w:pPr>
      <w:r w:rsidRPr="00906EBE">
        <w:rPr>
          <w:rFonts w:ascii="Arial" w:hAnsi="Arial" w:cs="Arial"/>
        </w:rPr>
        <w:t>Once LRE has been established, a statement should be made about that setting in the first dialogue box (see above question). This box should include more than 1-2 words. Examples of this include:</w:t>
      </w:r>
    </w:p>
    <w:p w14:paraId="3060E2A6" w14:textId="37D7F832" w:rsidR="001D449D" w:rsidRPr="00906EBE" w:rsidRDefault="001D449D" w:rsidP="001D449D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Due to the nature and severity of the disability, the student requires </w:t>
      </w:r>
      <w:r w:rsidRPr="00906EBE">
        <w:rPr>
          <w:rFonts w:ascii="Arial" w:hAnsi="Arial" w:cs="Arial"/>
          <w:b/>
          <w:i/>
        </w:rPr>
        <w:t>(describe the level of service from the continuum of services)</w:t>
      </w:r>
      <w:r w:rsidRPr="00906EBE">
        <w:rPr>
          <w:rFonts w:ascii="Arial" w:hAnsi="Arial" w:cs="Arial"/>
        </w:rPr>
        <w:t xml:space="preserve"> in a </w:t>
      </w:r>
      <w:r w:rsidRPr="00906EBE">
        <w:rPr>
          <w:rFonts w:ascii="Arial" w:hAnsi="Arial" w:cs="Arial"/>
          <w:b/>
          <w:i/>
        </w:rPr>
        <w:t>(describe the setting)</w:t>
      </w:r>
      <w:r w:rsidRPr="00906EBE">
        <w:rPr>
          <w:rFonts w:ascii="Arial" w:hAnsi="Arial" w:cs="Arial"/>
        </w:rPr>
        <w:t xml:space="preserve"> in order to address academic and functional needs.</w:t>
      </w:r>
      <w:r w:rsidR="005223A1" w:rsidRPr="00906EBE">
        <w:rPr>
          <w:rFonts w:ascii="Arial" w:hAnsi="Arial" w:cs="Arial"/>
        </w:rPr>
        <w:t xml:space="preserve"> </w:t>
      </w:r>
      <w:r w:rsidRPr="00906EBE">
        <w:rPr>
          <w:rFonts w:ascii="Arial" w:hAnsi="Arial" w:cs="Arial"/>
          <w:b/>
          <w:u w:val="single"/>
        </w:rPr>
        <w:t>Or</w:t>
      </w:r>
      <w:r w:rsidRPr="00906EBE">
        <w:rPr>
          <w:rFonts w:ascii="Arial" w:hAnsi="Arial" w:cs="Arial"/>
        </w:rPr>
        <w:t xml:space="preserve"> </w:t>
      </w:r>
    </w:p>
    <w:p w14:paraId="0FE3B713" w14:textId="77777777" w:rsidR="001D449D" w:rsidRPr="00906EBE" w:rsidRDefault="001D449D" w:rsidP="001D449D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lastRenderedPageBreak/>
        <w:t xml:space="preserve">The IEP team discussed the following educational placements </w:t>
      </w:r>
      <w:r w:rsidRPr="00906EBE">
        <w:rPr>
          <w:rFonts w:ascii="Arial" w:hAnsi="Arial" w:cs="Arial"/>
          <w:b/>
          <w:i/>
        </w:rPr>
        <w:t>(describe all applicable settings)</w:t>
      </w:r>
      <w:r w:rsidRPr="00906EBE">
        <w:rPr>
          <w:rFonts w:ascii="Arial" w:hAnsi="Arial" w:cs="Arial"/>
        </w:rPr>
        <w:t xml:space="preserve"> and the IEP team has determined that the appropriate educational setting is </w:t>
      </w:r>
      <w:r w:rsidRPr="00906EBE">
        <w:rPr>
          <w:rFonts w:ascii="Arial" w:hAnsi="Arial" w:cs="Arial"/>
          <w:b/>
          <w:i/>
        </w:rPr>
        <w:t>(describe the agreed upon setting)</w:t>
      </w:r>
      <w:r w:rsidRPr="00906EBE">
        <w:rPr>
          <w:rFonts w:ascii="Arial" w:hAnsi="Arial" w:cs="Arial"/>
        </w:rPr>
        <w:t xml:space="preserve">. </w:t>
      </w:r>
    </w:p>
    <w:p w14:paraId="7D3693ED" w14:textId="77777777" w:rsidR="00F07D78" w:rsidRPr="00906EBE" w:rsidRDefault="00F07D78" w:rsidP="001D449D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  <w:color w:val="000000"/>
          <w:shd w:val="clear" w:color="auto" w:fill="FFFFFF"/>
        </w:rPr>
        <w:t>In selecting LRE, describe the consideration given to any potential harmful effect on the child or on the quality of services that he or she needs:</w:t>
      </w:r>
    </w:p>
    <w:p w14:paraId="31D5E947" w14:textId="77777777" w:rsidR="001D449D" w:rsidRPr="00906EBE" w:rsidRDefault="001D449D" w:rsidP="001D449D">
      <w:pPr>
        <w:pStyle w:val="ListParagraph"/>
        <w:spacing w:after="0" w:line="240" w:lineRule="auto"/>
        <w:rPr>
          <w:rFonts w:ascii="Arial" w:hAnsi="Arial" w:cs="Arial"/>
        </w:rPr>
      </w:pPr>
    </w:p>
    <w:p w14:paraId="76631E22" w14:textId="77777777" w:rsidR="00F07D78" w:rsidRPr="00906EBE" w:rsidRDefault="00F07D78" w:rsidP="00943593">
      <w:pPr>
        <w:spacing w:after="0" w:line="240" w:lineRule="auto"/>
        <w:contextualSpacing/>
        <w:rPr>
          <w:rFonts w:ascii="Arial" w:hAnsi="Arial" w:cs="Arial"/>
        </w:rPr>
      </w:pPr>
      <w:r w:rsidRPr="00906EBE">
        <w:rPr>
          <w:rFonts w:ascii="Arial" w:hAnsi="Arial" w:cs="Arial"/>
          <w:noProof/>
        </w:rPr>
        <w:drawing>
          <wp:inline distT="0" distB="0" distL="0" distR="0" wp14:anchorId="392FA709" wp14:editId="7427C621">
            <wp:extent cx="5943600" cy="69532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87FA48" w14:textId="77777777" w:rsidR="00943593" w:rsidRPr="00906EBE" w:rsidRDefault="001D449D" w:rsidP="00943593">
      <w:pPr>
        <w:spacing w:after="0" w:line="240" w:lineRule="auto"/>
        <w:contextualSpacing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This section must also be filled in, providing an explanation of the potential harmful effects of the above placement, and how those effects will be reduced and/or mitigated with the services selected by the IEP team. This box </w:t>
      </w:r>
      <w:r w:rsidRPr="00906EBE">
        <w:rPr>
          <w:rFonts w:ascii="Arial" w:hAnsi="Arial" w:cs="Arial"/>
          <w:b/>
          <w:u w:val="single"/>
        </w:rPr>
        <w:t>CANNOT</w:t>
      </w:r>
      <w:r w:rsidRPr="00906EBE">
        <w:rPr>
          <w:rFonts w:ascii="Arial" w:hAnsi="Arial" w:cs="Arial"/>
        </w:rPr>
        <w:t xml:space="preserve"> be left blank. Some examples of how this process may look include the following: </w:t>
      </w:r>
    </w:p>
    <w:p w14:paraId="229986C8" w14:textId="77777777" w:rsidR="00943593" w:rsidRPr="00906EBE" w:rsidRDefault="00943593" w:rsidP="00943593">
      <w:pPr>
        <w:spacing w:after="0" w:line="240" w:lineRule="auto"/>
        <w:contextualSpacing/>
        <w:rPr>
          <w:rFonts w:ascii="Arial" w:hAnsi="Arial" w:cs="Arial"/>
        </w:rPr>
      </w:pPr>
    </w:p>
    <w:p w14:paraId="76D46C56" w14:textId="77777777" w:rsidR="001361B0" w:rsidRPr="00906EBE" w:rsidRDefault="001361B0" w:rsidP="00943593">
      <w:pPr>
        <w:spacing w:after="0" w:line="240" w:lineRule="auto"/>
        <w:contextualSpacing/>
        <w:rPr>
          <w:rFonts w:ascii="Arial" w:hAnsi="Arial" w:cs="Arial"/>
          <w:b/>
          <w:i/>
        </w:rPr>
      </w:pPr>
      <w:r w:rsidRPr="00906EBE">
        <w:rPr>
          <w:rFonts w:ascii="Arial" w:hAnsi="Arial" w:cs="Arial"/>
          <w:b/>
          <w:i/>
        </w:rPr>
        <w:t>IEP team discussed the following potential harmful effects of this placement -</w:t>
      </w:r>
    </w:p>
    <w:p w14:paraId="4E4D1C99" w14:textId="77777777" w:rsidR="001361B0" w:rsidRPr="00906EBE" w:rsidRDefault="007B6658" w:rsidP="0094359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/>
        </w:rPr>
      </w:pPr>
      <w:r w:rsidRPr="00906EBE">
        <w:rPr>
          <w:rFonts w:ascii="Arial" w:hAnsi="Arial" w:cs="Arial"/>
          <w:color w:val="000000"/>
        </w:rPr>
        <w:t>D</w:t>
      </w:r>
      <w:r w:rsidR="001361B0" w:rsidRPr="00906EBE">
        <w:rPr>
          <w:rFonts w:ascii="Arial" w:hAnsi="Arial" w:cs="Arial"/>
          <w:color w:val="000000"/>
        </w:rPr>
        <w:t>ecreased access to the instructional opportunities available in integrated settings</w:t>
      </w:r>
    </w:p>
    <w:p w14:paraId="7F4EEF12" w14:textId="77777777" w:rsidR="001361B0" w:rsidRPr="00906EBE" w:rsidRDefault="007B6658" w:rsidP="0094359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>D</w:t>
      </w:r>
      <w:r w:rsidR="001361B0" w:rsidRPr="00906EBE">
        <w:rPr>
          <w:rFonts w:ascii="Arial" w:hAnsi="Arial" w:cs="Arial"/>
        </w:rPr>
        <w:t>ecreased access to instructional opportunities with typical peers</w:t>
      </w:r>
    </w:p>
    <w:p w14:paraId="12368F69" w14:textId="77777777" w:rsidR="001361B0" w:rsidRPr="00906EBE" w:rsidRDefault="007B6658" w:rsidP="00943593">
      <w:pPr>
        <w:pStyle w:val="NormalWeb"/>
        <w:numPr>
          <w:ilvl w:val="0"/>
          <w:numId w:val="1"/>
        </w:numPr>
        <w:contextualSpacing/>
        <w:rPr>
          <w:rFonts w:ascii="Arial" w:hAnsi="Arial" w:cs="Arial"/>
          <w:color w:val="000000"/>
          <w:sz w:val="22"/>
          <w:szCs w:val="22"/>
        </w:rPr>
      </w:pPr>
      <w:r w:rsidRPr="00906EBE">
        <w:rPr>
          <w:rFonts w:ascii="Arial" w:hAnsi="Arial" w:cs="Arial"/>
          <w:color w:val="000000"/>
          <w:sz w:val="22"/>
          <w:szCs w:val="22"/>
        </w:rPr>
        <w:t>D</w:t>
      </w:r>
      <w:r w:rsidR="001361B0" w:rsidRPr="00906EBE">
        <w:rPr>
          <w:rFonts w:ascii="Arial" w:hAnsi="Arial" w:cs="Arial"/>
          <w:color w:val="000000"/>
          <w:sz w:val="22"/>
          <w:szCs w:val="22"/>
        </w:rPr>
        <w:t>ecreased opportunities for appropriate social interactions with typically-developing peers</w:t>
      </w:r>
    </w:p>
    <w:p w14:paraId="52286B03" w14:textId="77777777" w:rsidR="001361B0" w:rsidRPr="00906EBE" w:rsidRDefault="007B6658" w:rsidP="00943593">
      <w:pPr>
        <w:pStyle w:val="NormalWeb"/>
        <w:numPr>
          <w:ilvl w:val="0"/>
          <w:numId w:val="1"/>
        </w:numPr>
        <w:contextualSpacing/>
        <w:rPr>
          <w:rFonts w:ascii="Arial" w:hAnsi="Arial" w:cs="Arial"/>
          <w:color w:val="000000"/>
          <w:sz w:val="22"/>
          <w:szCs w:val="22"/>
        </w:rPr>
      </w:pPr>
      <w:r w:rsidRPr="00906EBE">
        <w:rPr>
          <w:rFonts w:ascii="Arial" w:hAnsi="Arial" w:cs="Arial"/>
          <w:color w:val="000000"/>
          <w:sz w:val="22"/>
          <w:szCs w:val="22"/>
        </w:rPr>
        <w:t>P</w:t>
      </w:r>
      <w:r w:rsidR="001361B0" w:rsidRPr="00906EBE">
        <w:rPr>
          <w:rFonts w:ascii="Arial" w:hAnsi="Arial" w:cs="Arial"/>
          <w:color w:val="000000"/>
          <w:sz w:val="22"/>
          <w:szCs w:val="22"/>
        </w:rPr>
        <w:t>otential negative impact to student’s self-esteem</w:t>
      </w:r>
    </w:p>
    <w:p w14:paraId="739E30F2" w14:textId="77777777" w:rsidR="001361B0" w:rsidRPr="00906EBE" w:rsidRDefault="007B6658" w:rsidP="0094359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>L</w:t>
      </w:r>
      <w:r w:rsidR="001361B0" w:rsidRPr="00906EBE">
        <w:rPr>
          <w:rFonts w:ascii="Arial" w:hAnsi="Arial" w:cs="Arial"/>
        </w:rPr>
        <w:t>imited access to peers in  the home community since placement is not located at the student’s school of residence</w:t>
      </w:r>
    </w:p>
    <w:p w14:paraId="16C8B279" w14:textId="77777777" w:rsidR="001361B0" w:rsidRPr="00906EBE" w:rsidRDefault="007B6658" w:rsidP="0094359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>I</w:t>
      </w:r>
      <w:r w:rsidR="001361B0" w:rsidRPr="00906EBE">
        <w:rPr>
          <w:rFonts w:ascii="Arial" w:hAnsi="Arial" w:cs="Arial"/>
        </w:rPr>
        <w:t>ncreased stress associated with transitioning to and from the general education setting to the specialized academic instruction setting</w:t>
      </w:r>
    </w:p>
    <w:p w14:paraId="2C73777E" w14:textId="77777777" w:rsidR="007B6658" w:rsidRPr="00906EBE" w:rsidRDefault="007B6658" w:rsidP="00943593">
      <w:pPr>
        <w:spacing w:after="0" w:line="240" w:lineRule="auto"/>
        <w:contextualSpacing/>
        <w:rPr>
          <w:rFonts w:ascii="Arial" w:hAnsi="Arial" w:cs="Arial"/>
        </w:rPr>
      </w:pPr>
    </w:p>
    <w:p w14:paraId="64BBE4B4" w14:textId="77777777" w:rsidR="001D449D" w:rsidRPr="00906EBE" w:rsidRDefault="001D449D" w:rsidP="001D449D">
      <w:pPr>
        <w:spacing w:line="240" w:lineRule="auto"/>
        <w:contextualSpacing/>
        <w:rPr>
          <w:rFonts w:ascii="Arial" w:hAnsi="Arial" w:cs="Arial"/>
        </w:rPr>
      </w:pPr>
      <w:r w:rsidRPr="00906EBE">
        <w:rPr>
          <w:rFonts w:ascii="Arial" w:hAnsi="Arial" w:cs="Arial"/>
        </w:rPr>
        <w:t>Once the potential harmful effects have been identified and addressed, a statement should be made about those effects in the second dialogue box (see above question). Examples of this include:</w:t>
      </w:r>
    </w:p>
    <w:p w14:paraId="1741B59E" w14:textId="77777777" w:rsidR="001D449D" w:rsidRPr="00906EBE" w:rsidRDefault="001D449D" w:rsidP="00943593">
      <w:pPr>
        <w:spacing w:after="0" w:line="240" w:lineRule="auto"/>
        <w:contextualSpacing/>
        <w:rPr>
          <w:rFonts w:ascii="Arial" w:hAnsi="Arial" w:cs="Arial"/>
        </w:rPr>
      </w:pPr>
    </w:p>
    <w:p w14:paraId="0CB819B7" w14:textId="7694FAF0" w:rsidR="001D449D" w:rsidRPr="00906EBE" w:rsidRDefault="001361B0" w:rsidP="005223A1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 xml:space="preserve">IEP team does not believe there will be any significant harmful effects and determined </w:t>
      </w:r>
      <w:r w:rsidR="001D449D" w:rsidRPr="00906EBE">
        <w:rPr>
          <w:rFonts w:ascii="Arial" w:hAnsi="Arial" w:cs="Arial"/>
          <w:b/>
          <w:i/>
        </w:rPr>
        <w:t>(student)</w:t>
      </w:r>
      <w:r w:rsidRPr="00906EBE">
        <w:rPr>
          <w:rFonts w:ascii="Arial" w:hAnsi="Arial" w:cs="Arial"/>
          <w:b/>
          <w:i/>
        </w:rPr>
        <w:t>’s</w:t>
      </w:r>
      <w:r w:rsidRPr="00906EBE">
        <w:rPr>
          <w:rFonts w:ascii="Arial" w:hAnsi="Arial" w:cs="Arial"/>
        </w:rPr>
        <w:t xml:space="preserve"> needs outweigh any minimal harmful effects at this time.</w:t>
      </w:r>
      <w:r w:rsidR="005223A1" w:rsidRPr="00906EBE">
        <w:rPr>
          <w:rFonts w:ascii="Arial" w:hAnsi="Arial" w:cs="Arial"/>
        </w:rPr>
        <w:t xml:space="preserve"> </w:t>
      </w:r>
      <w:r w:rsidR="001D449D" w:rsidRPr="00906EBE">
        <w:rPr>
          <w:rFonts w:ascii="Arial" w:hAnsi="Arial" w:cs="Arial"/>
          <w:b/>
          <w:u w:val="single"/>
        </w:rPr>
        <w:t xml:space="preserve">Or </w:t>
      </w:r>
    </w:p>
    <w:p w14:paraId="0DBF48AA" w14:textId="77777777" w:rsidR="007B6658" w:rsidRPr="00906EBE" w:rsidRDefault="00194487" w:rsidP="001D449D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</w:rPr>
      </w:pPr>
      <w:r w:rsidRPr="00906EBE">
        <w:rPr>
          <w:rFonts w:ascii="Arial" w:hAnsi="Arial" w:cs="Arial"/>
        </w:rPr>
        <w:t>Due to the nature and severity of the disability, the student requires small group instruction in a self-contained classroom in order to address</w:t>
      </w:r>
      <w:r w:rsidR="001D449D" w:rsidRPr="00906EBE">
        <w:rPr>
          <w:rFonts w:ascii="Arial" w:hAnsi="Arial" w:cs="Arial"/>
        </w:rPr>
        <w:t xml:space="preserve"> academic and functional needs. </w:t>
      </w:r>
    </w:p>
    <w:p w14:paraId="7E536AA9" w14:textId="77777777" w:rsidR="007B6658" w:rsidRPr="00906EBE" w:rsidRDefault="007B6658" w:rsidP="00943593">
      <w:pPr>
        <w:spacing w:line="240" w:lineRule="auto"/>
        <w:contextualSpacing/>
        <w:rPr>
          <w:rFonts w:ascii="Arial" w:hAnsi="Arial" w:cs="Arial"/>
        </w:rPr>
      </w:pPr>
    </w:p>
    <w:p w14:paraId="612FCB7B" w14:textId="77777777" w:rsidR="007B6658" w:rsidRPr="00906EBE" w:rsidRDefault="007B6658" w:rsidP="00943593">
      <w:pPr>
        <w:spacing w:line="240" w:lineRule="auto"/>
        <w:contextualSpacing/>
        <w:rPr>
          <w:rFonts w:ascii="Arial" w:hAnsi="Arial" w:cs="Arial"/>
        </w:rPr>
      </w:pPr>
    </w:p>
    <w:p w14:paraId="019E11B8" w14:textId="77777777" w:rsidR="007B6658" w:rsidRPr="00906EBE" w:rsidRDefault="007B6658" w:rsidP="00943593">
      <w:pPr>
        <w:spacing w:line="240" w:lineRule="auto"/>
        <w:contextualSpacing/>
        <w:rPr>
          <w:rFonts w:ascii="Arial" w:hAnsi="Arial" w:cs="Arial"/>
        </w:rPr>
      </w:pPr>
    </w:p>
    <w:p w14:paraId="281A5FC4" w14:textId="77777777" w:rsidR="007B6658" w:rsidRPr="00906EBE" w:rsidRDefault="007B6658" w:rsidP="00943593">
      <w:pPr>
        <w:spacing w:line="240" w:lineRule="auto"/>
        <w:contextualSpacing/>
        <w:rPr>
          <w:rFonts w:ascii="Arial" w:hAnsi="Arial" w:cs="Arial"/>
        </w:rPr>
      </w:pPr>
    </w:p>
    <w:p w14:paraId="16D8A438" w14:textId="77777777" w:rsidR="007B6658" w:rsidRPr="00906EBE" w:rsidRDefault="007B6658" w:rsidP="00943593">
      <w:pPr>
        <w:spacing w:line="240" w:lineRule="auto"/>
        <w:contextualSpacing/>
        <w:rPr>
          <w:rFonts w:ascii="Arial" w:hAnsi="Arial" w:cs="Arial"/>
        </w:rPr>
      </w:pPr>
    </w:p>
    <w:p w14:paraId="1020B84C" w14:textId="77777777" w:rsidR="007B6658" w:rsidRPr="00906EBE" w:rsidRDefault="007B6658" w:rsidP="00943593">
      <w:pPr>
        <w:spacing w:line="240" w:lineRule="auto"/>
        <w:contextualSpacing/>
        <w:rPr>
          <w:rFonts w:ascii="Arial" w:hAnsi="Arial" w:cs="Arial"/>
        </w:rPr>
      </w:pPr>
    </w:p>
    <w:p w14:paraId="5B059FA5" w14:textId="77777777" w:rsidR="007B6658" w:rsidRPr="00906EBE" w:rsidRDefault="007B6658" w:rsidP="00943593">
      <w:pPr>
        <w:spacing w:line="240" w:lineRule="auto"/>
        <w:contextualSpacing/>
        <w:rPr>
          <w:rFonts w:ascii="Arial" w:hAnsi="Arial" w:cs="Arial"/>
        </w:rPr>
      </w:pPr>
    </w:p>
    <w:sectPr w:rsidR="007B6658" w:rsidRPr="00906EBE" w:rsidSect="00B93C4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A0DB6" w14:textId="77777777" w:rsidR="00BC34CB" w:rsidRDefault="00BC34CB" w:rsidP="001361B0">
      <w:pPr>
        <w:spacing w:after="0" w:line="240" w:lineRule="auto"/>
      </w:pPr>
      <w:r>
        <w:separator/>
      </w:r>
    </w:p>
  </w:endnote>
  <w:endnote w:type="continuationSeparator" w:id="0">
    <w:p w14:paraId="57942E4F" w14:textId="77777777" w:rsidR="00BC34CB" w:rsidRDefault="00BC34CB" w:rsidP="00136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arla">
    <w:panose1 w:val="020B0604020202020204"/>
    <w:charset w:val="4D"/>
    <w:family w:val="auto"/>
    <w:pitch w:val="variable"/>
    <w:sig w:usb0="A00000EF" w:usb1="4000205B" w:usb2="00000000" w:usb3="00000000" w:csb0="00000093" w:csb1="00000000"/>
  </w:font>
  <w:font w:name="Noto Serif">
    <w:panose1 w:val="02020502060505020204"/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57C24" w14:textId="77777777" w:rsidR="00BC34CB" w:rsidRDefault="00BC34CB" w:rsidP="001361B0">
      <w:pPr>
        <w:spacing w:after="0" w:line="240" w:lineRule="auto"/>
      </w:pPr>
      <w:r>
        <w:separator/>
      </w:r>
    </w:p>
  </w:footnote>
  <w:footnote w:type="continuationSeparator" w:id="0">
    <w:p w14:paraId="496A4B52" w14:textId="77777777" w:rsidR="00BC34CB" w:rsidRDefault="00BC34CB" w:rsidP="00136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A6694" w14:textId="77777777" w:rsidR="001361B0" w:rsidRDefault="001361B0">
    <w:pPr>
      <w:pStyle w:val="Header"/>
    </w:pPr>
  </w:p>
  <w:p w14:paraId="0ECE0F50" w14:textId="77777777" w:rsidR="001361B0" w:rsidRDefault="001361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CellMar>
        <w:top w:w="144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060"/>
      <w:gridCol w:w="3600"/>
      <w:gridCol w:w="3775"/>
    </w:tblGrid>
    <w:tr w:rsidR="00906EBE" w14:paraId="06667F7E" w14:textId="77777777" w:rsidTr="00430F40">
      <w:trPr>
        <w:jc w:val="center"/>
      </w:trPr>
      <w:tc>
        <w:tcPr>
          <w:tcW w:w="1975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0FC88FED" w14:textId="77777777" w:rsidR="00906EBE" w:rsidRDefault="00906EBE" w:rsidP="00906EBE">
          <w:pPr>
            <w:pStyle w:val="Header"/>
          </w:pPr>
          <w:r>
            <w:rPr>
              <w:rFonts w:ascii="Karla" w:eastAsia="Calibri" w:hAnsi="Karla" w:cs="Calibri"/>
              <w:noProof/>
              <w:sz w:val="18"/>
            </w:rPr>
            <w:drawing>
              <wp:inline distT="0" distB="0" distL="0" distR="0" wp14:anchorId="3A9A9D20" wp14:editId="588AA8FE">
                <wp:extent cx="1152971" cy="1162050"/>
                <wp:effectExtent l="0" t="0" r="9525" b="0"/>
                <wp:docPr id="1" name="Picture 1" descr="C:\Users\ndavid\AppData\Local\Microsoft\Windows\INetCache\Content.Word\Lantern Logo_Main_Final_High R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ndavid\AppData\Local\Microsoft\Windows\INetCache\Content.Word\Lantern Logo_Main_Final_High R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159" cy="11662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0" w:type="dxa"/>
          <w:tcBorders>
            <w:top w:val="nil"/>
            <w:left w:val="nil"/>
            <w:bottom w:val="single" w:sz="24" w:space="0" w:color="CC5400"/>
            <w:right w:val="nil"/>
          </w:tcBorders>
        </w:tcPr>
        <w:p w14:paraId="1C4636B7" w14:textId="77777777" w:rsidR="00906EBE" w:rsidRDefault="00906EBE" w:rsidP="00906EBE">
          <w:pPr>
            <w:pStyle w:val="Header"/>
          </w:pPr>
          <w:r>
            <w:rPr>
              <w:rFonts w:ascii="Noto Serif" w:eastAsia="Noto Serif" w:hAnsi="Noto Serif" w:cs="Noto Serif"/>
              <w:b/>
              <w:color w:val="10483D"/>
              <w:sz w:val="32"/>
            </w:rPr>
            <w:t>Trinity County Office of Education</w:t>
          </w:r>
        </w:p>
      </w:tc>
      <w:tc>
        <w:tcPr>
          <w:tcW w:w="3775" w:type="dxa"/>
          <w:tcBorders>
            <w:top w:val="nil"/>
            <w:left w:val="nil"/>
            <w:bottom w:val="single" w:sz="24" w:space="0" w:color="CC5400"/>
            <w:right w:val="nil"/>
          </w:tcBorders>
          <w:vAlign w:val="center"/>
        </w:tcPr>
        <w:p w14:paraId="4CADC61F" w14:textId="77777777" w:rsidR="00906EBE" w:rsidRPr="00EF1446" w:rsidRDefault="00906EBE" w:rsidP="00906EBE">
          <w:pPr>
            <w:tabs>
              <w:tab w:val="center" w:pos="3298"/>
              <w:tab w:val="right" w:pos="9360"/>
            </w:tabs>
            <w:jc w:val="right"/>
            <w:rPr>
              <w:rFonts w:ascii="Karla" w:hAnsi="Karla"/>
            </w:rPr>
          </w:pPr>
          <w:r>
            <w:rPr>
              <w:rFonts w:ascii="Karla" w:eastAsia="Calibri" w:hAnsi="Karla" w:cs="Calibri"/>
              <w:b/>
              <w:color w:val="10483D"/>
            </w:rPr>
            <w:t>Fabio Robles, Ed.D.</w:t>
          </w:r>
        </w:p>
        <w:p w14:paraId="41968394" w14:textId="77777777" w:rsidR="00906EBE" w:rsidRPr="00EF1446" w:rsidRDefault="00906EBE" w:rsidP="00906EBE">
          <w:pPr>
            <w:pStyle w:val="Header"/>
            <w:jc w:val="right"/>
            <w:rPr>
              <w:rFonts w:ascii="Karla" w:eastAsia="Calibri" w:hAnsi="Karla" w:cs="Calibri"/>
            </w:rPr>
          </w:pPr>
          <w:r w:rsidRPr="00EF1446">
            <w:rPr>
              <w:rFonts w:ascii="Karla" w:eastAsia="Calibri" w:hAnsi="Karla" w:cs="Calibri"/>
            </w:rPr>
            <w:t>Trinity County</w:t>
          </w:r>
        </w:p>
        <w:p w14:paraId="4642A952" w14:textId="77777777" w:rsidR="00906EBE" w:rsidRDefault="00906EBE" w:rsidP="00906EBE">
          <w:pPr>
            <w:pStyle w:val="Header"/>
            <w:jc w:val="right"/>
          </w:pPr>
          <w:r w:rsidRPr="00EF1446">
            <w:rPr>
              <w:rFonts w:ascii="Karla" w:eastAsia="Calibri" w:hAnsi="Karla" w:cs="Calibri"/>
            </w:rPr>
            <w:t>Superintendent of Schools</w:t>
          </w:r>
        </w:p>
      </w:tc>
    </w:tr>
    <w:tr w:rsidR="00906EBE" w14:paraId="5450CB78" w14:textId="77777777" w:rsidTr="00430F40">
      <w:trPr>
        <w:jc w:val="center"/>
      </w:trPr>
      <w:tc>
        <w:tcPr>
          <w:tcW w:w="1975" w:type="dxa"/>
          <w:vMerge/>
          <w:tcBorders>
            <w:top w:val="nil"/>
            <w:left w:val="nil"/>
            <w:bottom w:val="nil"/>
            <w:right w:val="nil"/>
          </w:tcBorders>
        </w:tcPr>
        <w:p w14:paraId="2535A9F1" w14:textId="77777777" w:rsidR="00906EBE" w:rsidRDefault="00906EBE" w:rsidP="00906EBE">
          <w:pPr>
            <w:pStyle w:val="Header"/>
          </w:pPr>
        </w:p>
      </w:tc>
      <w:tc>
        <w:tcPr>
          <w:tcW w:w="7375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6C539A0" w14:textId="77777777" w:rsidR="00906EBE" w:rsidRDefault="00906EBE" w:rsidP="00906EBE">
          <w:pPr>
            <w:pStyle w:val="Header"/>
            <w:jc w:val="center"/>
            <w:rPr>
              <w:rFonts w:ascii="Calibri" w:eastAsia="Calibri" w:hAnsi="Calibri" w:cs="Calibri"/>
              <w:sz w:val="18"/>
            </w:rPr>
          </w:pPr>
          <w:r w:rsidRPr="00EF1446">
            <w:rPr>
              <w:rFonts w:ascii="Karla" w:eastAsia="Calibri" w:hAnsi="Karla" w:cs="Calibri"/>
              <w:sz w:val="18"/>
            </w:rPr>
            <w:t>P.O. Box 1256</w:t>
          </w:r>
          <w:r>
            <w:rPr>
              <w:rFonts w:ascii="Calibri" w:eastAsia="Calibri" w:hAnsi="Calibri" w:cs="Calibri"/>
              <w:sz w:val="18"/>
            </w:rPr>
            <w:t xml:space="preserve"> </w:t>
          </w:r>
          <w:r>
            <w:rPr>
              <w:rFonts w:ascii="Wingdings" w:eastAsia="Wingdings" w:hAnsi="Wingdings" w:cs="Wingdings"/>
              <w:color w:val="10483D"/>
              <w:sz w:val="18"/>
            </w:rPr>
            <w:t></w:t>
          </w:r>
          <w:r>
            <w:rPr>
              <w:rFonts w:ascii="Calibri" w:eastAsia="Calibri" w:hAnsi="Calibri" w:cs="Calibri"/>
              <w:sz w:val="18"/>
            </w:rPr>
            <w:t xml:space="preserve"> </w:t>
          </w:r>
          <w:r w:rsidRPr="00EF1446">
            <w:rPr>
              <w:rFonts w:ascii="Karla" w:eastAsia="Calibri" w:hAnsi="Karla" w:cs="Calibri"/>
              <w:sz w:val="18"/>
            </w:rPr>
            <w:t>201 Memorial Drive, Weaverville, CA 96093-1256</w:t>
          </w:r>
        </w:p>
        <w:p w14:paraId="27407602" w14:textId="77777777" w:rsidR="00906EBE" w:rsidRDefault="00906EBE" w:rsidP="00906EBE">
          <w:pPr>
            <w:pStyle w:val="Header"/>
            <w:jc w:val="center"/>
            <w:rPr>
              <w:rFonts w:ascii="Karla" w:eastAsia="Calibri" w:hAnsi="Karla" w:cs="Calibri"/>
              <w:sz w:val="18"/>
            </w:rPr>
          </w:pPr>
          <w:r w:rsidRPr="00EF1446">
            <w:rPr>
              <w:rFonts w:ascii="Karla" w:eastAsia="Calibri" w:hAnsi="Karla" w:cs="Calibri"/>
              <w:sz w:val="18"/>
            </w:rPr>
            <w:t>(530) 623-2861</w:t>
          </w:r>
          <w:r>
            <w:rPr>
              <w:rFonts w:ascii="Calibri" w:eastAsia="Calibri" w:hAnsi="Calibri" w:cs="Calibri"/>
              <w:sz w:val="18"/>
            </w:rPr>
            <w:t xml:space="preserve"> </w:t>
          </w:r>
          <w:r>
            <w:rPr>
              <w:rFonts w:ascii="Wingdings" w:eastAsia="Wingdings" w:hAnsi="Wingdings" w:cs="Wingdings"/>
              <w:color w:val="10483D"/>
              <w:sz w:val="18"/>
            </w:rPr>
            <w:t></w:t>
          </w:r>
          <w:r>
            <w:rPr>
              <w:rFonts w:ascii="Calibri" w:eastAsia="Calibri" w:hAnsi="Calibri" w:cs="Calibri"/>
              <w:sz w:val="18"/>
            </w:rPr>
            <w:t xml:space="preserve"> </w:t>
          </w:r>
          <w:r w:rsidRPr="00EF1446">
            <w:rPr>
              <w:rFonts w:ascii="Karla" w:eastAsia="Calibri" w:hAnsi="Karla" w:cs="Calibri"/>
              <w:sz w:val="18"/>
            </w:rPr>
            <w:t xml:space="preserve">FAX (530) 623-4489 </w:t>
          </w:r>
        </w:p>
        <w:p w14:paraId="6EFBFE1F" w14:textId="77777777" w:rsidR="00906EBE" w:rsidRDefault="00906EBE" w:rsidP="00906EBE">
          <w:pPr>
            <w:pStyle w:val="Header"/>
            <w:jc w:val="center"/>
          </w:pPr>
          <w:r w:rsidRPr="00EF1446">
            <w:rPr>
              <w:rFonts w:ascii="Karla" w:eastAsia="Calibri" w:hAnsi="Karla" w:cs="Calibri"/>
              <w:sz w:val="18"/>
            </w:rPr>
            <w:t>https://www.tcoek12.org</w:t>
          </w:r>
        </w:p>
      </w:tc>
    </w:tr>
  </w:tbl>
  <w:p w14:paraId="2197F6BD" w14:textId="77777777" w:rsidR="00B93C4F" w:rsidRPr="00906EBE" w:rsidRDefault="00B93C4F" w:rsidP="00906E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C6956"/>
    <w:multiLevelType w:val="hybridMultilevel"/>
    <w:tmpl w:val="C322A1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071118"/>
    <w:multiLevelType w:val="hybridMultilevel"/>
    <w:tmpl w:val="FEB057C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330C13DF"/>
    <w:multiLevelType w:val="hybridMultilevel"/>
    <w:tmpl w:val="08365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31304"/>
    <w:multiLevelType w:val="hybridMultilevel"/>
    <w:tmpl w:val="78E2F45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ADE1593"/>
    <w:multiLevelType w:val="hybridMultilevel"/>
    <w:tmpl w:val="A53CA2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5C3060"/>
    <w:multiLevelType w:val="hybridMultilevel"/>
    <w:tmpl w:val="3AD43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46F04"/>
    <w:multiLevelType w:val="hybridMultilevel"/>
    <w:tmpl w:val="87901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1014E6"/>
    <w:multiLevelType w:val="hybridMultilevel"/>
    <w:tmpl w:val="99B09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C9342E"/>
    <w:multiLevelType w:val="hybridMultilevel"/>
    <w:tmpl w:val="ACFA6D52"/>
    <w:lvl w:ilvl="0" w:tplc="364A26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37094"/>
    <w:multiLevelType w:val="hybridMultilevel"/>
    <w:tmpl w:val="49DE1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F102AE"/>
    <w:multiLevelType w:val="hybridMultilevel"/>
    <w:tmpl w:val="B6182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617677">
    <w:abstractNumId w:val="1"/>
  </w:num>
  <w:num w:numId="2" w16cid:durableId="1512990814">
    <w:abstractNumId w:val="3"/>
  </w:num>
  <w:num w:numId="3" w16cid:durableId="607276475">
    <w:abstractNumId w:val="2"/>
  </w:num>
  <w:num w:numId="4" w16cid:durableId="1559828104">
    <w:abstractNumId w:val="7"/>
  </w:num>
  <w:num w:numId="5" w16cid:durableId="2133087394">
    <w:abstractNumId w:val="0"/>
  </w:num>
  <w:num w:numId="6" w16cid:durableId="974869402">
    <w:abstractNumId w:val="6"/>
  </w:num>
  <w:num w:numId="7" w16cid:durableId="1531801138">
    <w:abstractNumId w:val="8"/>
  </w:num>
  <w:num w:numId="8" w16cid:durableId="1645548719">
    <w:abstractNumId w:val="4"/>
  </w:num>
  <w:num w:numId="9" w16cid:durableId="697976494">
    <w:abstractNumId w:val="10"/>
  </w:num>
  <w:num w:numId="10" w16cid:durableId="1906835979">
    <w:abstractNumId w:val="9"/>
  </w:num>
  <w:num w:numId="11" w16cid:durableId="8017704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1B0"/>
    <w:rsid w:val="001361B0"/>
    <w:rsid w:val="00194487"/>
    <w:rsid w:val="001D449D"/>
    <w:rsid w:val="00413869"/>
    <w:rsid w:val="00462ABB"/>
    <w:rsid w:val="005223A1"/>
    <w:rsid w:val="007B6658"/>
    <w:rsid w:val="0083182E"/>
    <w:rsid w:val="008B354E"/>
    <w:rsid w:val="00906EBE"/>
    <w:rsid w:val="00943593"/>
    <w:rsid w:val="009803C1"/>
    <w:rsid w:val="00993297"/>
    <w:rsid w:val="00A7526C"/>
    <w:rsid w:val="00AB39F8"/>
    <w:rsid w:val="00AD4F12"/>
    <w:rsid w:val="00B93C4F"/>
    <w:rsid w:val="00BC34CB"/>
    <w:rsid w:val="00BF018E"/>
    <w:rsid w:val="00C833E8"/>
    <w:rsid w:val="00D9099E"/>
    <w:rsid w:val="00ED46F8"/>
    <w:rsid w:val="00F07D78"/>
    <w:rsid w:val="00FB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EA43E"/>
  <w15:docId w15:val="{F9A09190-A744-7B40-9A30-ADDF2EF1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1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61B0"/>
    <w:pPr>
      <w:ind w:left="720"/>
      <w:contextualSpacing/>
    </w:pPr>
  </w:style>
  <w:style w:type="paragraph" w:styleId="NormalWeb">
    <w:name w:val="Normal (Web)"/>
    <w:basedOn w:val="Normal"/>
    <w:uiPriority w:val="99"/>
    <w:rsid w:val="00136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36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1B0"/>
  </w:style>
  <w:style w:type="paragraph" w:styleId="Footer">
    <w:name w:val="footer"/>
    <w:basedOn w:val="Normal"/>
    <w:link w:val="FooterChar"/>
    <w:uiPriority w:val="99"/>
    <w:unhideWhenUsed/>
    <w:rsid w:val="00136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1B0"/>
  </w:style>
  <w:style w:type="paragraph" w:styleId="BalloonText">
    <w:name w:val="Balloon Text"/>
    <w:basedOn w:val="Normal"/>
    <w:link w:val="BalloonTextChar"/>
    <w:uiPriority w:val="99"/>
    <w:semiHidden/>
    <w:unhideWhenUsed/>
    <w:rsid w:val="00136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1B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F07D78"/>
  </w:style>
  <w:style w:type="table" w:styleId="TableGrid">
    <w:name w:val="Table Grid"/>
    <w:basedOn w:val="TableNormal"/>
    <w:uiPriority w:val="39"/>
    <w:rsid w:val="00B93C4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Rebelo</dc:creator>
  <cp:lastModifiedBy>Anthony Rebelo</cp:lastModifiedBy>
  <cp:revision>13</cp:revision>
  <dcterms:created xsi:type="dcterms:W3CDTF">2016-03-11T17:13:00Z</dcterms:created>
  <dcterms:modified xsi:type="dcterms:W3CDTF">2023-06-21T16:10:00Z</dcterms:modified>
</cp:coreProperties>
</file>