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spacing w:after="80" w:before="280" w:lineRule="auto"/>
        <w:jc w:val="center"/>
        <w:rPr>
          <w:color w:val="000000"/>
          <w:sz w:val="26"/>
          <w:szCs w:val="26"/>
        </w:rPr>
      </w:pPr>
      <w:bookmarkStart w:colFirst="0" w:colLast="0" w:name="_heading=h.vdttr15ycaas" w:id="0"/>
      <w:bookmarkEnd w:id="0"/>
      <w:r w:rsidDel="00000000" w:rsidR="00000000" w:rsidRPr="00000000">
        <w:rPr>
          <w:color w:val="000000"/>
          <w:sz w:val="44"/>
          <w:szCs w:val="44"/>
          <w:rtl w:val="0"/>
        </w:rPr>
        <w:t xml:space="preserve">CENTRAL POINT SCHOOL DISTRICT 6 INTEGRATED PLAN REPORT </w:t>
        <w:br w:type="textWrapping"/>
        <w:t xml:space="preserve">2024-2025</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-228599</wp:posOffset>
            </wp:positionH>
            <wp:positionV relativeFrom="paragraph">
              <wp:posOffset>114300</wp:posOffset>
            </wp:positionV>
            <wp:extent cx="1223963" cy="1192579"/>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223963" cy="1192579"/>
                    </a:xfrm>
                    <a:prstGeom prst="rect"/>
                    <a:ln/>
                  </pic:spPr>
                </pic:pic>
              </a:graphicData>
            </a:graphic>
          </wp:anchor>
        </w:drawing>
      </w:r>
    </w:p>
    <w:p w:rsidR="00000000" w:rsidDel="00000000" w:rsidP="00000000" w:rsidRDefault="00000000" w:rsidRPr="00000000" w14:paraId="00000002">
      <w:pPr>
        <w:pStyle w:val="Heading3"/>
        <w:spacing w:after="80" w:before="280" w:lineRule="auto"/>
        <w:jc w:val="center"/>
        <w:rPr>
          <w:color w:val="000000"/>
          <w:sz w:val="26"/>
          <w:szCs w:val="26"/>
        </w:rPr>
      </w:pPr>
      <w:bookmarkStart w:colFirst="0" w:colLast="0" w:name="_heading=h.3zlvvrvlvyz7" w:id="1"/>
      <w:bookmarkEnd w:id="1"/>
      <w:r w:rsidDel="00000000" w:rsidR="00000000" w:rsidRPr="00000000">
        <w:rPr>
          <w:color w:val="000000"/>
          <w:sz w:val="26"/>
          <w:szCs w:val="26"/>
          <w:rtl w:val="0"/>
        </w:rPr>
        <w:t xml:space="preserve">Summary of Annual Report to ODE 24-25</w:t>
      </w:r>
    </w:p>
    <w:p w:rsidR="00000000" w:rsidDel="00000000" w:rsidP="00000000" w:rsidRDefault="00000000" w:rsidRPr="00000000" w14:paraId="00000003">
      <w:pPr>
        <w:pStyle w:val="Heading3"/>
        <w:spacing w:after="80" w:before="280" w:line="240" w:lineRule="auto"/>
        <w:rPr>
          <w:color w:val="000000"/>
          <w:sz w:val="26"/>
          <w:szCs w:val="26"/>
        </w:rPr>
      </w:pPr>
      <w:bookmarkStart w:colFirst="0" w:colLast="0" w:name="_heading=h.25saisdkjvk4" w:id="2"/>
      <w:bookmarkEnd w:id="2"/>
      <w:r w:rsidDel="00000000" w:rsidR="00000000" w:rsidRPr="00000000">
        <w:rPr>
          <w:color w:val="000000"/>
          <w:sz w:val="26"/>
          <w:szCs w:val="26"/>
          <w:rtl w:val="0"/>
        </w:rPr>
        <w:t xml:space="preserve">Progress &amp; Accomplishments</w:t>
      </w:r>
    </w:p>
    <w:p w:rsidR="00000000" w:rsidDel="00000000" w:rsidP="00000000" w:rsidRDefault="00000000" w:rsidRPr="00000000" w14:paraId="00000004">
      <w:pPr>
        <w:pStyle w:val="Heading2"/>
        <w:numPr>
          <w:ilvl w:val="0"/>
          <w:numId w:val="3"/>
        </w:numPr>
        <w:spacing w:after="0" w:afterAutospacing="0" w:before="240" w:line="240" w:lineRule="auto"/>
        <w:ind w:left="720" w:hanging="360"/>
        <w:rPr>
          <w:b w:val="0"/>
          <w:color w:val="000000"/>
        </w:rPr>
      </w:pPr>
      <w:r w:rsidDel="00000000" w:rsidR="00000000" w:rsidRPr="00000000">
        <w:rPr>
          <w:color w:val="000000"/>
          <w:rtl w:val="0"/>
        </w:rPr>
        <w:t xml:space="preserve">Professional Development:</w:t>
      </w:r>
      <w:r w:rsidDel="00000000" w:rsidR="00000000" w:rsidRPr="00000000">
        <w:rPr>
          <w:b w:val="0"/>
          <w:color w:val="000000"/>
          <w:rtl w:val="0"/>
        </w:rPr>
        <w:t xml:space="preserve"> All teachers engaged in </w:t>
      </w:r>
      <w:r w:rsidDel="00000000" w:rsidR="00000000" w:rsidRPr="00000000">
        <w:rPr>
          <w:b w:val="0"/>
          <w:i w:val="1"/>
          <w:color w:val="000000"/>
          <w:rtl w:val="0"/>
        </w:rPr>
        <w:t xml:space="preserve">EducationalExcellence.org</w:t>
      </w:r>
      <w:r w:rsidDel="00000000" w:rsidR="00000000" w:rsidRPr="00000000">
        <w:rPr>
          <w:b w:val="0"/>
          <w:color w:val="000000"/>
          <w:rtl w:val="0"/>
        </w:rPr>
        <w:t xml:space="preserve"> training, deconstructing standards, mapping curriculum, and strengthening PLC structures.</w:t>
        <w:br w:type="textWrapping"/>
      </w:r>
    </w:p>
    <w:p w:rsidR="00000000" w:rsidDel="00000000" w:rsidP="00000000" w:rsidRDefault="00000000" w:rsidRPr="00000000" w14:paraId="00000005">
      <w:pPr>
        <w:pStyle w:val="Heading2"/>
        <w:numPr>
          <w:ilvl w:val="0"/>
          <w:numId w:val="3"/>
        </w:numPr>
        <w:spacing w:after="0" w:afterAutospacing="0" w:before="0" w:beforeAutospacing="0" w:line="240" w:lineRule="auto"/>
        <w:ind w:left="720" w:hanging="360"/>
        <w:rPr>
          <w:b w:val="0"/>
          <w:color w:val="000000"/>
        </w:rPr>
      </w:pPr>
      <w:r w:rsidDel="00000000" w:rsidR="00000000" w:rsidRPr="00000000">
        <w:rPr>
          <w:color w:val="000000"/>
          <w:rtl w:val="0"/>
        </w:rPr>
        <w:t xml:space="preserve">MTSS Implementation:</w:t>
      </w:r>
      <w:r w:rsidDel="00000000" w:rsidR="00000000" w:rsidRPr="00000000">
        <w:rPr>
          <w:b w:val="0"/>
          <w:color w:val="000000"/>
          <w:rtl w:val="0"/>
        </w:rPr>
        <w:t xml:space="preserve"> District-wide academic and behavior data systems established to guide interventions.</w:t>
        <w:br w:type="textWrapping"/>
      </w:r>
    </w:p>
    <w:p w:rsidR="00000000" w:rsidDel="00000000" w:rsidP="00000000" w:rsidRDefault="00000000" w:rsidRPr="00000000" w14:paraId="00000006">
      <w:pPr>
        <w:pStyle w:val="Heading2"/>
        <w:numPr>
          <w:ilvl w:val="0"/>
          <w:numId w:val="3"/>
        </w:numPr>
        <w:spacing w:after="0" w:afterAutospacing="0" w:before="0" w:beforeAutospacing="0" w:line="240" w:lineRule="auto"/>
        <w:ind w:left="720" w:hanging="360"/>
        <w:rPr>
          <w:b w:val="0"/>
          <w:color w:val="000000"/>
        </w:rPr>
      </w:pPr>
      <w:r w:rsidDel="00000000" w:rsidR="00000000" w:rsidRPr="00000000">
        <w:rPr>
          <w:color w:val="000000"/>
          <w:rtl w:val="0"/>
        </w:rPr>
        <w:t xml:space="preserve">Academic Growth:</w:t>
        <w:br w:type="textWrapping"/>
      </w:r>
    </w:p>
    <w:p w:rsidR="00000000" w:rsidDel="00000000" w:rsidP="00000000" w:rsidRDefault="00000000" w:rsidRPr="00000000" w14:paraId="00000007">
      <w:pPr>
        <w:pStyle w:val="Heading2"/>
        <w:numPr>
          <w:ilvl w:val="1"/>
          <w:numId w:val="3"/>
        </w:numPr>
        <w:spacing w:after="0" w:afterAutospacing="0" w:before="0" w:beforeAutospacing="0" w:line="240" w:lineRule="auto"/>
        <w:ind w:left="1440" w:hanging="360"/>
        <w:rPr>
          <w:b w:val="0"/>
          <w:color w:val="000000"/>
        </w:rPr>
      </w:pPr>
      <w:r w:rsidDel="00000000" w:rsidR="00000000" w:rsidRPr="00000000">
        <w:rPr>
          <w:b w:val="0"/>
          <w:color w:val="000000"/>
          <w:rtl w:val="0"/>
        </w:rPr>
        <w:t xml:space="preserve">ELA and Math gap scores narrowed by 6 points (from –62 to –56).</w:t>
      </w:r>
    </w:p>
    <w:p w:rsidR="00000000" w:rsidDel="00000000" w:rsidP="00000000" w:rsidRDefault="00000000" w:rsidRPr="00000000" w14:paraId="00000008">
      <w:pPr>
        <w:pStyle w:val="Heading2"/>
        <w:numPr>
          <w:ilvl w:val="1"/>
          <w:numId w:val="3"/>
        </w:numPr>
        <w:spacing w:after="0" w:afterAutospacing="0" w:before="0" w:beforeAutospacing="0" w:line="240" w:lineRule="auto"/>
        <w:ind w:left="1440" w:hanging="360"/>
        <w:rPr>
          <w:b w:val="0"/>
          <w:color w:val="000000"/>
        </w:rPr>
      </w:pPr>
      <w:r w:rsidDel="00000000" w:rsidR="00000000" w:rsidRPr="00000000">
        <w:rPr>
          <w:b w:val="0"/>
          <w:color w:val="000000"/>
          <w:rtl w:val="0"/>
        </w:rPr>
        <w:t xml:space="preserve">Evidence of momentum toward key metrics: 3rd grade literacy, 9th grade on-track, and graduation rates.</w:t>
        <w:br w:type="textWrapping"/>
      </w:r>
    </w:p>
    <w:p w:rsidR="00000000" w:rsidDel="00000000" w:rsidP="00000000" w:rsidRDefault="00000000" w:rsidRPr="00000000" w14:paraId="00000009">
      <w:pPr>
        <w:pStyle w:val="Heading2"/>
        <w:numPr>
          <w:ilvl w:val="0"/>
          <w:numId w:val="3"/>
        </w:numPr>
        <w:spacing w:after="240" w:before="0" w:beforeAutospacing="0" w:line="240" w:lineRule="auto"/>
        <w:ind w:left="720" w:hanging="360"/>
        <w:rPr>
          <w:b w:val="0"/>
          <w:color w:val="000000"/>
        </w:rPr>
      </w:pPr>
      <w:r w:rsidDel="00000000" w:rsidR="00000000" w:rsidRPr="00000000">
        <w:rPr>
          <w:color w:val="000000"/>
          <w:rtl w:val="0"/>
        </w:rPr>
        <w:t xml:space="preserve">Targeted Interventions:</w:t>
      </w:r>
      <w:r w:rsidDel="00000000" w:rsidR="00000000" w:rsidRPr="00000000">
        <w:rPr>
          <w:b w:val="0"/>
          <w:color w:val="000000"/>
          <w:rtl w:val="0"/>
        </w:rPr>
        <w:t xml:space="preserve"> Investments in Orton-Gillingham, early literacy practices, universal screeners, and summer learning are accelerating progress.</w:t>
      </w:r>
    </w:p>
    <w:p w:rsidR="00000000" w:rsidDel="00000000" w:rsidP="00000000" w:rsidRDefault="00000000" w:rsidRPr="00000000" w14:paraId="0000000A">
      <w:pPr>
        <w:pStyle w:val="Heading3"/>
        <w:spacing w:after="80" w:before="280" w:line="240" w:lineRule="auto"/>
        <w:rPr>
          <w:color w:val="000000"/>
          <w:sz w:val="26"/>
          <w:szCs w:val="26"/>
        </w:rPr>
      </w:pPr>
      <w:bookmarkStart w:colFirst="0" w:colLast="0" w:name="_heading=h.3ifkcrn52n7n" w:id="3"/>
      <w:bookmarkEnd w:id="3"/>
      <w:r w:rsidDel="00000000" w:rsidR="00000000" w:rsidRPr="00000000">
        <w:rPr>
          <w:color w:val="000000"/>
          <w:sz w:val="26"/>
          <w:szCs w:val="26"/>
          <w:rtl w:val="0"/>
        </w:rPr>
        <w:t xml:space="preserve">Barriers &amp; Challenges</w:t>
      </w:r>
    </w:p>
    <w:p w:rsidR="00000000" w:rsidDel="00000000" w:rsidP="00000000" w:rsidRDefault="00000000" w:rsidRPr="00000000" w14:paraId="0000000B">
      <w:pPr>
        <w:pStyle w:val="Heading2"/>
        <w:numPr>
          <w:ilvl w:val="0"/>
          <w:numId w:val="4"/>
        </w:numPr>
        <w:spacing w:after="0" w:afterAutospacing="0" w:before="240" w:line="240" w:lineRule="auto"/>
        <w:ind w:left="720" w:hanging="360"/>
        <w:rPr>
          <w:b w:val="0"/>
          <w:color w:val="000000"/>
        </w:rPr>
      </w:pPr>
      <w:r w:rsidDel="00000000" w:rsidR="00000000" w:rsidRPr="00000000">
        <w:rPr>
          <w:color w:val="000000"/>
          <w:rtl w:val="0"/>
        </w:rPr>
        <w:t xml:space="preserve">PLCs:</w:t>
      </w:r>
      <w:r w:rsidDel="00000000" w:rsidR="00000000" w:rsidRPr="00000000">
        <w:rPr>
          <w:b w:val="0"/>
          <w:color w:val="000000"/>
          <w:rtl w:val="0"/>
        </w:rPr>
        <w:t xml:space="preserve"> Difficulty balancing contractual obligations with consistent expectations for collaboration.</w:t>
        <w:br w:type="textWrapping"/>
      </w:r>
    </w:p>
    <w:p w:rsidR="00000000" w:rsidDel="00000000" w:rsidP="00000000" w:rsidRDefault="00000000" w:rsidRPr="00000000" w14:paraId="0000000C">
      <w:pPr>
        <w:pStyle w:val="Heading2"/>
        <w:numPr>
          <w:ilvl w:val="0"/>
          <w:numId w:val="4"/>
        </w:numPr>
        <w:spacing w:after="0" w:afterAutospacing="0" w:before="0" w:beforeAutospacing="0" w:line="240" w:lineRule="auto"/>
        <w:ind w:left="720" w:hanging="360"/>
        <w:rPr>
          <w:b w:val="0"/>
          <w:color w:val="000000"/>
        </w:rPr>
      </w:pPr>
      <w:r w:rsidDel="00000000" w:rsidR="00000000" w:rsidRPr="00000000">
        <w:rPr>
          <w:color w:val="000000"/>
          <w:rtl w:val="0"/>
        </w:rPr>
        <w:t xml:space="preserve">Special Education:</w:t>
      </w:r>
      <w:r w:rsidDel="00000000" w:rsidR="00000000" w:rsidRPr="00000000">
        <w:rPr>
          <w:b w:val="0"/>
          <w:color w:val="000000"/>
          <w:rtl w:val="0"/>
        </w:rPr>
        <w:t xml:space="preserve"> Staffing shortages, turnover, and uneven training hinder consistent service delivery.</w:t>
        <w:br w:type="textWrapping"/>
      </w:r>
    </w:p>
    <w:p w:rsidR="00000000" w:rsidDel="00000000" w:rsidP="00000000" w:rsidRDefault="00000000" w:rsidRPr="00000000" w14:paraId="0000000D">
      <w:pPr>
        <w:pStyle w:val="Heading2"/>
        <w:numPr>
          <w:ilvl w:val="0"/>
          <w:numId w:val="4"/>
        </w:numPr>
        <w:spacing w:after="0" w:afterAutospacing="0" w:before="0" w:beforeAutospacing="0" w:line="240" w:lineRule="auto"/>
        <w:ind w:left="720" w:hanging="360"/>
        <w:rPr>
          <w:b w:val="0"/>
          <w:color w:val="000000"/>
        </w:rPr>
      </w:pPr>
      <w:r w:rsidDel="00000000" w:rsidR="00000000" w:rsidRPr="00000000">
        <w:rPr>
          <w:color w:val="000000"/>
          <w:rtl w:val="0"/>
        </w:rPr>
        <w:t xml:space="preserve">English Learners:</w:t>
      </w:r>
      <w:r w:rsidDel="00000000" w:rsidR="00000000" w:rsidRPr="00000000">
        <w:rPr>
          <w:b w:val="0"/>
          <w:color w:val="000000"/>
          <w:rtl w:val="0"/>
        </w:rPr>
        <w:t xml:space="preserve"> Achievement gaps persist despite targeted instruction and supports.</w:t>
        <w:br w:type="textWrapping"/>
      </w:r>
    </w:p>
    <w:p w:rsidR="00000000" w:rsidDel="00000000" w:rsidP="00000000" w:rsidRDefault="00000000" w:rsidRPr="00000000" w14:paraId="0000000E">
      <w:pPr>
        <w:pStyle w:val="Heading2"/>
        <w:numPr>
          <w:ilvl w:val="0"/>
          <w:numId w:val="4"/>
        </w:numPr>
        <w:spacing w:after="0" w:afterAutospacing="0" w:before="0" w:beforeAutospacing="0" w:line="240" w:lineRule="auto"/>
        <w:ind w:left="720" w:hanging="360"/>
        <w:rPr>
          <w:b w:val="0"/>
          <w:color w:val="000000"/>
        </w:rPr>
      </w:pPr>
      <w:r w:rsidDel="00000000" w:rsidR="00000000" w:rsidRPr="00000000">
        <w:rPr>
          <w:color w:val="000000"/>
          <w:rtl w:val="0"/>
        </w:rPr>
        <w:t xml:space="preserve">Chronic Absenteeism:</w:t>
      </w:r>
      <w:r w:rsidDel="00000000" w:rsidR="00000000" w:rsidRPr="00000000">
        <w:rPr>
          <w:b w:val="0"/>
          <w:color w:val="000000"/>
          <w:rtl w:val="0"/>
        </w:rPr>
        <w:t xml:space="preserve"> Significant barrier to equitable student achievement across grade levels.</w:t>
        <w:br w:type="textWrapping"/>
      </w:r>
    </w:p>
    <w:p w:rsidR="00000000" w:rsidDel="00000000" w:rsidP="00000000" w:rsidRDefault="00000000" w:rsidRPr="00000000" w14:paraId="0000000F">
      <w:pPr>
        <w:pStyle w:val="Heading2"/>
        <w:numPr>
          <w:ilvl w:val="0"/>
          <w:numId w:val="4"/>
        </w:numPr>
        <w:spacing w:after="240" w:before="0" w:beforeAutospacing="0" w:line="240" w:lineRule="auto"/>
        <w:ind w:left="720" w:hanging="360"/>
        <w:rPr>
          <w:b w:val="0"/>
          <w:color w:val="000000"/>
        </w:rPr>
      </w:pPr>
      <w:r w:rsidDel="00000000" w:rsidR="00000000" w:rsidRPr="00000000">
        <w:rPr>
          <w:color w:val="000000"/>
          <w:rtl w:val="0"/>
        </w:rPr>
        <w:t xml:space="preserve">Graduation Rates:</w:t>
      </w:r>
      <w:r w:rsidDel="00000000" w:rsidR="00000000" w:rsidRPr="00000000">
        <w:rPr>
          <w:b w:val="0"/>
          <w:color w:val="000000"/>
          <w:rtl w:val="0"/>
        </w:rPr>
        <w:t xml:space="preserve"> Gains noted, but underserved student groups continue to need stronger support.</w:t>
      </w:r>
    </w:p>
    <w:p w:rsidR="00000000" w:rsidDel="00000000" w:rsidP="00000000" w:rsidRDefault="00000000" w:rsidRPr="00000000" w14:paraId="00000010">
      <w:pPr>
        <w:pStyle w:val="Heading3"/>
        <w:spacing w:after="80" w:before="280" w:line="240" w:lineRule="auto"/>
        <w:rPr>
          <w:color w:val="000000"/>
          <w:sz w:val="26"/>
          <w:szCs w:val="26"/>
        </w:rPr>
      </w:pPr>
      <w:bookmarkStart w:colFirst="0" w:colLast="0" w:name="_heading=h.v31v3f8vgqm3" w:id="4"/>
      <w:bookmarkEnd w:id="4"/>
      <w:r w:rsidDel="00000000" w:rsidR="00000000" w:rsidRPr="00000000">
        <w:rPr>
          <w:color w:val="000000"/>
          <w:sz w:val="26"/>
          <w:szCs w:val="26"/>
          <w:rtl w:val="0"/>
        </w:rPr>
        <w:t xml:space="preserve">Reflections on Metrics</w:t>
      </w:r>
    </w:p>
    <w:p w:rsidR="00000000" w:rsidDel="00000000" w:rsidP="00000000" w:rsidRDefault="00000000" w:rsidRPr="00000000" w14:paraId="00000011">
      <w:pPr>
        <w:pStyle w:val="Heading2"/>
        <w:numPr>
          <w:ilvl w:val="0"/>
          <w:numId w:val="2"/>
        </w:numPr>
        <w:spacing w:after="0" w:afterAutospacing="0" w:before="240" w:line="240" w:lineRule="auto"/>
        <w:ind w:left="720" w:hanging="360"/>
        <w:rPr>
          <w:b w:val="0"/>
          <w:color w:val="000000"/>
        </w:rPr>
      </w:pPr>
      <w:r w:rsidDel="00000000" w:rsidR="00000000" w:rsidRPr="00000000">
        <w:rPr>
          <w:b w:val="0"/>
          <w:color w:val="000000"/>
          <w:rtl w:val="0"/>
        </w:rPr>
        <w:t xml:space="preserve">Improved alignment of PLC work and professional development is supporting progress toward Longitudinal Performance Growth Targets (LPGTs) and Local Optional Metrics (LOMs).</w:t>
        <w:br w:type="textWrapping"/>
      </w:r>
    </w:p>
    <w:p w:rsidR="00000000" w:rsidDel="00000000" w:rsidP="00000000" w:rsidRDefault="00000000" w:rsidRPr="00000000" w14:paraId="00000012">
      <w:pPr>
        <w:pStyle w:val="Heading2"/>
        <w:numPr>
          <w:ilvl w:val="0"/>
          <w:numId w:val="2"/>
        </w:numPr>
        <w:spacing w:after="240" w:before="0" w:beforeAutospacing="0" w:line="240" w:lineRule="auto"/>
        <w:ind w:left="720" w:hanging="360"/>
        <w:rPr>
          <w:b w:val="0"/>
          <w:color w:val="000000"/>
        </w:rPr>
      </w:pPr>
      <w:r w:rsidDel="00000000" w:rsidR="00000000" w:rsidRPr="00000000">
        <w:rPr>
          <w:b w:val="0"/>
          <w:color w:val="000000"/>
          <w:rtl w:val="0"/>
        </w:rPr>
        <w:t xml:space="preserve">Early signs show strategies are working, though continued focus on data-driven instruction and equitable access is needed.</w:t>
      </w:r>
    </w:p>
    <w:p w:rsidR="00000000" w:rsidDel="00000000" w:rsidP="00000000" w:rsidRDefault="00000000" w:rsidRPr="00000000" w14:paraId="00000013">
      <w:pPr>
        <w:pStyle w:val="Heading3"/>
        <w:spacing w:after="80" w:before="280" w:line="240" w:lineRule="auto"/>
        <w:rPr>
          <w:color w:val="000000"/>
          <w:sz w:val="26"/>
          <w:szCs w:val="26"/>
        </w:rPr>
      </w:pPr>
      <w:bookmarkStart w:colFirst="0" w:colLast="0" w:name="_heading=h.c6cmcjnp7msj" w:id="5"/>
      <w:bookmarkEnd w:id="5"/>
      <w:r w:rsidDel="00000000" w:rsidR="00000000" w:rsidRPr="00000000">
        <w:rPr>
          <w:color w:val="000000"/>
          <w:sz w:val="26"/>
          <w:szCs w:val="26"/>
          <w:rtl w:val="0"/>
        </w:rPr>
        <w:t xml:space="preserve">Career &amp; Technical Education (CTE) Highlights</w:t>
      </w:r>
    </w:p>
    <w:p w:rsidR="00000000" w:rsidDel="00000000" w:rsidP="00000000" w:rsidRDefault="00000000" w:rsidRPr="00000000" w14:paraId="00000014">
      <w:pPr>
        <w:pStyle w:val="Heading2"/>
        <w:numPr>
          <w:ilvl w:val="0"/>
          <w:numId w:val="1"/>
        </w:numPr>
        <w:spacing w:after="0" w:afterAutospacing="0" w:before="240" w:line="240" w:lineRule="auto"/>
        <w:ind w:left="720" w:hanging="360"/>
        <w:rPr>
          <w:b w:val="0"/>
          <w:color w:val="000000"/>
        </w:rPr>
      </w:pPr>
      <w:r w:rsidDel="00000000" w:rsidR="00000000" w:rsidRPr="00000000">
        <w:rPr>
          <w:color w:val="000000"/>
          <w:rtl w:val="0"/>
        </w:rPr>
        <w:t xml:space="preserve">Equitable Access:</w:t>
      </w:r>
      <w:r w:rsidDel="00000000" w:rsidR="00000000" w:rsidRPr="00000000">
        <w:rPr>
          <w:b w:val="0"/>
          <w:color w:val="000000"/>
          <w:rtl w:val="0"/>
        </w:rPr>
        <w:t xml:space="preserve"> Recruitment supported by counselors, ELD staff, and SPED case managers; Perkins funds used for supplies, adaptive tools, and PD.</w:t>
        <w:br w:type="textWrapping"/>
      </w:r>
    </w:p>
    <w:p w:rsidR="00000000" w:rsidDel="00000000" w:rsidP="00000000" w:rsidRDefault="00000000" w:rsidRPr="00000000" w14:paraId="00000015">
      <w:pPr>
        <w:pStyle w:val="Heading2"/>
        <w:numPr>
          <w:ilvl w:val="0"/>
          <w:numId w:val="1"/>
        </w:numPr>
        <w:spacing w:after="0" w:afterAutospacing="0" w:before="0" w:beforeAutospacing="0" w:line="240" w:lineRule="auto"/>
        <w:ind w:left="720" w:hanging="360"/>
        <w:rPr>
          <w:b w:val="0"/>
          <w:color w:val="000000"/>
        </w:rPr>
      </w:pPr>
      <w:r w:rsidDel="00000000" w:rsidR="00000000" w:rsidRPr="00000000">
        <w:rPr>
          <w:color w:val="000000"/>
          <w:rtl w:val="0"/>
        </w:rPr>
        <w:t xml:space="preserve">Expanded Opportunities:</w:t>
      </w:r>
      <w:r w:rsidDel="00000000" w:rsidR="00000000" w:rsidRPr="00000000">
        <w:rPr>
          <w:b w:val="0"/>
          <w:color w:val="000000"/>
          <w:rtl w:val="0"/>
        </w:rPr>
        <w:t xml:space="preserve"> Growth in nontraditional enrollment (e.g., female students in CTE); strong retention for low-income and supported students.</w:t>
        <w:br w:type="textWrapping"/>
      </w:r>
    </w:p>
    <w:p w:rsidR="00000000" w:rsidDel="00000000" w:rsidP="00000000" w:rsidRDefault="00000000" w:rsidRPr="00000000" w14:paraId="00000016">
      <w:pPr>
        <w:pStyle w:val="Heading2"/>
        <w:numPr>
          <w:ilvl w:val="0"/>
          <w:numId w:val="1"/>
        </w:numPr>
        <w:spacing w:after="0" w:afterAutospacing="0" w:before="0" w:beforeAutospacing="0" w:line="240" w:lineRule="auto"/>
        <w:ind w:left="720" w:hanging="360"/>
        <w:rPr>
          <w:b w:val="0"/>
          <w:color w:val="000000"/>
        </w:rPr>
      </w:pPr>
      <w:r w:rsidDel="00000000" w:rsidR="00000000" w:rsidRPr="00000000">
        <w:rPr>
          <w:color w:val="000000"/>
          <w:rtl w:val="0"/>
        </w:rPr>
        <w:t xml:space="preserve">Industry Partnerships:</w:t>
        <w:br w:type="textWrapping"/>
      </w:r>
    </w:p>
    <w:p w:rsidR="00000000" w:rsidDel="00000000" w:rsidP="00000000" w:rsidRDefault="00000000" w:rsidRPr="00000000" w14:paraId="00000017">
      <w:pPr>
        <w:pStyle w:val="Heading2"/>
        <w:numPr>
          <w:ilvl w:val="1"/>
          <w:numId w:val="1"/>
        </w:numPr>
        <w:spacing w:after="0" w:afterAutospacing="0" w:before="0" w:beforeAutospacing="0" w:line="240" w:lineRule="auto"/>
        <w:ind w:left="1440" w:hanging="360"/>
        <w:rPr>
          <w:b w:val="0"/>
          <w:color w:val="000000"/>
        </w:rPr>
      </w:pPr>
      <w:r w:rsidDel="00000000" w:rsidR="00000000" w:rsidRPr="00000000">
        <w:rPr>
          <w:b w:val="0"/>
          <w:color w:val="000000"/>
          <w:rtl w:val="0"/>
        </w:rPr>
        <w:t xml:space="preserve">Anthology Woods and Rogue Salad Co. provided authentic, career-connected learning experiences.</w:t>
        <w:br w:type="textWrapping"/>
      </w:r>
    </w:p>
    <w:p w:rsidR="00000000" w:rsidDel="00000000" w:rsidP="00000000" w:rsidRDefault="00000000" w:rsidRPr="00000000" w14:paraId="00000018">
      <w:pPr>
        <w:pStyle w:val="Heading2"/>
        <w:numPr>
          <w:ilvl w:val="1"/>
          <w:numId w:val="1"/>
        </w:numPr>
        <w:spacing w:after="0" w:afterAutospacing="0" w:before="0" w:beforeAutospacing="0" w:line="240" w:lineRule="auto"/>
        <w:ind w:left="1440" w:hanging="360"/>
        <w:rPr>
          <w:b w:val="0"/>
          <w:color w:val="000000"/>
        </w:rPr>
      </w:pPr>
      <w:r w:rsidDel="00000000" w:rsidR="00000000" w:rsidRPr="00000000">
        <w:rPr>
          <w:b w:val="0"/>
          <w:color w:val="000000"/>
          <w:rtl w:val="0"/>
        </w:rPr>
        <w:t xml:space="preserve">Advisory boards meet twice annually with strong industry leader involvement.</w:t>
        <w:br w:type="textWrapping"/>
      </w:r>
    </w:p>
    <w:p w:rsidR="00000000" w:rsidDel="00000000" w:rsidP="00000000" w:rsidRDefault="00000000" w:rsidRPr="00000000" w14:paraId="00000019">
      <w:pPr>
        <w:pStyle w:val="Heading2"/>
        <w:numPr>
          <w:ilvl w:val="0"/>
          <w:numId w:val="1"/>
        </w:numPr>
        <w:spacing w:after="240" w:before="0" w:beforeAutospacing="0" w:line="240" w:lineRule="auto"/>
        <w:ind w:left="720" w:hanging="360"/>
        <w:rPr>
          <w:b w:val="0"/>
          <w:color w:val="000000"/>
        </w:rPr>
      </w:pPr>
      <w:bookmarkStart w:colFirst="0" w:colLast="0" w:name="_heading=h.fes08ijy4r7p" w:id="6"/>
      <w:bookmarkEnd w:id="6"/>
      <w:r w:rsidDel="00000000" w:rsidR="00000000" w:rsidRPr="00000000">
        <w:rPr>
          <w:color w:val="000000"/>
          <w:rtl w:val="0"/>
        </w:rPr>
        <w:t xml:space="preserve">New Pathways:</w:t>
      </w:r>
      <w:r w:rsidDel="00000000" w:rsidR="00000000" w:rsidRPr="00000000">
        <w:rPr>
          <w:b w:val="0"/>
          <w:color w:val="000000"/>
          <w:rtl w:val="0"/>
        </w:rPr>
        <w:t xml:space="preserve"> Advanced Wildland Firefighting, Wildlife Conservation, Forestry, and Construction Skills added; students earning industry credentials.</w:t>
      </w:r>
    </w:p>
    <w:p w:rsidR="00000000" w:rsidDel="00000000" w:rsidP="00000000" w:rsidRDefault="00000000" w:rsidRPr="00000000" w14:paraId="0000001A">
      <w:pPr>
        <w:pStyle w:val="Heading2"/>
        <w:rPr>
          <w:b w:val="0"/>
          <w:color w:val="000000"/>
        </w:rPr>
      </w:pPr>
      <w:r w:rsidDel="00000000" w:rsidR="00000000" w:rsidRPr="00000000">
        <w:rPr>
          <w:rtl w:val="0"/>
        </w:rPr>
      </w:r>
    </w:p>
    <w:p w:rsidR="00000000" w:rsidDel="00000000" w:rsidP="00000000" w:rsidRDefault="00000000" w:rsidRPr="00000000" w14:paraId="0000001B">
      <w:pPr>
        <w:pStyle w:val="Heading2"/>
        <w:rPr/>
      </w:pPr>
      <w:r w:rsidDel="00000000" w:rsidR="00000000" w:rsidRPr="00000000">
        <w:rPr>
          <w:rtl w:val="0"/>
        </w:rPr>
      </w:r>
    </w:p>
    <w:p w:rsidR="00000000" w:rsidDel="00000000" w:rsidP="00000000" w:rsidRDefault="00000000" w:rsidRPr="00000000" w14:paraId="0000001C">
      <w:pPr>
        <w:pStyle w:val="Heading2"/>
        <w:rPr/>
      </w:pPr>
      <w:r w:rsidDel="00000000" w:rsidR="00000000" w:rsidRPr="00000000">
        <w:rPr>
          <w:rtl w:val="0"/>
        </w:rPr>
      </w:r>
    </w:p>
    <w:p w:rsidR="00000000" w:rsidDel="00000000" w:rsidP="00000000" w:rsidRDefault="00000000" w:rsidRPr="00000000" w14:paraId="0000001D">
      <w:pPr>
        <w:pStyle w:val="Heading3"/>
        <w:spacing w:after="80" w:before="280" w:lineRule="auto"/>
        <w:jc w:val="center"/>
        <w:rPr>
          <w:color w:val="000000"/>
          <w:sz w:val="26"/>
          <w:szCs w:val="26"/>
        </w:rPr>
      </w:pPr>
      <w:bookmarkStart w:colFirst="0" w:colLast="0" w:name="_heading=h.v1ilmaifp6bq" w:id="7"/>
      <w:bookmarkEnd w:id="7"/>
      <w:r w:rsidDel="00000000" w:rsidR="00000000" w:rsidRPr="00000000">
        <w:rPr>
          <w:color w:val="000000"/>
          <w:sz w:val="44"/>
          <w:szCs w:val="44"/>
          <w:rtl w:val="0"/>
        </w:rPr>
        <w:t xml:space="preserve">CENTRAL POINT SCHOOL DISTRICT 6 INTEGRATED PLAN REPORT </w:t>
        <w:br w:type="textWrapping"/>
        <w:t xml:space="preserve">2024-2025</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-228599</wp:posOffset>
            </wp:positionH>
            <wp:positionV relativeFrom="paragraph">
              <wp:posOffset>114300</wp:posOffset>
            </wp:positionV>
            <wp:extent cx="1223963" cy="1192579"/>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223963" cy="1192579"/>
                    </a:xfrm>
                    <a:prstGeom prst="rect"/>
                    <a:ln/>
                  </pic:spPr>
                </pic:pic>
              </a:graphicData>
            </a:graphic>
          </wp:anchor>
        </w:drawing>
      </w:r>
    </w:p>
    <w:p w:rsidR="00000000" w:rsidDel="00000000" w:rsidP="00000000" w:rsidRDefault="00000000" w:rsidRPr="00000000" w14:paraId="0000001E">
      <w:pPr>
        <w:pStyle w:val="Heading3"/>
        <w:spacing w:after="80" w:before="280" w:lineRule="auto"/>
        <w:jc w:val="center"/>
        <w:rPr/>
      </w:pPr>
      <w:bookmarkStart w:colFirst="0" w:colLast="0" w:name="_heading=h.y64gnwqur1i8" w:id="8"/>
      <w:bookmarkEnd w:id="8"/>
      <w:r w:rsidDel="00000000" w:rsidR="00000000" w:rsidRPr="00000000">
        <w:rPr>
          <w:color w:val="000000"/>
          <w:sz w:val="26"/>
          <w:szCs w:val="26"/>
          <w:rtl w:val="0"/>
        </w:rPr>
        <w:t xml:space="preserve">Annual Report to ODE 24-25</w:t>
      </w:r>
      <w:r w:rsidDel="00000000" w:rsidR="00000000" w:rsidRPr="00000000">
        <w:rPr>
          <w:rtl w:val="0"/>
        </w:rPr>
      </w:r>
    </w:p>
    <w:p w:rsidR="00000000" w:rsidDel="00000000" w:rsidP="00000000" w:rsidRDefault="00000000" w:rsidRPr="00000000" w14:paraId="0000001F">
      <w:pPr>
        <w:pStyle w:val="Heading2"/>
        <w:rPr/>
      </w:pPr>
      <w:r w:rsidDel="00000000" w:rsidR="00000000" w:rsidRPr="00000000">
        <w:rPr>
          <w:rtl w:val="0"/>
        </w:rPr>
        <w:t xml:space="preserve">AR1: As you review your progress markers/overall reflection responses and reflect on plan implementation, how do you see your progress contributing to the Outcomes and Strategies in your plan and your Longitudinal Performance Growth Targets (LPGT)/Local Optional Metrics (LOM)?</w:t>
        <w:br w:type="textWrapping"/>
        <w:br w:type="textWrapping"/>
        <w:t xml:space="preserve">Discuss at least one Outcome where you have seen progress in implementation.</w:t>
      </w:r>
    </w:p>
    <w:p w:rsidR="00000000" w:rsidDel="00000000" w:rsidP="00000000" w:rsidRDefault="00000000" w:rsidRPr="00000000" w14:paraId="00000020">
      <w:pPr>
        <w:pStyle w:val="Heading3"/>
        <w:rPr/>
      </w:pPr>
      <w:r w:rsidDel="00000000" w:rsidR="00000000" w:rsidRPr="00000000">
        <w:rPr>
          <w:rtl w:val="0"/>
        </w:rPr>
        <w:t xml:space="preserve">2023–24 Annual Progress Reflection</w:t>
      </w:r>
    </w:p>
    <w:p w:rsidR="00000000" w:rsidDel="00000000" w:rsidP="00000000" w:rsidRDefault="00000000" w:rsidRPr="00000000" w14:paraId="00000021">
      <w:pPr>
        <w:rPr/>
      </w:pPr>
      <w:r w:rsidDel="00000000" w:rsidR="00000000" w:rsidRPr="00000000">
        <w:rPr>
          <w:rtl w:val="0"/>
        </w:rPr>
        <w:t xml:space="preserve">One specific area where progress is evident is in the professional development of teachers, which directly supports the outcome: "On-going engagement, training, and collaboration with stakeholders to communicate and evaluate student support data and services."  All teachers have engaged in training through EducationalExcellence.org, demonstrating ongoing professional development. They have learned to identify and deconstruct priority standards, mapped all standards, and established norms and roles for Professional Learning Communities (PLCs). This structured and collaborative approach is foundational to improving student support services, as it ensures that teachers are consistently aligning their instructional practices to key standards. This is complemented by a district-wide system of MTSS that has been implemented to review student data in the areas of academics and behavior. Implementation of these new systems has come with some challenges, however, we are moving forward with a solid, district-wide plan for improvement.</w:t>
      </w:r>
    </w:p>
    <w:p w:rsidR="00000000" w:rsidDel="00000000" w:rsidP="00000000" w:rsidRDefault="00000000" w:rsidRPr="00000000" w14:paraId="00000022">
      <w:pPr>
        <w:pStyle w:val="Heading3"/>
        <w:rPr/>
      </w:pPr>
      <w:r w:rsidDel="00000000" w:rsidR="00000000" w:rsidRPr="00000000">
        <w:rPr>
          <w:rtl w:val="0"/>
        </w:rPr>
        <w:t xml:space="preserve">2024–25 Annual Progress Reflection</w:t>
      </w:r>
    </w:p>
    <w:p w:rsidR="00000000" w:rsidDel="00000000" w:rsidP="00000000" w:rsidRDefault="00000000" w:rsidRPr="00000000" w14:paraId="00000023">
      <w:pPr>
        <w:rPr/>
      </w:pPr>
      <w:r w:rsidDel="00000000" w:rsidR="00000000" w:rsidRPr="00000000">
        <w:rPr>
          <w:rtl w:val="0"/>
        </w:rPr>
        <w:t xml:space="preserve">We are seeing meaningful progress toward our Longitudinal Performance Growth Targets (LPGTs) and Local Optional Metrics (LOMs), particularly in the area of core academic achievement. Recent gap score data show that the average gap in both English Language Arts and Mathematics has narrowed from -62 to -56, reflecting a 6-point improvement in each subject. This measurable gain demonstrates that more students are moving closer to grade-level proficiency. This progress is directly connected to the outcomes and strategies in our plan. Our investments in high-quality curriculum, professional development (specifically Orton Gillingham and Ed Excellence), Multi-Tiered Systems of Support (MTSS), and targeted interventions are showing results. In particular, efforts to implement universal screeners, strengthen early intervention practices, expand summer learning opportunities, and increase professional development focused on evidence-based literacy and math instruction have helped accelerate learning and reduce the gap. By moving the needle on academic growth, we are building momentum toward the broader goals outlined in our LPGTs and LOMs: improving 3rd grade literacy, strengthening 9th grade on-track rates, and ultimately raising our 4- and 5-year graduation rates. The gains in ELA and Math gap scores serve as an early indicator that our strategies are making a difference, especially in the foundational skills that support long-term student success. While we acknowledge there is still significant work ahead, this improvement gives us confidence that our approach—grounded in data-driven instruction, equitable access to supports, and continuous improvement—is contributing meaningfully to the outcomes we have committed to for our students, families, and community.</w:t>
      </w:r>
    </w:p>
    <w:p w:rsidR="00000000" w:rsidDel="00000000" w:rsidP="00000000" w:rsidRDefault="00000000" w:rsidRPr="00000000" w14:paraId="00000024">
      <w:pPr>
        <w:pStyle w:val="Heading2"/>
        <w:rPr/>
      </w:pPr>
      <w:r w:rsidDel="00000000" w:rsidR="00000000" w:rsidRPr="00000000">
        <w:rPr>
          <w:rtl w:val="0"/>
        </w:rPr>
        <w:t xml:space="preserve">AR2: Where have you experienced barriers, challenges, or impediments to progress toward your Outcomes and Strategies in your plan that you could use support with?</w:t>
        <w:br w:type="textWrapping"/>
        <w:br w:type="textWrapping"/>
        <w:t xml:space="preserve">Discuss at least one Outcome where you have seen challenges or barriers to implementation.</w:t>
      </w:r>
    </w:p>
    <w:p w:rsidR="00000000" w:rsidDel="00000000" w:rsidP="00000000" w:rsidRDefault="00000000" w:rsidRPr="00000000" w14:paraId="00000025">
      <w:pPr>
        <w:pStyle w:val="Heading3"/>
        <w:rPr/>
      </w:pPr>
      <w:r w:rsidDel="00000000" w:rsidR="00000000" w:rsidRPr="00000000">
        <w:rPr>
          <w:rtl w:val="0"/>
        </w:rPr>
        <w:t xml:space="preserve">2023–24 Annual Progress Reflection</w:t>
      </w:r>
    </w:p>
    <w:p w:rsidR="00000000" w:rsidDel="00000000" w:rsidP="00000000" w:rsidRDefault="00000000" w:rsidRPr="00000000" w14:paraId="00000026">
      <w:pPr>
        <w:rPr/>
      </w:pPr>
      <w:r w:rsidDel="00000000" w:rsidR="00000000" w:rsidRPr="00000000">
        <w:rPr>
          <w:rtl w:val="0"/>
        </w:rPr>
        <w:t xml:space="preserve">One outcome where challenges have arisen in implementation is related to "On-going engagement, training, and collaboration with stakeholders to communicate and evaluate student support data and services." Specifically, the challenge with issues around PLCs (Professional Learning Communities) highlight a significant barrier. While there is shared recognition of the importance of collaboration across K-12 content areas, the issue of balancing contractual obligations with the need for consistent PLC engagement has made implementation difficult. Teachers and administrators acknowledge the merit and benefits of working together in PLCs, yet finding mutually acceptable expectations has been a sticking point. The tension lies between protecting teachers’ autonomy and time while still fostering collaboration focused on common processes that work toward the shared goal of improving student achievement. This challenge limits the effectiveness of ongoing training and collaboration because PLCs are central to evaluating student support data and sharing instructional strategies. Without common expectations and processes, the ability to coordinate strategies for student support may be compromised, delaying progress in this area. Navigating these issues and finding a sustainable balance will be essential to overcoming this barrier and advancing toward the outcome of improved collaboration and strong, effective PLCs.</w:t>
      </w:r>
    </w:p>
    <w:p w:rsidR="00000000" w:rsidDel="00000000" w:rsidP="00000000" w:rsidRDefault="00000000" w:rsidRPr="00000000" w14:paraId="00000027">
      <w:pPr>
        <w:pStyle w:val="Heading3"/>
        <w:rPr/>
      </w:pPr>
      <w:r w:rsidDel="00000000" w:rsidR="00000000" w:rsidRPr="00000000">
        <w:rPr>
          <w:rtl w:val="0"/>
        </w:rPr>
        <w:t xml:space="preserve">2024–25 Annual Progress Reflection</w:t>
      </w:r>
    </w:p>
    <w:p w:rsidR="00000000" w:rsidDel="00000000" w:rsidP="00000000" w:rsidRDefault="00000000" w:rsidRPr="00000000" w14:paraId="00000028">
      <w:pPr>
        <w:rPr/>
      </w:pPr>
      <w:r w:rsidDel="00000000" w:rsidR="00000000" w:rsidRPr="00000000">
        <w:rPr>
          <w:rtl w:val="0"/>
        </w:rPr>
        <w:t xml:space="preserve">Special Education Staffing and Training (Outcome B – Strategies B3, B4; Outcome C – Strategy C4):   Staffing shortages, turnover, and the need for ongoing professional development have created inconsistencies in service delivery. Additionally, the student identification process has been a barrier to timely supports. </w:t>
      </w:r>
    </w:p>
    <w:p w:rsidR="00000000" w:rsidDel="00000000" w:rsidP="00000000" w:rsidRDefault="00000000" w:rsidRPr="00000000" w14:paraId="00000029">
      <w:pPr>
        <w:rPr/>
      </w:pPr>
      <w:r w:rsidDel="00000000" w:rsidR="00000000" w:rsidRPr="00000000">
        <w:rPr>
          <w:rtl w:val="0"/>
        </w:rPr>
        <w:t xml:space="preserve">English Learners (Outcome E – Strategies E1, E2): Achievement gaps remain between English Learners and their native English-speaking peers. Despite targeted instruction and technology supports, progress has not yet reached desired levels. </w:t>
      </w:r>
    </w:p>
    <w:p w:rsidR="00000000" w:rsidDel="00000000" w:rsidP="00000000" w:rsidRDefault="00000000" w:rsidRPr="00000000" w14:paraId="0000002A">
      <w:pPr>
        <w:rPr/>
      </w:pPr>
      <w:r w:rsidDel="00000000" w:rsidR="00000000" w:rsidRPr="00000000">
        <w:rPr>
          <w:rtl w:val="0"/>
        </w:rPr>
        <w:t xml:space="preserve">Chronic Absenteeism (Outcome C – Strategies C1, C4): Consistent attendance remains a challenge across all grade levels, limiting student access to academic and enrichment opportunities. This barrier continues to affect student achievement, engagement, and wellness.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pPr>
      <w:r w:rsidDel="00000000" w:rsidR="00000000" w:rsidRPr="00000000">
        <w:rPr>
          <w:rtl w:val="0"/>
        </w:rPr>
        <w:t xml:space="preserve">Graduation Rates (Outcome E – Strategies E3, E4): While restructuring to one comprehensive high school has improved access to pathways and supports, graduation outcomes still need focused attention, particularly for underserved groups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pPr>
      <w:sdt>
        <w:sdtPr>
          <w:id w:val="841270239"/>
          <w:tag w:val="goog_rdk_0"/>
        </w:sdtPr>
        <w:sdtContent>
          <w:commentRangeStart w:id="0"/>
        </w:sdtContent>
      </w:sdt>
      <w:sdt>
        <w:sdtPr>
          <w:id w:val="-2029148870"/>
          <w:tag w:val="goog_rdk_1"/>
        </w:sdtPr>
        <w:sdtContent>
          <w:commentRangeStart w:id="1"/>
        </w:sdtContent>
      </w:sdt>
      <w:r w:rsidDel="00000000" w:rsidR="00000000" w:rsidRPr="00000000">
        <w:rPr>
          <w:rtl w:val="0"/>
        </w:rPr>
        <w:t xml:space="preserve">Outcome C:</w:t>
      </w:r>
      <w:commentRangeEnd w:id="0"/>
      <w:r w:rsidDel="00000000" w:rsidR="00000000" w:rsidRPr="00000000">
        <w:commentReference w:id="0"/>
      </w:r>
      <w:commentRangeEnd w:id="1"/>
      <w:r w:rsidDel="00000000" w:rsidR="00000000" w:rsidRPr="00000000">
        <w:commentReference w:id="1"/>
      </w:r>
      <w:r w:rsidDel="00000000" w:rsidR="00000000" w:rsidRPr="00000000">
        <w:rPr>
          <w:rtl w:val="0"/>
        </w:rPr>
        <w:t xml:space="preserve"> Identify barriers and provide direct student support interventions by trained staff to improve student achievement, engagement, and wellness.  This outcome has been particularly challenging due to chronic absenteeism and staffing shortages. Even though 2024–25 brought considerable improvements in student proficiency rates in math, English language arts, and science (as measured by Oregon State Assessments), those gains are not equally accessible to students who are frequently absent. Interventions and data-driven supports (Strategies C1, C2) are less effective when students are not consistently present. Additionally, ensuring equitable access to counseling and engagement interventions (Strategy C3) has been hampered by staffing limitations, particularly in Special Education and student services. These challenges underscore the need for stronger systems to both reduce chronic absenteeism and expand the pool of trained staff who can deliver targeted supports. At the secondary level, the consolidation into a comprehensive high school has aligned with Outcome E strategies by improving access to pathways and student supports. However, as reflected in Outcome C, ensuring that all students feel connected and supported within a larger environment remains a challenge directly tied to engagement and wellness.</w:t>
      </w:r>
    </w:p>
    <w:p w:rsidR="00000000" w:rsidDel="00000000" w:rsidP="00000000" w:rsidRDefault="00000000" w:rsidRPr="00000000" w14:paraId="0000002D">
      <w:pPr>
        <w:pStyle w:val="Heading2"/>
        <w:rPr/>
      </w:pPr>
      <w:r w:rsidDel="00000000" w:rsidR="00000000" w:rsidRPr="00000000">
        <w:rPr>
          <w:rtl w:val="0"/>
        </w:rPr>
        <w:t xml:space="preserve">AR3: 2024-25 Only: Review actual metric rates compared to previously created LPGT and LOM and share reflection on progress. Describe how activities are supporting progress towards targets and if any shifts in strategy implementation are planned for the future based upon that current progress. Include specific metrics and target types in your reflection.</w:t>
      </w:r>
    </w:p>
    <w:p w:rsidR="00000000" w:rsidDel="00000000" w:rsidP="00000000" w:rsidRDefault="00000000" w:rsidRPr="00000000" w14:paraId="0000002E">
      <w:pPr>
        <w:pStyle w:val="Heading3"/>
        <w:rPr/>
      </w:pPr>
      <w:r w:rsidDel="00000000" w:rsidR="00000000" w:rsidRPr="00000000">
        <w:rPr>
          <w:rtl w:val="0"/>
        </w:rPr>
        <w:t xml:space="preserve">2023–24 Annual Progress Reflection</w:t>
      </w:r>
    </w:p>
    <w:p w:rsidR="00000000" w:rsidDel="00000000" w:rsidP="00000000" w:rsidRDefault="00000000" w:rsidRPr="00000000" w14:paraId="0000002F">
      <w:pPr>
        <w:rPr/>
      </w:pPr>
      <w:r w:rsidDel="00000000" w:rsidR="00000000" w:rsidRPr="00000000">
        <w:rPr>
          <w:rtl w:val="0"/>
        </w:rPr>
        <w:t xml:space="preserve">By engaging in these collaborative PLCs and focusing on professional development, teachers are working together to improve instruction, which directly impacts student support. The next steps in developing unit maps and classroom instruction will further contribute to this outcome by enhancing how well teachers implement support strategies based on student data. This alignment of teacher development and collaboration with student needs shows meaningful progress toward the ongoing engagement, training, and evaluation of support services.</w:t>
      </w:r>
    </w:p>
    <w:p w:rsidR="00000000" w:rsidDel="00000000" w:rsidP="00000000" w:rsidRDefault="00000000" w:rsidRPr="00000000" w14:paraId="00000030">
      <w:pPr>
        <w:pStyle w:val="Heading3"/>
        <w:rPr/>
      </w:pPr>
      <w:r w:rsidDel="00000000" w:rsidR="00000000" w:rsidRPr="00000000">
        <w:rPr>
          <w:rtl w:val="0"/>
        </w:rPr>
        <w:t xml:space="preserve">2024–25 Annual Progress Reflection</w:t>
      </w:r>
    </w:p>
    <w:p w:rsidR="00000000" w:rsidDel="00000000" w:rsidP="00000000" w:rsidRDefault="00000000" w:rsidRPr="00000000" w14:paraId="00000031">
      <w:pPr>
        <w:rPr/>
      </w:pPr>
      <w:sdt>
        <w:sdtPr>
          <w:id w:val="719687559"/>
          <w:tag w:val="goog_rdk_2"/>
        </w:sdtPr>
        <w:sdtContent>
          <w:commentRangeStart w:id="2"/>
        </w:sdtContent>
      </w:sdt>
      <w:r w:rsidDel="00000000" w:rsidR="00000000" w:rsidRPr="00000000">
        <w:rPr>
          <w:rtl w:val="0"/>
        </w:rPr>
        <w:t xml:space="preserve">We are seeing meaningful progress toward our Longitudinal Performance Growth Targets (LPGTs) and Local Optional Metrics (LOMs), particularly in the area of core academic achievement. Recent gap score data show that the average gap in both English Language Arts and Mathematics has narrowed from -62 to -56, reflecting a 6-point improvement in each subject. This measurable gain demonstrates that more students are moving closer to grade-level proficiency. This progress is directly connected to the outcomes and strategies in our plan. Our investments in high-quality curriculum, professional development, Multi-Tiered Systems of Support (MTSS), and targeted interventions are showing results. In particular, efforts to implement universal screeners, strengthen early intervention practices, expand summer learning opportunities, and increase professional development focused on evidence-based literacy and math instruction have helped accelerate learning and reduce the gap. By moving the needle on academic growth, we are building momentum toward the broader goals outlined in our LPGTs and LOMs: improving 3rd grade literacy, strengthening 9th grade on-track rates, and ultimately raising our 4- and 5-year graduation rates. The gains in ELA and Math gap scores serve as an early indicator that our strategies are making a difference, especially in the foundational skills that support long-term student success. While we acknowledge there is still significant work ahead, this improvement gives us confidence that our approach—grounded in data-driven instruction, equitable access to supports, and continuous improvement—is contributing meaningfully to the outcomes we have committed to for our students, families, and community.</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32">
      <w:pPr>
        <w:pStyle w:val="Heading2"/>
        <w:rPr/>
      </w:pPr>
      <w:r w:rsidDel="00000000" w:rsidR="00000000" w:rsidRPr="00000000">
        <w:rPr>
          <w:rtl w:val="0"/>
        </w:rPr>
        <w:t xml:space="preserve">CTE 1: 2024-25 Only: Oregon approaches equity through targeted universalism and identifies focal student groups as part of the IG. These include more populations than the federally identified “special populations”. The federal definition includes the following: individuals with disabilities, individuals from economically disadvantaged families, individuals preparing for non-traditional fields, single parents (students), out-of-workforce individuals, English language learners, homeless individuals, youth in, or having aged out of, the foster care system, youth with a parent who is a member of the armed forces or on active duty.</w:t>
        <w:br w:type="textWrapping"/>
        <w:br w:type="textWrapping"/>
        <w:t xml:space="preserve">Describe your process and priorities in making funds available for the recruitment of special populations to enroll in career and technical education programs. Indicate the major accomplishments as a result of using Perkins funds. (Section 112(a)(2)(A) of Perkins V)</w:t>
        <w:br w:type="textWrapping"/>
        <w:br w:type="textWrapping"/>
        <w:t xml:space="preserve">You are also welcome to discuss any work that impacts other focal student groups, such as students of color and LGBTQ2SIA+ students.</w:t>
      </w:r>
    </w:p>
    <w:p w:rsidR="00000000" w:rsidDel="00000000" w:rsidP="00000000" w:rsidRDefault="00000000" w:rsidRPr="00000000" w14:paraId="00000033">
      <w:pPr>
        <w:pStyle w:val="Heading3"/>
        <w:rPr/>
      </w:pPr>
      <w:r w:rsidDel="00000000" w:rsidR="00000000" w:rsidRPr="00000000">
        <w:rPr>
          <w:rtl w:val="0"/>
        </w:rPr>
        <w:t xml:space="preserve">2024–25 Annual Progress Reflection</w:t>
      </w:r>
    </w:p>
    <w:p w:rsidR="00000000" w:rsidDel="00000000" w:rsidP="00000000" w:rsidRDefault="00000000" w:rsidRPr="00000000" w14:paraId="00000034">
      <w:pPr>
        <w:rPr/>
      </w:pPr>
      <w:r w:rsidDel="00000000" w:rsidR="00000000" w:rsidRPr="00000000">
        <w:rPr>
          <w:rtl w:val="0"/>
        </w:rPr>
        <w:t xml:space="preserve">We prioritize recruiting students from special populations by working with counselors, ELD staff, and SPED case managers to ensure equitable access. Perkins funds support this work by covering supplies, reducing financial barriers, and providing adaptive tools for students with disabilities. Funds are allocated yearly for professional development and equipment to meet the needs of special populations. CTE teachers are allocated PLC and PD funds to develop their skills to serve our special population. As a result, we have increased enrollment of nontraditional students (especially female students), maintained strong participation from low-income families, and improved retention for students receiving additional support.</w:t>
      </w:r>
    </w:p>
    <w:p w:rsidR="00000000" w:rsidDel="00000000" w:rsidP="00000000" w:rsidRDefault="00000000" w:rsidRPr="00000000" w14:paraId="00000035">
      <w:pPr>
        <w:pStyle w:val="Heading2"/>
        <w:rPr/>
      </w:pPr>
      <w:r w:rsidDel="00000000" w:rsidR="00000000" w:rsidRPr="00000000">
        <w:rPr>
          <w:rtl w:val="0"/>
        </w:rPr>
        <w:t xml:space="preserve">CTE 2: 2024-25 Only: The 2024-2028 CTE State Plan has three (3) outcome areas:</w:t>
        <w:br w:type="textWrapping"/>
        <w:br w:type="textWrapping"/>
        <w:t xml:space="preserve">Outcome 1: Career connected learning that is systemically integrated with education and workforce development.</w:t>
        <w:br w:type="textWrapping"/>
        <w:br w:type="textWrapping"/>
        <w:t xml:space="preserve">Outcome 2: Increased equitable participation in high-quality CTE and career connected learning</w:t>
        <w:br w:type="textWrapping"/>
        <w:br w:type="textWrapping"/>
        <w:t xml:space="preserve">Outcome 3: Expanded communication, transparency, and diversity of voices and contributors connected to education and workforce development partnerships</w:t>
        <w:br w:type="textWrapping"/>
        <w:br w:type="textWrapping"/>
        <w:t xml:space="preserve">Please choose at least one (1) of the outcomes and let us know what you did in that area to help move the dial and make an impact for students/teachers. We'd love to be able to share your local information along with our statewide updates.</w:t>
      </w:r>
    </w:p>
    <w:p w:rsidR="00000000" w:rsidDel="00000000" w:rsidP="00000000" w:rsidRDefault="00000000" w:rsidRPr="00000000" w14:paraId="00000036">
      <w:pPr>
        <w:pStyle w:val="Heading3"/>
        <w:rPr/>
      </w:pPr>
      <w:r w:rsidDel="00000000" w:rsidR="00000000" w:rsidRPr="00000000">
        <w:rPr>
          <w:rtl w:val="0"/>
        </w:rPr>
        <w:t xml:space="preserve">2024–25 Annual Progress Reflection</w:t>
      </w:r>
    </w:p>
    <w:p w:rsidR="00000000" w:rsidDel="00000000" w:rsidP="00000000" w:rsidRDefault="00000000" w:rsidRPr="00000000" w14:paraId="00000037">
      <w:pPr>
        <w:rPr/>
      </w:pPr>
      <w:r w:rsidDel="00000000" w:rsidR="00000000" w:rsidRPr="00000000">
        <w:rPr>
          <w:rtl w:val="0"/>
        </w:rPr>
        <w:t xml:space="preserve">Outcome 1: Career-Connected Learning Integrated with Education &amp; Workforce Development Industry Partnerships &amp; Competitions — We partnered with Anthology Woods, a reclaimed wood company, which donates materials to our program and hosts a student design competition that provides professional feedback, prizes, and authentic industry engagement. We also collaborated with Rogue Salad Co., a local restaurant, on a design challenge that connected student projects with real community needs. Our advisory boards meet a minimum of two times a year to provide updates and guidance on workforce needs, and we have received direct input from industry leaders such as the BioSkin Manager and the CEO of Anthology Woods to ensure curriculum alignment. Advisory board members are invited to CTE events throughout the year, and we continue to seek additional members to expand perspectives and strengthen alignment. To expand credentials and career pathways, we are researching the implementation of Autodesk Certification in CAD and Engineering, added an Advanced Wildland Firefighting class that enables students to earn their Wildland Firefighting red cards, and introduced Wildlife Conservation, Forestry, and Construction Skills courses that prepare students for industry-recognized credential exams. Students also engage in career-connected learning through simulated business experiences such as planning a franchise, developing a new business, or building an online presence. With Perkins funds, we purchased equipment including a WoodMizer sawmill to support a new woodshop and the ability to mill our own lumber, while welding and State Degree IRCs continue to be offered annually.</w:t>
      </w:r>
    </w:p>
    <w:sectPr>
      <w:headerReference r:id="rId10" w:type="default"/>
      <w:pgSz w:h="15840" w:w="12240" w:orient="portrait"/>
      <w:pgMar w:bottom="1440" w:top="1440" w:left="1800" w:right="180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Carolyn Hill" w:id="2" w:date="2025-09-23T22:39:55Z">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is nearly identical to the earlier paragraph under "discuss at least one outcome..."</w:t>
      </w:r>
    </w:p>
  </w:comment>
  <w:comment w:author="Carolyn Hill" w:id="0" w:date="2025-09-23T22:35:03Z">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Does this one have a parenthetical citation, format like the others?</w:t>
      </w:r>
    </w:p>
  </w:comment>
  <w:comment w:author="Lynn Rupp" w:id="1" w:date="2025-09-23T22:44:33Z">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It’s the main topic of that outcome- not a specific strategy. I think. I don’t have my laptop here in Vegas. I will go over it all Thursday when I get home.</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39" w15:done="0"/>
  <w15:commentEx w15:paraId="0000003A" w15:done="0"/>
  <w15:commentEx w15:paraId="0000003B" w15:paraIdParent="0000003A"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header" Target="header1.xml"/><Relationship Id="rId9" Type="http://schemas.openxmlformats.org/officeDocument/2006/relationships/image" Target="media/image1.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O3zVjt0xJ8zZ80FUrFYxBpOiYg==">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