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19CD3" w14:textId="77777777" w:rsidR="00384250" w:rsidRDefault="000472EE">
      <w:pPr>
        <w:spacing w:after="131" w:line="259" w:lineRule="auto"/>
        <w:ind w:left="-107" w:right="-124" w:firstLine="0"/>
        <w:jc w:val="left"/>
      </w:pPr>
      <w:r>
        <w:rPr>
          <w:rFonts w:ascii="Calibri" w:eastAsia="Calibri" w:hAnsi="Calibri" w:cs="Calibri"/>
          <w:noProof/>
          <w:sz w:val="22"/>
        </w:rPr>
        <mc:AlternateContent>
          <mc:Choice Requires="wpg">
            <w:drawing>
              <wp:inline distT="0" distB="0" distL="0" distR="0" wp14:anchorId="64E8A99F" wp14:editId="4CC015E6">
                <wp:extent cx="5943600" cy="1097280"/>
                <wp:effectExtent l="0" t="0" r="0" b="0"/>
                <wp:docPr id="4166" name="Group 4166"/>
                <wp:cNvGraphicFramePr/>
                <a:graphic xmlns:a="http://schemas.openxmlformats.org/drawingml/2006/main">
                  <a:graphicData uri="http://schemas.microsoft.com/office/word/2010/wordprocessingGroup">
                    <wpg:wgp>
                      <wpg:cNvGrpSpPr/>
                      <wpg:grpSpPr>
                        <a:xfrm>
                          <a:off x="0" y="0"/>
                          <a:ext cx="5943600" cy="1097280"/>
                          <a:chOff x="0" y="0"/>
                          <a:chExt cx="5943600" cy="1097280"/>
                        </a:xfrm>
                      </wpg:grpSpPr>
                      <pic:pic xmlns:pic="http://schemas.openxmlformats.org/drawingml/2006/picture">
                        <pic:nvPicPr>
                          <pic:cNvPr id="152" name="Picture 152"/>
                          <pic:cNvPicPr/>
                        </pic:nvPicPr>
                        <pic:blipFill>
                          <a:blip r:embed="rId5"/>
                          <a:stretch>
                            <a:fillRect/>
                          </a:stretch>
                        </pic:blipFill>
                        <pic:spPr>
                          <a:xfrm>
                            <a:off x="5057775" y="31750"/>
                            <a:ext cx="885825" cy="885825"/>
                          </a:xfrm>
                          <a:prstGeom prst="rect">
                            <a:avLst/>
                          </a:prstGeom>
                        </pic:spPr>
                      </pic:pic>
                      <pic:pic xmlns:pic="http://schemas.openxmlformats.org/drawingml/2006/picture">
                        <pic:nvPicPr>
                          <pic:cNvPr id="154" name="Picture 154"/>
                          <pic:cNvPicPr/>
                        </pic:nvPicPr>
                        <pic:blipFill>
                          <a:blip r:embed="rId6"/>
                          <a:stretch>
                            <a:fillRect/>
                          </a:stretch>
                        </pic:blipFill>
                        <pic:spPr>
                          <a:xfrm>
                            <a:off x="2421890" y="0"/>
                            <a:ext cx="1097280" cy="1097280"/>
                          </a:xfrm>
                          <a:prstGeom prst="rect">
                            <a:avLst/>
                          </a:prstGeom>
                        </pic:spPr>
                      </pic:pic>
                      <pic:pic xmlns:pic="http://schemas.openxmlformats.org/drawingml/2006/picture">
                        <pic:nvPicPr>
                          <pic:cNvPr id="156" name="Picture 156"/>
                          <pic:cNvPicPr/>
                        </pic:nvPicPr>
                        <pic:blipFill>
                          <a:blip r:embed="rId7"/>
                          <a:stretch>
                            <a:fillRect/>
                          </a:stretch>
                        </pic:blipFill>
                        <pic:spPr>
                          <a:xfrm>
                            <a:off x="0" y="307975"/>
                            <a:ext cx="1461770" cy="586105"/>
                          </a:xfrm>
                          <a:prstGeom prst="rect">
                            <a:avLst/>
                          </a:prstGeom>
                        </pic:spPr>
                      </pic:pic>
                    </wpg:wgp>
                  </a:graphicData>
                </a:graphic>
              </wp:inline>
            </w:drawing>
          </mc:Choice>
          <mc:Fallback xmlns:a="http://schemas.openxmlformats.org/drawingml/2006/main">
            <w:pict>
              <v:group id="Group 4166" style="width:468pt;height:86.4pt;mso-position-horizontal-relative:char;mso-position-vertical-relative:line" coordsize="59436,10972">
                <v:shape id="Picture 152" style="position:absolute;width:8858;height:8858;left:50577;top:317;" filled="f">
                  <v:imagedata r:id="rId8"/>
                </v:shape>
                <v:shape id="Picture 154" style="position:absolute;width:10972;height:10972;left:24218;top:0;" filled="f">
                  <v:imagedata r:id="rId9"/>
                </v:shape>
                <v:shape id="Picture 156" style="position:absolute;width:14617;height:5861;left:0;top:3079;" filled="f">
                  <v:imagedata r:id="rId10"/>
                </v:shape>
              </v:group>
            </w:pict>
          </mc:Fallback>
        </mc:AlternateContent>
      </w:r>
    </w:p>
    <w:p w14:paraId="52FA089E" w14:textId="710F0F5F" w:rsidR="00384250" w:rsidRDefault="000472EE">
      <w:pPr>
        <w:spacing w:after="0" w:line="259" w:lineRule="auto"/>
        <w:ind w:left="0" w:right="48" w:firstLine="0"/>
        <w:jc w:val="center"/>
      </w:pPr>
      <w:r>
        <w:rPr>
          <w:b/>
          <w:color w:val="0035C9"/>
          <w:sz w:val="32"/>
        </w:rPr>
        <w:t>HOUSTON PREMEDICAL ACADEMY</w:t>
      </w:r>
    </w:p>
    <w:p w14:paraId="5D29778E" w14:textId="77777777" w:rsidR="00384250" w:rsidRDefault="000472EE">
      <w:pPr>
        <w:spacing w:after="259" w:line="259" w:lineRule="auto"/>
        <w:ind w:left="-136" w:right="-167" w:firstLine="0"/>
        <w:jc w:val="left"/>
      </w:pPr>
      <w:r>
        <w:rPr>
          <w:rFonts w:ascii="Calibri" w:eastAsia="Calibri" w:hAnsi="Calibri" w:cs="Calibri"/>
          <w:noProof/>
          <w:sz w:val="22"/>
        </w:rPr>
        <mc:AlternateContent>
          <mc:Choice Requires="wpg">
            <w:drawing>
              <wp:inline distT="0" distB="0" distL="0" distR="0" wp14:anchorId="0014E9EE" wp14:editId="3D5F0CFA">
                <wp:extent cx="5989066" cy="19050"/>
                <wp:effectExtent l="0" t="0" r="0" b="0"/>
                <wp:docPr id="3371" name="Group 3371"/>
                <wp:cNvGraphicFramePr/>
                <a:graphic xmlns:a="http://schemas.openxmlformats.org/drawingml/2006/main">
                  <a:graphicData uri="http://schemas.microsoft.com/office/word/2010/wordprocessingGroup">
                    <wpg:wgp>
                      <wpg:cNvGrpSpPr/>
                      <wpg:grpSpPr>
                        <a:xfrm>
                          <a:off x="0" y="0"/>
                          <a:ext cx="5989066" cy="19050"/>
                          <a:chOff x="0" y="0"/>
                          <a:chExt cx="5989066" cy="19050"/>
                        </a:xfrm>
                      </wpg:grpSpPr>
                      <wps:wsp>
                        <wps:cNvPr id="4250" name="Shape 4250"/>
                        <wps:cNvSpPr/>
                        <wps:spPr>
                          <a:xfrm>
                            <a:off x="0" y="0"/>
                            <a:ext cx="5989066" cy="19050"/>
                          </a:xfrm>
                          <a:custGeom>
                            <a:avLst/>
                            <a:gdLst/>
                            <a:ahLst/>
                            <a:cxnLst/>
                            <a:rect l="0" t="0" r="0" b="0"/>
                            <a:pathLst>
                              <a:path w="5989066" h="19050">
                                <a:moveTo>
                                  <a:pt x="0" y="0"/>
                                </a:moveTo>
                                <a:lnTo>
                                  <a:pt x="5989066" y="0"/>
                                </a:lnTo>
                                <a:lnTo>
                                  <a:pt x="5989066" y="19050"/>
                                </a:lnTo>
                                <a:lnTo>
                                  <a:pt x="0" y="19050"/>
                                </a:lnTo>
                                <a:lnTo>
                                  <a:pt x="0" y="0"/>
                                </a:lnTo>
                              </a:path>
                            </a:pathLst>
                          </a:custGeom>
                          <a:ln w="0" cap="flat">
                            <a:miter lim="127000"/>
                          </a:ln>
                        </wps:spPr>
                        <wps:style>
                          <a:lnRef idx="0">
                            <a:srgbClr val="000000">
                              <a:alpha val="0"/>
                            </a:srgbClr>
                          </a:lnRef>
                          <a:fillRef idx="1">
                            <a:srgbClr val="0035C9"/>
                          </a:fillRef>
                          <a:effectRef idx="0">
                            <a:scrgbClr r="0" g="0" b="0"/>
                          </a:effectRef>
                          <a:fontRef idx="none"/>
                        </wps:style>
                        <wps:bodyPr/>
                      </wps:wsp>
                    </wpg:wgp>
                  </a:graphicData>
                </a:graphic>
              </wp:inline>
            </w:drawing>
          </mc:Choice>
          <mc:Fallback xmlns:a="http://schemas.openxmlformats.org/drawingml/2006/main">
            <w:pict>
              <v:group id="Group 3371" style="width:471.58pt;height:1.5pt;mso-position-horizontal-relative:char;mso-position-vertical-relative:line" coordsize="59890,190">
                <v:shape id="Shape 4251" style="position:absolute;width:59890;height:190;left:0;top:0;" coordsize="5989066,19050" path="m0,0l5989066,0l5989066,19050l0,19050l0,0">
                  <v:stroke weight="0pt" endcap="flat" joinstyle="miter" miterlimit="10" on="false" color="#000000" opacity="0"/>
                  <v:fill on="true" color="#0035c9"/>
                </v:shape>
              </v:group>
            </w:pict>
          </mc:Fallback>
        </mc:AlternateContent>
      </w:r>
    </w:p>
    <w:p w14:paraId="1ADC5A7B" w14:textId="77777777" w:rsidR="00384250" w:rsidRDefault="000472EE">
      <w:pPr>
        <w:spacing w:after="0" w:line="259" w:lineRule="auto"/>
        <w:ind w:left="0" w:firstLine="0"/>
        <w:jc w:val="left"/>
      </w:pPr>
      <w:r>
        <w:rPr>
          <w:sz w:val="20"/>
        </w:rPr>
        <w:t xml:space="preserve">Michael E. DeBakey High School for Health Professions | University of Houston | Baylor College of Medicine </w:t>
      </w:r>
    </w:p>
    <w:p w14:paraId="5495B697" w14:textId="77777777" w:rsidR="00384250" w:rsidRDefault="00384250"/>
    <w:p w14:paraId="1287D6A3" w14:textId="0EEA7BA2" w:rsidR="00A65305" w:rsidRDefault="00A65305">
      <w:pPr>
        <w:sectPr w:rsidR="00A65305" w:rsidSect="00A65305">
          <w:pgSz w:w="12240" w:h="15840"/>
          <w:pgMar w:top="274" w:right="1296" w:bottom="979" w:left="1296" w:header="720" w:footer="720" w:gutter="0"/>
          <w:cols w:space="720"/>
        </w:sectPr>
      </w:pPr>
    </w:p>
    <w:p w14:paraId="0041D64E" w14:textId="77777777" w:rsidR="00384250" w:rsidRDefault="000472EE">
      <w:pPr>
        <w:pStyle w:val="Heading1"/>
      </w:pPr>
      <w:r>
        <w:t>PHILOSOPHY</w:t>
      </w:r>
      <w:r>
        <w:rPr>
          <w:u w:val="none" w:color="000000"/>
        </w:rPr>
        <w:t xml:space="preserve"> </w:t>
      </w:r>
    </w:p>
    <w:p w14:paraId="78C70C74" w14:textId="77777777" w:rsidR="00384250" w:rsidRDefault="000472EE">
      <w:pPr>
        <w:spacing w:after="0" w:line="250" w:lineRule="auto"/>
        <w:ind w:left="139" w:right="126"/>
        <w:jc w:val="left"/>
      </w:pPr>
      <w:r>
        <w:t xml:space="preserve">The Houston Premedical Academy (HPA) is a partnership between the Michael E. DeBakey High School for Health Professions (DHSHP), the Honors </w:t>
      </w:r>
    </w:p>
    <w:p w14:paraId="0735BF19" w14:textId="005F1A96" w:rsidR="00384250" w:rsidRDefault="000472EE">
      <w:pPr>
        <w:spacing w:after="258"/>
        <w:ind w:right="37"/>
      </w:pPr>
      <w:r>
        <w:t>College at the University of Houston (UH) and Baylor College of Medicine (BCM). It is a special undergraduate program at UH for DHSHP graduates interested in becoming physicians. Through an academically rich and supportive environment, the HPA program enables students to make their career choices and medical school selection at the same time. Since the HPA began in 1996, 2</w:t>
      </w:r>
      <w:r w:rsidR="00EC1653">
        <w:t>33</w:t>
      </w:r>
      <w:r>
        <w:t xml:space="preserve"> DHSHP students have entered the program and 1</w:t>
      </w:r>
      <w:r w:rsidR="00EC1653">
        <w:t>44</w:t>
      </w:r>
      <w:r w:rsidR="00A65305">
        <w:t xml:space="preserve"> </w:t>
      </w:r>
      <w:r>
        <w:t>UH program graduates have matriculated into medical school. To date, 1</w:t>
      </w:r>
      <w:r w:rsidR="009A41E0">
        <w:t>1</w:t>
      </w:r>
      <w:r w:rsidR="00456E0E">
        <w:t>8</w:t>
      </w:r>
      <w:r>
        <w:t xml:space="preserve"> HPA graduates have earned their MD degrees, 1</w:t>
      </w:r>
      <w:r w:rsidR="00456E0E">
        <w:t>10</w:t>
      </w:r>
      <w:r>
        <w:t xml:space="preserve"> at BCM. There are currently 2</w:t>
      </w:r>
      <w:r w:rsidR="00456E0E">
        <w:t>3</w:t>
      </w:r>
      <w:r>
        <w:t xml:space="preserve"> students enrolled at UH and 2</w:t>
      </w:r>
      <w:r w:rsidR="00456E0E">
        <w:t>2</w:t>
      </w:r>
      <w:r>
        <w:t xml:space="preserve"> at BCM.</w:t>
      </w:r>
    </w:p>
    <w:p w14:paraId="7FF66794" w14:textId="6562F63D" w:rsidR="00183243" w:rsidRPr="00183243" w:rsidRDefault="000472EE" w:rsidP="00183243">
      <w:pPr>
        <w:pStyle w:val="Heading2"/>
        <w:rPr>
          <w:u w:val="single"/>
        </w:rPr>
      </w:pPr>
      <w:r w:rsidRPr="00A65305">
        <w:rPr>
          <w:u w:val="single"/>
        </w:rPr>
        <w:t xml:space="preserve">DESCRIPTION </w:t>
      </w:r>
    </w:p>
    <w:p w14:paraId="3D87AA3F" w14:textId="32145EB3" w:rsidR="00384250" w:rsidRDefault="000472EE" w:rsidP="00183243">
      <w:pPr>
        <w:spacing w:after="206"/>
        <w:ind w:right="37"/>
      </w:pPr>
      <w:r>
        <w:t>Up to 6 graduating DHSHP students are selected to attend the HPA each year. These students receive provisional acceptance to BCM</w:t>
      </w:r>
      <w:r w:rsidR="00054944">
        <w:t xml:space="preserve"> </w:t>
      </w:r>
      <w:r>
        <w:t xml:space="preserve">and are required to complete all baccalaureate degree requirements of UH Honors College and meet other criteria (outlined below) before being accepted by BCM. The entire program lasts eight years, from entrance into the HPA at UH through graduation from BCM. </w:t>
      </w:r>
      <w:r>
        <w:rPr>
          <w:b/>
        </w:rPr>
        <w:t xml:space="preserve">Applicants to the HPA must complete </w:t>
      </w:r>
      <w:r w:rsidR="00054944">
        <w:rPr>
          <w:b/>
        </w:rPr>
        <w:t>four</w:t>
      </w:r>
      <w:r>
        <w:rPr>
          <w:b/>
        </w:rPr>
        <w:t xml:space="preserve"> applications</w:t>
      </w:r>
      <w:r>
        <w:t>: 1) the UH Admission Application, 2) the UH Honors College Application,</w:t>
      </w:r>
      <w:r w:rsidR="00054944">
        <w:t xml:space="preserve"> </w:t>
      </w:r>
      <w:r>
        <w:t>3) the HPA Application</w:t>
      </w:r>
      <w:r w:rsidR="00054944">
        <w:t xml:space="preserve"> and 4) the Free Application Federal Financial Aid (FAFSA</w:t>
      </w:r>
      <w:r w:rsidR="00A65305">
        <w:t xml:space="preserve">) </w:t>
      </w:r>
      <w:r w:rsidR="00054944">
        <w:t>–</w:t>
      </w:r>
      <w:r w:rsidR="00A65305">
        <w:t xml:space="preserve"> </w:t>
      </w:r>
      <w:r w:rsidR="00054944">
        <w:t>the University of Houston Federal School Code is 003652)</w:t>
      </w:r>
      <w:r>
        <w:t>. HPA applicants must be admitted to UH and</w:t>
      </w:r>
      <w:r w:rsidR="00054944">
        <w:t xml:space="preserve"> </w:t>
      </w:r>
      <w:r>
        <w:t>the UH Honors College, prior to review by BCM. Applicants selected for the HPA, through the BCM medical school admissions process are allowed to major in any of the undergraduate degree programs offered by UH.</w:t>
      </w:r>
      <w:r w:rsidR="00054944">
        <w:t xml:space="preserve"> </w:t>
      </w:r>
      <w:r>
        <w:t>However, they must complete the Honors College</w:t>
      </w:r>
      <w:r w:rsidR="005E16B8">
        <w:t xml:space="preserve"> University Honors</w:t>
      </w:r>
      <w:r>
        <w:t xml:space="preserve"> curriculum requirements a</w:t>
      </w:r>
      <w:r w:rsidR="005E16B8">
        <w:t>s well as</w:t>
      </w:r>
      <w:r>
        <w:t xml:space="preserve"> minor in the Medicine &amp; Society offered by the Honors College.</w:t>
      </w:r>
    </w:p>
    <w:p w14:paraId="46F3684B" w14:textId="2AF0A63B" w:rsidR="00D5778D" w:rsidRDefault="000472EE" w:rsidP="00D5778D">
      <w:pPr>
        <w:ind w:right="444"/>
      </w:pPr>
      <w:r>
        <w:t xml:space="preserve">Regardless of major, students must complete all BCM prerequisites at UH, </w:t>
      </w:r>
      <w:r w:rsidR="00F86B56">
        <w:t>prior to the fourth consecutive year of undergraduate study</w:t>
      </w:r>
      <w:r w:rsidR="00A65305">
        <w:t xml:space="preserve"> to include:</w:t>
      </w:r>
    </w:p>
    <w:p w14:paraId="6D25FCDF" w14:textId="77777777" w:rsidR="00183243" w:rsidRDefault="00183243" w:rsidP="00D5778D">
      <w:pPr>
        <w:ind w:right="444"/>
      </w:pPr>
    </w:p>
    <w:p w14:paraId="68D954D6" w14:textId="7BEA0701" w:rsidR="00D5778D" w:rsidRDefault="000472EE" w:rsidP="005E16B8">
      <w:pPr>
        <w:pStyle w:val="ListParagraph"/>
        <w:numPr>
          <w:ilvl w:val="0"/>
          <w:numId w:val="7"/>
        </w:numPr>
        <w:ind w:right="444"/>
      </w:pPr>
      <w:r>
        <w:t>10 semester hours of Human Situation (Honors</w:t>
      </w:r>
      <w:r w:rsidR="005E16B8">
        <w:t xml:space="preserve"> Freshman </w:t>
      </w:r>
      <w:r>
        <w:t xml:space="preserve">English sequence, HON 2301/2101, ENGL 1370/2361), </w:t>
      </w:r>
    </w:p>
    <w:p w14:paraId="1D041697" w14:textId="1DDB521B" w:rsidR="00F86B56" w:rsidRDefault="000472EE" w:rsidP="00755339">
      <w:pPr>
        <w:pStyle w:val="ListParagraph"/>
        <w:numPr>
          <w:ilvl w:val="0"/>
          <w:numId w:val="7"/>
        </w:numPr>
        <w:ind w:right="37"/>
      </w:pPr>
      <w:r>
        <w:t>6 semester hours of Honors Freshman Biology (BIOL 1306/1307),</w:t>
      </w:r>
    </w:p>
    <w:p w14:paraId="2144C534" w14:textId="4A174C4E" w:rsidR="00D5778D" w:rsidRDefault="00F86B56" w:rsidP="00F86B56">
      <w:pPr>
        <w:pStyle w:val="ListParagraph"/>
        <w:numPr>
          <w:ilvl w:val="0"/>
          <w:numId w:val="4"/>
        </w:numPr>
        <w:ind w:right="37"/>
      </w:pPr>
      <w:r>
        <w:t xml:space="preserve">6 semester hours of Freshman Chemistry (Honors section preferred, CHEM 1311/1312), </w:t>
      </w:r>
    </w:p>
    <w:p w14:paraId="00ECE71A" w14:textId="680A0738" w:rsidR="00D5778D" w:rsidRDefault="00F86B56" w:rsidP="00F86B56">
      <w:pPr>
        <w:pStyle w:val="ListParagraph"/>
        <w:numPr>
          <w:ilvl w:val="0"/>
          <w:numId w:val="4"/>
        </w:numPr>
        <w:ind w:right="37"/>
      </w:pPr>
      <w:r>
        <w:t>6 semester hours of Organic Chemistry (CHEM 2323/2325)</w:t>
      </w:r>
    </w:p>
    <w:p w14:paraId="54D7A1ED" w14:textId="0B12D474" w:rsidR="00D5778D" w:rsidRDefault="000472EE" w:rsidP="00F86B56">
      <w:pPr>
        <w:pStyle w:val="ListParagraph"/>
        <w:numPr>
          <w:ilvl w:val="0"/>
          <w:numId w:val="4"/>
        </w:numPr>
        <w:spacing w:after="0" w:line="250" w:lineRule="auto"/>
        <w:ind w:right="126"/>
        <w:jc w:val="left"/>
      </w:pPr>
      <w:r>
        <w:t>3 semester hours of</w:t>
      </w:r>
      <w:r w:rsidR="00D5778D">
        <w:t xml:space="preserve"> Genetics (BIOL 3301)</w:t>
      </w:r>
    </w:p>
    <w:p w14:paraId="44DEFE44" w14:textId="77777777" w:rsidR="00F86B56" w:rsidRDefault="000472EE" w:rsidP="00F86B56">
      <w:pPr>
        <w:pStyle w:val="ListParagraph"/>
        <w:numPr>
          <w:ilvl w:val="0"/>
          <w:numId w:val="4"/>
        </w:numPr>
        <w:spacing w:after="0" w:line="250" w:lineRule="auto"/>
        <w:ind w:right="126"/>
        <w:jc w:val="left"/>
      </w:pPr>
      <w:r>
        <w:t xml:space="preserve">3 semester hours of Biochemistry (BCHS 3304), </w:t>
      </w:r>
    </w:p>
    <w:p w14:paraId="172718AF" w14:textId="77777777" w:rsidR="00F86B56" w:rsidRDefault="000472EE" w:rsidP="00F86B56">
      <w:pPr>
        <w:pStyle w:val="ListParagraph"/>
        <w:numPr>
          <w:ilvl w:val="0"/>
          <w:numId w:val="4"/>
        </w:numPr>
        <w:spacing w:after="0" w:line="250" w:lineRule="auto"/>
        <w:ind w:right="126"/>
        <w:jc w:val="left"/>
      </w:pPr>
      <w:r>
        <w:t xml:space="preserve">3 semester hours of Quantitative Math (MATH 3339 preferred), </w:t>
      </w:r>
    </w:p>
    <w:p w14:paraId="34A4D48C" w14:textId="77777777" w:rsidR="00F86B56" w:rsidRDefault="000472EE" w:rsidP="00F86B56">
      <w:pPr>
        <w:pStyle w:val="ListParagraph"/>
        <w:numPr>
          <w:ilvl w:val="0"/>
          <w:numId w:val="4"/>
        </w:numPr>
        <w:spacing w:after="0" w:line="250" w:lineRule="auto"/>
        <w:ind w:right="126"/>
        <w:jc w:val="left"/>
      </w:pPr>
      <w:r>
        <w:t xml:space="preserve">6 semester hours of Physics (PHYS 2325/2326, or 1301/1302), </w:t>
      </w:r>
    </w:p>
    <w:p w14:paraId="1E54EE96" w14:textId="77777777" w:rsidR="005E16B8" w:rsidRDefault="005E16B8" w:rsidP="00F86B56">
      <w:pPr>
        <w:pStyle w:val="ListParagraph"/>
        <w:numPr>
          <w:ilvl w:val="0"/>
          <w:numId w:val="4"/>
        </w:numPr>
        <w:spacing w:after="0" w:line="250" w:lineRule="auto"/>
        <w:ind w:right="126"/>
        <w:jc w:val="left"/>
      </w:pPr>
      <w:r>
        <w:t>12</w:t>
      </w:r>
      <w:r w:rsidR="000472EE">
        <w:t xml:space="preserve"> semester hours of Creative Arts/</w:t>
      </w:r>
      <w:r w:rsidR="00F86B56">
        <w:t>Humanities/</w:t>
      </w:r>
      <w:r w:rsidR="000472EE">
        <w:t>Social &amp; Behavioral Sciences (ex</w:t>
      </w:r>
      <w:proofErr w:type="gramStart"/>
      <w:r w:rsidR="000472EE">
        <w:t>:  psychology</w:t>
      </w:r>
      <w:proofErr w:type="gramEnd"/>
      <w:r w:rsidR="000472EE">
        <w:t>, sociology, anthropology, art history, philosophy)</w:t>
      </w:r>
      <w:r w:rsidR="00F86B56">
        <w:t>.</w:t>
      </w:r>
    </w:p>
    <w:p w14:paraId="68CAA140" w14:textId="352317CD" w:rsidR="00384250" w:rsidRDefault="000472EE" w:rsidP="005E16B8">
      <w:pPr>
        <w:pStyle w:val="ListParagraph"/>
        <w:spacing w:after="0" w:line="250" w:lineRule="auto"/>
        <w:ind w:left="648" w:right="126" w:firstLine="0"/>
        <w:jc w:val="left"/>
      </w:pPr>
      <w:r>
        <w:t xml:space="preserve"> </w:t>
      </w:r>
    </w:p>
    <w:p w14:paraId="4098F0A3" w14:textId="77777777" w:rsidR="00384250" w:rsidRDefault="000472EE">
      <w:pPr>
        <w:spacing w:after="204"/>
        <w:ind w:left="-5" w:right="37"/>
      </w:pPr>
      <w:r>
        <w:t xml:space="preserve">RECOMMENDED:  Spanish. </w:t>
      </w:r>
    </w:p>
    <w:p w14:paraId="465475A1" w14:textId="77777777" w:rsidR="00384250" w:rsidRDefault="000472EE">
      <w:pPr>
        <w:spacing w:after="191"/>
        <w:ind w:left="-5" w:right="37"/>
      </w:pPr>
      <w:r>
        <w:t xml:space="preserve">No grade lower than a “C” for these classes will count toward matriculation into BCM.  </w:t>
      </w:r>
    </w:p>
    <w:p w14:paraId="31318837" w14:textId="39AAC8C1" w:rsidR="00384250" w:rsidRDefault="00A65305">
      <w:pPr>
        <w:spacing w:after="210" w:line="244" w:lineRule="auto"/>
        <w:ind w:left="-5" w:right="98"/>
        <w:jc w:val="left"/>
      </w:pPr>
      <w:r>
        <w:rPr>
          <w:i/>
        </w:rPr>
        <w:t>Note</w:t>
      </w:r>
      <w:proofErr w:type="gramStart"/>
      <w:r>
        <w:rPr>
          <w:i/>
        </w:rPr>
        <w:t xml:space="preserve">:  </w:t>
      </w:r>
      <w:r w:rsidR="000472EE">
        <w:rPr>
          <w:i/>
        </w:rPr>
        <w:t>AP</w:t>
      </w:r>
      <w:proofErr w:type="gramEnd"/>
      <w:r w:rsidR="000472EE">
        <w:rPr>
          <w:i/>
        </w:rPr>
        <w:t xml:space="preserve"> credit may not be applied towards required BCM prerequisite courses.  </w:t>
      </w:r>
    </w:p>
    <w:p w14:paraId="544380F1" w14:textId="77777777" w:rsidR="00384250" w:rsidRDefault="000472EE">
      <w:pPr>
        <w:spacing w:after="210" w:line="244" w:lineRule="auto"/>
        <w:ind w:left="-5" w:right="98"/>
        <w:jc w:val="left"/>
      </w:pPr>
      <w:r>
        <w:rPr>
          <w:i/>
        </w:rPr>
        <w:t xml:space="preserve">Additional courses are required as per the University of Houston/Honors College curriculum, such as labs. </w:t>
      </w:r>
    </w:p>
    <w:p w14:paraId="3CB68B06" w14:textId="7E6F5A43" w:rsidR="00384250" w:rsidRDefault="000472EE">
      <w:pPr>
        <w:spacing w:after="206"/>
        <w:ind w:left="-5" w:right="198"/>
      </w:pPr>
      <w:r>
        <w:t xml:space="preserve">Program students must maintain a semester and cumulative grade point average (GPA) of at least 3.50 and a semester and cumulative science GPA average of at least 3.50 (on a 4.0 system). HPA students must obtain a Medical College Admissions Test (MCAT) score </w:t>
      </w:r>
      <w:r w:rsidR="00B85801">
        <w:t xml:space="preserve">minimum </w:t>
      </w:r>
      <w:r w:rsidR="00B85801" w:rsidRPr="00775456">
        <w:t>of 508</w:t>
      </w:r>
      <w:r w:rsidRPr="00775456">
        <w:t>;</w:t>
      </w:r>
      <w:r>
        <w:t xml:space="preserve"> with no section score (biological and biochemical foundations of living systems, chemical and physical foundations of biological systems, psychological, social and biological foundations of behavior, and critical analysis and reasoning skills) less than 125. </w:t>
      </w:r>
      <w:r>
        <w:rPr>
          <w:i/>
        </w:rPr>
        <w:t xml:space="preserve">(A total MCAT </w:t>
      </w:r>
      <w:proofErr w:type="gramStart"/>
      <w:r>
        <w:rPr>
          <w:i/>
        </w:rPr>
        <w:t>score</w:t>
      </w:r>
      <w:proofErr w:type="gramEnd"/>
      <w:r>
        <w:rPr>
          <w:i/>
        </w:rPr>
        <w:t xml:space="preserve"> and each required</w:t>
      </w:r>
      <w:r>
        <w:t xml:space="preserve"> </w:t>
      </w:r>
      <w:r>
        <w:rPr>
          <w:i/>
        </w:rPr>
        <w:t>section score must be met in one test administration. Super scores are not permitted).</w:t>
      </w:r>
    </w:p>
    <w:p w14:paraId="4200271E" w14:textId="7CD18AC3" w:rsidR="00384250" w:rsidRDefault="00755339" w:rsidP="005E16B8">
      <w:pPr>
        <w:spacing w:after="46" w:line="250" w:lineRule="auto"/>
        <w:ind w:left="10" w:right="126"/>
      </w:pPr>
      <w:r>
        <w:t xml:space="preserve">MCAT exam must be taken no later than September 30 and the </w:t>
      </w:r>
      <w:proofErr w:type="spellStart"/>
      <w:r>
        <w:t>CASPer</w:t>
      </w:r>
      <w:proofErr w:type="spellEnd"/>
      <w:r>
        <w:t xml:space="preserve"> test taken no later than November 1 of the fourth consecutive year of undergraduate study a</w:t>
      </w:r>
      <w:r w:rsidR="00A65305">
        <w:t>t</w:t>
      </w:r>
      <w:r>
        <w:t xml:space="preserve"> UH.  Based on eligibility, students selected for the program will receive some scholarship support from UH (aid is limited to citizens and permanent residents of the United States); however, all candidates must fill out the FAFSA. All financial aid provided by UH is contingent upon students maintaining the minimum required grade point averages and well as annual submission of the FAFSA. Scholarship support at BCM is based on merit and financial need. </w:t>
      </w:r>
    </w:p>
    <w:p w14:paraId="0DC550A1" w14:textId="77777777" w:rsidR="00A65305" w:rsidRDefault="00A65305">
      <w:pPr>
        <w:spacing w:after="46" w:line="250" w:lineRule="auto"/>
        <w:ind w:left="10" w:right="126"/>
        <w:jc w:val="left"/>
      </w:pPr>
    </w:p>
    <w:p w14:paraId="34966612" w14:textId="77777777" w:rsidR="00384250" w:rsidRDefault="000472EE" w:rsidP="00A65305">
      <w:pPr>
        <w:pStyle w:val="Heading1"/>
        <w:ind w:left="0" w:firstLine="0"/>
      </w:pPr>
      <w:r>
        <w:lastRenderedPageBreak/>
        <w:t>HPA SELECTION</w:t>
      </w:r>
      <w:r>
        <w:rPr>
          <w:b w:val="0"/>
          <w:color w:val="000000"/>
          <w:sz w:val="18"/>
          <w:u w:val="none" w:color="000000"/>
        </w:rPr>
        <w:t xml:space="preserve"> </w:t>
      </w:r>
    </w:p>
    <w:p w14:paraId="08D6997C" w14:textId="77777777" w:rsidR="00384250" w:rsidRDefault="000472EE">
      <w:pPr>
        <w:ind w:left="-5" w:right="37"/>
      </w:pPr>
      <w:r>
        <w:t xml:space="preserve">Graduating DHSHP seniors wishing to participate in the </w:t>
      </w:r>
    </w:p>
    <w:p w14:paraId="2BCACE77" w14:textId="77777777" w:rsidR="00384250" w:rsidRDefault="000472EE">
      <w:pPr>
        <w:spacing w:after="0" w:line="259" w:lineRule="auto"/>
        <w:ind w:left="0" w:firstLine="0"/>
        <w:jc w:val="left"/>
      </w:pPr>
      <w:r>
        <w:t xml:space="preserve">HPA </w:t>
      </w:r>
      <w:r>
        <w:rPr>
          <w:b/>
        </w:rPr>
        <w:t>must</w:t>
      </w:r>
      <w:r>
        <w:t xml:space="preserve"> </w:t>
      </w:r>
      <w:r>
        <w:rPr>
          <w:b/>
        </w:rPr>
        <w:t>complete four applications</w:t>
      </w:r>
      <w:r>
        <w:t xml:space="preserve">: 1) the UH </w:t>
      </w:r>
    </w:p>
    <w:p w14:paraId="1E5F6959" w14:textId="77777777" w:rsidR="00384250" w:rsidRDefault="000472EE">
      <w:pPr>
        <w:ind w:left="-5" w:right="37"/>
      </w:pPr>
      <w:r>
        <w:t xml:space="preserve">Admission Application, 2) the UH Honors College </w:t>
      </w:r>
    </w:p>
    <w:p w14:paraId="4D594510" w14:textId="77777777" w:rsidR="00384250" w:rsidRDefault="000472EE">
      <w:pPr>
        <w:ind w:left="-5" w:right="37"/>
      </w:pPr>
      <w:r>
        <w:t xml:space="preserve">Application, 3) the HPA Application, and 4) the Free Application Federal Financial Aid (FAFSA—the </w:t>
      </w:r>
    </w:p>
    <w:p w14:paraId="4F8AF9ED" w14:textId="22986D0F" w:rsidR="00384250" w:rsidRDefault="000472EE" w:rsidP="001F7508">
      <w:pPr>
        <w:ind w:left="-5" w:right="126"/>
      </w:pPr>
      <w:r>
        <w:t>University of Houston Federal School Code is 003652). Program selection criteria include:</w:t>
      </w:r>
      <w:r w:rsidR="001F7508">
        <w:t xml:space="preserve"> (1) </w:t>
      </w:r>
      <w:r>
        <w:t xml:space="preserve">strong DHSHP academic performance, as evidenced by a minimum overall GPA of 3.5 and core GPA of 3.2 </w:t>
      </w:r>
      <w:r w:rsidR="001F7508">
        <w:t xml:space="preserve">(especially in </w:t>
      </w:r>
    </w:p>
    <w:p w14:paraId="21A2EA04" w14:textId="36623061" w:rsidR="00384250" w:rsidRDefault="000472EE">
      <w:pPr>
        <w:spacing w:after="206"/>
        <w:ind w:left="-5" w:right="37"/>
      </w:pPr>
      <w:r>
        <w:t>science, mathematics and English) at DHSHP; (</w:t>
      </w:r>
      <w:r w:rsidR="001F7508">
        <w:t>2</w:t>
      </w:r>
      <w:r>
        <w:t xml:space="preserve">) </w:t>
      </w:r>
      <w:r>
        <w:rPr>
          <w:b/>
          <w:u w:val="double" w:color="000000"/>
        </w:rPr>
        <w:t>two letters</w:t>
      </w:r>
      <w:r>
        <w:rPr>
          <w:b/>
        </w:rPr>
        <w:t xml:space="preserve"> of</w:t>
      </w:r>
      <w:r>
        <w:rPr>
          <w:b/>
          <w:u w:val="single" w:color="000000"/>
        </w:rPr>
        <w:t xml:space="preserve"> </w:t>
      </w:r>
      <w:r>
        <w:rPr>
          <w:b/>
          <w:u w:val="double" w:color="000000"/>
        </w:rPr>
        <w:t>suppor</w:t>
      </w:r>
      <w:r>
        <w:rPr>
          <w:b/>
        </w:rPr>
        <w:t>t from DHSHP teachers, counselors and/or administrators</w:t>
      </w:r>
      <w:r>
        <w:t>; (</w:t>
      </w:r>
      <w:r w:rsidR="001F7508">
        <w:t>3</w:t>
      </w:r>
      <w:r>
        <w:t xml:space="preserve">) </w:t>
      </w:r>
      <w:r>
        <w:rPr>
          <w:b/>
          <w:u w:val="double" w:color="000000"/>
        </w:rPr>
        <w:t>one</w:t>
      </w:r>
      <w:r>
        <w:rPr>
          <w:b/>
        </w:rPr>
        <w:t xml:space="preserve"> </w:t>
      </w:r>
      <w:r>
        <w:rPr>
          <w:b/>
          <w:u w:val="double" w:color="000000"/>
        </w:rPr>
        <w:t>letter</w:t>
      </w:r>
      <w:r>
        <w:rPr>
          <w:b/>
        </w:rPr>
        <w:t xml:space="preserve"> of </w:t>
      </w:r>
      <w:r>
        <w:rPr>
          <w:b/>
          <w:u w:val="double" w:color="000000"/>
        </w:rPr>
        <w:t>recommendation</w:t>
      </w:r>
      <w:r>
        <w:rPr>
          <w:b/>
        </w:rPr>
        <w:t xml:space="preserve"> from</w:t>
      </w:r>
      <w:r w:rsidR="00006451">
        <w:rPr>
          <w:b/>
        </w:rPr>
        <w:t xml:space="preserve"> a</w:t>
      </w:r>
      <w:r>
        <w:rPr>
          <w:b/>
        </w:rPr>
        <w:t xml:space="preserve"> Community Service supervisor</w:t>
      </w:r>
      <w:r>
        <w:t>; (</w:t>
      </w:r>
      <w:r w:rsidR="001F7508">
        <w:t>4</w:t>
      </w:r>
      <w:r>
        <w:t>) evidence of community service while at DHSHP; (</w:t>
      </w:r>
      <w:r w:rsidR="001F7508">
        <w:t>5</w:t>
      </w:r>
      <w:r>
        <w:t>) motivation and other attributes representative of exceptional achievement; and (</w:t>
      </w:r>
      <w:r w:rsidR="001F7508">
        <w:t>6</w:t>
      </w:r>
      <w:r>
        <w:t xml:space="preserve">) financial need, as determined by the FAFSA. Students from schools other than </w:t>
      </w:r>
      <w:proofErr w:type="gramStart"/>
      <w:r>
        <w:t>the DHSHP</w:t>
      </w:r>
      <w:proofErr w:type="gramEnd"/>
      <w:r>
        <w:t xml:space="preserve"> and students who already have graduated from DHSHP are not eligible for the program. </w:t>
      </w:r>
    </w:p>
    <w:p w14:paraId="01F86B08" w14:textId="4186CE34" w:rsidR="00384250" w:rsidRDefault="000472EE">
      <w:pPr>
        <w:spacing w:after="446"/>
        <w:ind w:left="-5" w:right="37"/>
      </w:pPr>
      <w:r w:rsidRPr="00775456">
        <w:rPr>
          <w:b/>
        </w:rPr>
        <w:t xml:space="preserve">To apply </w:t>
      </w:r>
      <w:r w:rsidRPr="00775456">
        <w:t>for the Houston Premedical Academy</w:t>
      </w:r>
      <w:r w:rsidR="00183243" w:rsidRPr="00775456">
        <w:t>,</w:t>
      </w:r>
      <w:r w:rsidRPr="00775456">
        <w:t xml:space="preserve"> follow the link </w:t>
      </w:r>
      <w:hyperlink r:id="rId11" w:history="1">
        <w:r w:rsidR="00490DE6" w:rsidRPr="00187E5D">
          <w:rPr>
            <w:rStyle w:val="Hyperlink"/>
          </w:rPr>
          <w:t>http://thehonorscollege.com/hpa</w:t>
        </w:r>
      </w:hyperlink>
      <w:r w:rsidR="00490DE6">
        <w:rPr>
          <w:color w:val="0000FF"/>
          <w:u w:val="single" w:color="0000FF"/>
        </w:rPr>
        <w:t xml:space="preserve">. </w:t>
      </w:r>
      <w:r w:rsidRPr="00775456">
        <w:rPr>
          <w:b/>
        </w:rPr>
        <w:t xml:space="preserve">The deadline for the application is 5pm on </w:t>
      </w:r>
      <w:r w:rsidR="00456E0E">
        <w:rPr>
          <w:b/>
        </w:rPr>
        <w:t>Fri</w:t>
      </w:r>
      <w:r w:rsidR="00F27A3E" w:rsidRPr="00775456">
        <w:rPr>
          <w:b/>
        </w:rPr>
        <w:t xml:space="preserve">day, January </w:t>
      </w:r>
      <w:r w:rsidR="00456E0E">
        <w:rPr>
          <w:b/>
        </w:rPr>
        <w:t>3</w:t>
      </w:r>
      <w:r w:rsidR="0091054B">
        <w:rPr>
          <w:b/>
        </w:rPr>
        <w:t>0</w:t>
      </w:r>
      <w:r w:rsidR="001F7508" w:rsidRPr="00775456">
        <w:rPr>
          <w:b/>
        </w:rPr>
        <w:t>, 202</w:t>
      </w:r>
      <w:r w:rsidR="007469F5">
        <w:rPr>
          <w:b/>
        </w:rPr>
        <w:t>6</w:t>
      </w:r>
      <w:r w:rsidR="001F7508" w:rsidRPr="00775456">
        <w:rPr>
          <w:b/>
        </w:rPr>
        <w:t>,</w:t>
      </w:r>
      <w:r w:rsidRPr="00775456">
        <w:rPr>
          <w:b/>
        </w:rPr>
        <w:t xml:space="preserve"> and the deadline for the letters of recommendation is </w:t>
      </w:r>
      <w:r w:rsidR="007469F5">
        <w:rPr>
          <w:b/>
        </w:rPr>
        <w:t>Fri</w:t>
      </w:r>
      <w:r w:rsidR="00F27A3E" w:rsidRPr="00775456">
        <w:rPr>
          <w:b/>
        </w:rPr>
        <w:t xml:space="preserve">day, </w:t>
      </w:r>
      <w:r w:rsidR="007469F5">
        <w:rPr>
          <w:b/>
        </w:rPr>
        <w:t>Febr</w:t>
      </w:r>
      <w:r w:rsidR="00F27A3E" w:rsidRPr="00775456">
        <w:rPr>
          <w:b/>
        </w:rPr>
        <w:t xml:space="preserve">uary </w:t>
      </w:r>
      <w:r w:rsidR="007469F5">
        <w:rPr>
          <w:b/>
        </w:rPr>
        <w:t>6</w:t>
      </w:r>
      <w:r w:rsidR="00F27A3E" w:rsidRPr="00775456">
        <w:rPr>
          <w:b/>
        </w:rPr>
        <w:t>, 202</w:t>
      </w:r>
      <w:r w:rsidR="007469F5">
        <w:rPr>
          <w:b/>
        </w:rPr>
        <w:t>6</w:t>
      </w:r>
      <w:r w:rsidRPr="00775456">
        <w:t xml:space="preserve">. The Admissions Committee at BCM will review </w:t>
      </w:r>
      <w:r w:rsidRPr="00775456">
        <w:rPr>
          <w:b/>
        </w:rPr>
        <w:t xml:space="preserve">ONLY </w:t>
      </w:r>
      <w:r w:rsidRPr="00775456">
        <w:t xml:space="preserve">applications from students accepted by UH </w:t>
      </w:r>
      <w:r w:rsidRPr="00775456">
        <w:rPr>
          <w:b/>
        </w:rPr>
        <w:t>AND</w:t>
      </w:r>
      <w:r w:rsidRPr="00775456">
        <w:t xml:space="preserve"> the UH Honors </w:t>
      </w:r>
      <w:proofErr w:type="gramStart"/>
      <w:r w:rsidRPr="00775456">
        <w:t xml:space="preserve">College </w:t>
      </w:r>
      <w:r w:rsidRPr="00775456">
        <w:rPr>
          <w:b/>
        </w:rPr>
        <w:t>AND</w:t>
      </w:r>
      <w:proofErr w:type="gramEnd"/>
      <w:r w:rsidRPr="00775456">
        <w:t xml:space="preserve"> with </w:t>
      </w:r>
      <w:proofErr w:type="gramStart"/>
      <w:r w:rsidRPr="00775456">
        <w:t>a complete</w:t>
      </w:r>
      <w:proofErr w:type="gramEnd"/>
      <w:r w:rsidRPr="00775456">
        <w:t xml:space="preserve"> FAFSA. Semifinalists will be invited to </w:t>
      </w:r>
      <w:r w:rsidRPr="00775456">
        <w:rPr>
          <w:b/>
        </w:rPr>
        <w:t>BCM</w:t>
      </w:r>
      <w:r w:rsidRPr="00775456">
        <w:t xml:space="preserve"> for an </w:t>
      </w:r>
      <w:r w:rsidRPr="00775456">
        <w:rPr>
          <w:b/>
        </w:rPr>
        <w:t xml:space="preserve">interview </w:t>
      </w:r>
      <w:r w:rsidRPr="00775456">
        <w:t xml:space="preserve">on </w:t>
      </w:r>
      <w:r w:rsidRPr="00775456">
        <w:rPr>
          <w:b/>
        </w:rPr>
        <w:t xml:space="preserve">Friday, </w:t>
      </w:r>
      <w:r w:rsidR="00304273" w:rsidRPr="00775456">
        <w:rPr>
          <w:b/>
        </w:rPr>
        <w:t>February 2</w:t>
      </w:r>
      <w:r w:rsidR="00456E0E">
        <w:rPr>
          <w:b/>
        </w:rPr>
        <w:t>0</w:t>
      </w:r>
      <w:r w:rsidR="00304273" w:rsidRPr="00775456">
        <w:rPr>
          <w:b/>
        </w:rPr>
        <w:t>,</w:t>
      </w:r>
      <w:r w:rsidR="00456E0E">
        <w:rPr>
          <w:b/>
        </w:rPr>
        <w:t xml:space="preserve"> </w:t>
      </w:r>
      <w:r w:rsidR="00304273" w:rsidRPr="00775456">
        <w:rPr>
          <w:b/>
        </w:rPr>
        <w:t>202</w:t>
      </w:r>
      <w:r w:rsidR="00456E0E">
        <w:rPr>
          <w:b/>
        </w:rPr>
        <w:t>6</w:t>
      </w:r>
      <w:r w:rsidRPr="00775456">
        <w:t xml:space="preserve">. </w:t>
      </w:r>
      <w:r w:rsidRPr="00775456">
        <w:rPr>
          <w:b/>
        </w:rPr>
        <w:t>Notification of acceptance</w:t>
      </w:r>
      <w:r w:rsidRPr="00775456">
        <w:t xml:space="preserve"> to the program will be made </w:t>
      </w:r>
      <w:r w:rsidR="00183243" w:rsidRPr="00775456">
        <w:t>o</w:t>
      </w:r>
      <w:r w:rsidRPr="00775456">
        <w:t>n</w:t>
      </w:r>
      <w:r w:rsidR="00304273" w:rsidRPr="00775456">
        <w:t xml:space="preserve"> </w:t>
      </w:r>
      <w:proofErr w:type="gramStart"/>
      <w:r w:rsidR="00304273" w:rsidRPr="00775456">
        <w:t>week of</w:t>
      </w:r>
      <w:r w:rsidRPr="00775456">
        <w:t xml:space="preserve"> </w:t>
      </w:r>
      <w:r w:rsidR="00456E0E">
        <w:rPr>
          <w:b/>
        </w:rPr>
        <w:t>March</w:t>
      </w:r>
      <w:proofErr w:type="gramEnd"/>
      <w:r w:rsidR="00183243" w:rsidRPr="00775456">
        <w:rPr>
          <w:b/>
        </w:rPr>
        <w:t xml:space="preserve"> 1</w:t>
      </w:r>
      <w:r w:rsidR="00456E0E">
        <w:rPr>
          <w:b/>
        </w:rPr>
        <w:t>6</w:t>
      </w:r>
      <w:r w:rsidRPr="00775456">
        <w:rPr>
          <w:b/>
        </w:rPr>
        <w:t>, 20</w:t>
      </w:r>
      <w:r w:rsidR="001F7508" w:rsidRPr="00775456">
        <w:rPr>
          <w:b/>
        </w:rPr>
        <w:t>2</w:t>
      </w:r>
      <w:r w:rsidR="00456E0E">
        <w:rPr>
          <w:b/>
        </w:rPr>
        <w:t>6</w:t>
      </w:r>
      <w:r w:rsidRPr="00775456">
        <w:rPr>
          <w:b/>
        </w:rPr>
        <w:t>.</w:t>
      </w:r>
      <w:r>
        <w:rPr>
          <w:b/>
        </w:rPr>
        <w:t xml:space="preserve"> </w:t>
      </w:r>
    </w:p>
    <w:p w14:paraId="322EC1A3" w14:textId="5D5C8871" w:rsidR="00384250" w:rsidRDefault="000472EE">
      <w:pPr>
        <w:pStyle w:val="Heading1"/>
        <w:ind w:left="-5"/>
      </w:pPr>
      <w:r>
        <w:t>THE UNIVERSITY OF HOUSTON</w:t>
      </w:r>
      <w:r>
        <w:rPr>
          <w:u w:val="none" w:color="000000"/>
        </w:rPr>
        <w:t xml:space="preserve"> </w:t>
      </w:r>
    </w:p>
    <w:p w14:paraId="46C758BE" w14:textId="106940BB" w:rsidR="00384250" w:rsidRDefault="000472EE">
      <w:pPr>
        <w:ind w:left="-5" w:right="37"/>
      </w:pPr>
      <w:r>
        <w:t>The University of Houston (UH) (</w:t>
      </w:r>
      <w:r>
        <w:rPr>
          <w:color w:val="0000FF"/>
        </w:rPr>
        <w:t>www.uh.edu</w:t>
      </w:r>
      <w:r>
        <w:t>), the state’s premier research university, stands at the forefront of education, research and service. The UH campus serves more than 47,0</w:t>
      </w:r>
      <w:r w:rsidR="005E16B8">
        <w:t>00</w:t>
      </w:r>
      <w:r>
        <w:t xml:space="preserve"> students in 13 academic colleges and in its interdisciplinary Honors College, including over 500 student organizations. The university offers 300 undergraduate and graduate programs, and awards more than 8,000 degrees annually. It is the most ethnically diverse research university in the U.S. The innovative curriculum, nationally ranked programs, and dynamic learning and mentoring environment bring students face-to-face with award-winning faculty.  UH operates more than 25 research centers and institutes and maintains more than 300 creative partnerships with corporate, civic, and governmental entities. Inter-disciplinary research at UH includes groundbreaking areas such as </w:t>
      </w:r>
      <w:proofErr w:type="spellStart"/>
      <w:r>
        <w:t>bionanotechnology</w:t>
      </w:r>
      <w:proofErr w:type="spellEnd"/>
      <w:r>
        <w:t xml:space="preserve">, superconductivity, space commercialization, biomedical engineering, economics, education, petroleum exploration, and virtual </w:t>
      </w:r>
      <w:r w:rsidR="005E16B8">
        <w:t>technology.  The UH libraries are Houston’s largest, and they house one of the most up-to-date networked electronic publication centers in the nation. Grants and research awards to the university exceed $100 million.</w:t>
      </w:r>
    </w:p>
    <w:p w14:paraId="68A44949" w14:textId="59F391D1" w:rsidR="00384250" w:rsidRDefault="00384250" w:rsidP="005E16B8">
      <w:pPr>
        <w:ind w:left="144" w:right="37" w:firstLine="0"/>
      </w:pPr>
    </w:p>
    <w:p w14:paraId="1DF9A8B6" w14:textId="77777777" w:rsidR="00A65305" w:rsidRDefault="00A65305">
      <w:pPr>
        <w:ind w:left="-5" w:right="37"/>
      </w:pPr>
    </w:p>
    <w:p w14:paraId="019C74AD" w14:textId="77777777" w:rsidR="00384250" w:rsidRDefault="000472EE">
      <w:pPr>
        <w:pStyle w:val="Heading1"/>
        <w:ind w:left="-5"/>
      </w:pPr>
      <w:r>
        <w:t>THE HONORS COLLEGE AT THE</w:t>
      </w:r>
      <w:r>
        <w:rPr>
          <w:u w:val="none" w:color="000000"/>
        </w:rPr>
        <w:t xml:space="preserve"> </w:t>
      </w:r>
      <w:r>
        <w:t>UNIVERSITY OF HOUSTON</w:t>
      </w:r>
      <w:r>
        <w:rPr>
          <w:u w:val="none" w:color="000000"/>
        </w:rPr>
        <w:t xml:space="preserve"> </w:t>
      </w:r>
    </w:p>
    <w:p w14:paraId="6A34CDB0" w14:textId="77777777" w:rsidR="00384250" w:rsidRDefault="000472EE">
      <w:pPr>
        <w:spacing w:after="192"/>
        <w:ind w:left="-5" w:right="193"/>
      </w:pPr>
      <w:r>
        <w:t>The Honors College (</w:t>
      </w:r>
      <w:r>
        <w:rPr>
          <w:color w:val="0000FF"/>
          <w:u w:val="single" w:color="0000FF"/>
        </w:rPr>
        <w:t>www.thehonorscollege.com</w:t>
      </w:r>
      <w:r>
        <w:t xml:space="preserve">) provides the University of Houston’s finest students with the </w:t>
      </w:r>
      <w:r>
        <w:rPr>
          <w:b/>
          <w:i/>
        </w:rPr>
        <w:t>best of both worlds</w:t>
      </w:r>
      <w:r>
        <w:t xml:space="preserve">-the support and closeknit community of a small college together with the resources and diversity of a large research institution. Open to all majors, the Honors curriculum coordinates with and complements all degree plans. Honors students </w:t>
      </w:r>
      <w:proofErr w:type="gramStart"/>
      <w:r>
        <w:t>enjoy:</w:t>
      </w:r>
      <w:proofErr w:type="gramEnd"/>
      <w:r>
        <w:t xml:space="preserve"> small classes, priority course registration, personalized advising, accessible faculty/staff, reserved facilities, travel and research opportunities, student community, and graduation with special distinction. </w:t>
      </w:r>
    </w:p>
    <w:p w14:paraId="06C3C5AA" w14:textId="77777777" w:rsidR="00384250" w:rsidRDefault="000472EE">
      <w:pPr>
        <w:spacing w:after="266"/>
        <w:ind w:left="-5" w:right="201"/>
      </w:pPr>
      <w:r>
        <w:t xml:space="preserve">Housed in </w:t>
      </w:r>
      <w:proofErr w:type="gramStart"/>
      <w:r>
        <w:t>the Honors</w:t>
      </w:r>
      <w:proofErr w:type="gramEnd"/>
      <w:r>
        <w:t xml:space="preserve"> College, the </w:t>
      </w:r>
      <w:r>
        <w:rPr>
          <w:color w:val="0000FF"/>
          <w:u w:val="single" w:color="0000FF"/>
        </w:rPr>
        <w:t>Medicine &amp;</w:t>
      </w:r>
      <w:r>
        <w:rPr>
          <w:color w:val="0000FF"/>
        </w:rPr>
        <w:t xml:space="preserve"> </w:t>
      </w:r>
      <w:r>
        <w:rPr>
          <w:color w:val="0000FF"/>
          <w:u w:val="single" w:color="0000FF"/>
        </w:rPr>
        <w:t>Society Program</w:t>
      </w:r>
      <w:r>
        <w:t xml:space="preserve"> bridges humanities with the hard sciences, promoting the effective practice of medicine by producing health professionals who are empathic, compassionate, and attentive. Additionally, the Medicine &amp; Society Program unites all studies of health, providing students with resources, such as feedback on professional/graduate school applications and connections with health experts. </w:t>
      </w:r>
    </w:p>
    <w:p w14:paraId="1F82B8D7" w14:textId="77777777" w:rsidR="00384250" w:rsidRDefault="000472EE">
      <w:pPr>
        <w:pStyle w:val="Heading1"/>
        <w:ind w:left="-5"/>
      </w:pPr>
      <w:r>
        <w:t>BAYLOR COLLEGE OF MEDICINE</w:t>
      </w:r>
      <w:r>
        <w:rPr>
          <w:u w:val="none" w:color="000000"/>
        </w:rPr>
        <w:t xml:space="preserve"> </w:t>
      </w:r>
    </w:p>
    <w:p w14:paraId="493DCE44" w14:textId="36C05474" w:rsidR="004A5C52" w:rsidRPr="004A5C52" w:rsidRDefault="000472EE" w:rsidP="004A5C52">
      <w:pPr>
        <w:rPr>
          <w:rFonts w:eastAsia="Times New Roman"/>
          <w:szCs w:val="18"/>
        </w:rPr>
      </w:pPr>
      <w:r>
        <w:t>Baylor College of Medicine</w:t>
      </w:r>
      <w:r w:rsidR="00C86A3B">
        <w:t xml:space="preserve"> is a health sciences university dedicated to training the next generation of leaders in the biomedical field.  Ranked first in Texas and among the top in the country by U.S. News &amp; World Report, Baylor College of Medicine’s School of Medicine is the least expensive private medical school in the U.S. We are committed to transforming healthcare both locally and globally, which is reflected in our focus on inquiry, service and innovation. Exceptionally diverse clinical affiliates and a collaborative, supportive culture set Baylor apart as a leader among the world’s best medical schools. As a part of our commitment to caring for Texans across the state, we now have a regional campus located in Temple, Texas.  </w:t>
      </w:r>
      <w:r w:rsidR="004A5C52" w:rsidRPr="00775456">
        <w:rPr>
          <w:rStyle w:val="xcontentpasted0"/>
          <w:rFonts w:eastAsia="Times New Roman"/>
          <w:szCs w:val="18"/>
        </w:rPr>
        <w:t xml:space="preserve">We welcomed the inaugural class in summer 2023, which expanded our medical </w:t>
      </w:r>
      <w:proofErr w:type="gramStart"/>
      <w:r w:rsidR="004A5C52" w:rsidRPr="00775456">
        <w:rPr>
          <w:rStyle w:val="xcontentpasted0"/>
          <w:rFonts w:eastAsia="Times New Roman"/>
          <w:szCs w:val="18"/>
        </w:rPr>
        <w:t>student class</w:t>
      </w:r>
      <w:proofErr w:type="gramEnd"/>
      <w:r w:rsidR="004A5C52" w:rsidRPr="00775456">
        <w:rPr>
          <w:rStyle w:val="xcontentpasted0"/>
          <w:rFonts w:eastAsia="Times New Roman"/>
          <w:szCs w:val="18"/>
        </w:rPr>
        <w:t xml:space="preserve"> size to 226, our largest ever. </w:t>
      </w:r>
      <w:r w:rsidR="004A5C52" w:rsidRPr="00775456">
        <w:rPr>
          <w:rStyle w:val="xcontentpasted0"/>
          <w:rFonts w:ascii="Times New Roman" w:eastAsia="Times New Roman" w:hAnsi="Times New Roman" w:cs="Times New Roman"/>
          <w:sz w:val="27"/>
          <w:szCs w:val="27"/>
        </w:rPr>
        <w:t xml:space="preserve"> </w:t>
      </w:r>
      <w:r w:rsidR="004A5C52" w:rsidRPr="00775456">
        <w:rPr>
          <w:rStyle w:val="xcontentpasted0"/>
          <w:rFonts w:eastAsia="Times New Roman"/>
          <w:szCs w:val="18"/>
        </w:rPr>
        <w:t xml:space="preserve">Baylor Scott &amp; White Health serves as the home of the Baylor College of Medicine, School of Medicine, Temple campus. Students at both campuses </w:t>
      </w:r>
      <w:proofErr w:type="gramStart"/>
      <w:r w:rsidR="004A5C52" w:rsidRPr="00775456">
        <w:rPr>
          <w:rStyle w:val="xcontentpasted0"/>
          <w:rFonts w:eastAsia="Times New Roman"/>
          <w:szCs w:val="18"/>
        </w:rPr>
        <w:t>have the opportunity to</w:t>
      </w:r>
      <w:proofErr w:type="gramEnd"/>
      <w:r w:rsidR="004A5C52" w:rsidRPr="00775456">
        <w:rPr>
          <w:rStyle w:val="xcontentpasted0"/>
          <w:rFonts w:eastAsia="Times New Roman"/>
          <w:szCs w:val="18"/>
        </w:rPr>
        <w:t xml:space="preserve"> train in Texas’s top healthcare institutions, while training under Baylor’s curriculum, faculty, and mission.</w:t>
      </w:r>
    </w:p>
    <w:p w14:paraId="631EED0E" w14:textId="77777777" w:rsidR="004A5C52" w:rsidRDefault="004A5C52" w:rsidP="004A5C52">
      <w:pPr>
        <w:rPr>
          <w:rFonts w:ascii="Candara" w:eastAsia="Times New Roman" w:hAnsi="Candara"/>
          <w:sz w:val="24"/>
          <w:szCs w:val="24"/>
        </w:rPr>
      </w:pPr>
    </w:p>
    <w:p w14:paraId="4657443F" w14:textId="77777777" w:rsidR="00384250" w:rsidRDefault="000472EE" w:rsidP="005E16B8">
      <w:pPr>
        <w:spacing w:after="195" w:line="244" w:lineRule="auto"/>
        <w:ind w:left="0" w:right="296" w:firstLine="0"/>
      </w:pPr>
      <w:r>
        <w:t>Follow Baylor College of Medicine on Facebook: (</w:t>
      </w:r>
      <w:r>
        <w:rPr>
          <w:color w:val="0000FF"/>
          <w:u w:val="single" w:color="0000FF"/>
        </w:rPr>
        <w:t>http://www.facebook.com/BaylorCollegeofMedicine</w:t>
      </w:r>
      <w:r>
        <w:t>) and twitter (</w:t>
      </w:r>
      <w:r>
        <w:rPr>
          <w:color w:val="0000FF"/>
          <w:u w:val="single" w:color="0000FF"/>
        </w:rPr>
        <w:t>http://twitter.com/BCMHouston</w:t>
      </w:r>
      <w:r>
        <w:t xml:space="preserve">).  </w:t>
      </w:r>
    </w:p>
    <w:p w14:paraId="1CE20EFD" w14:textId="77777777" w:rsidR="00384250" w:rsidRDefault="000472EE" w:rsidP="005E16B8">
      <w:pPr>
        <w:ind w:left="-5" w:right="37"/>
      </w:pPr>
      <w:r>
        <w:t xml:space="preserve">Additional information may be obtained from Bernice </w:t>
      </w:r>
    </w:p>
    <w:p w14:paraId="6C96813B" w14:textId="712723A0" w:rsidR="00384250" w:rsidRDefault="000472EE" w:rsidP="005E16B8">
      <w:pPr>
        <w:ind w:left="-5" w:right="594"/>
      </w:pPr>
      <w:r>
        <w:t xml:space="preserve">Ochoa-Shargey, Ph.D., Dean of Instruction at the Michael E. DeBakey High School for Health Professions (Telephone: 713-556-4902). </w:t>
      </w:r>
      <w:r w:rsidR="00292B97">
        <w:t xml:space="preserve"> </w:t>
      </w:r>
      <w:r w:rsidR="00A65305">
        <w:t xml:space="preserve">     </w:t>
      </w:r>
      <w:r w:rsidR="00292B97">
        <w:t xml:space="preserve"> </w:t>
      </w:r>
      <w:r w:rsidR="00096C77">
        <w:t>09</w:t>
      </w:r>
      <w:r w:rsidR="00292B97">
        <w:t>/202</w:t>
      </w:r>
      <w:r w:rsidR="00096C77">
        <w:t>4</w:t>
      </w:r>
    </w:p>
    <w:sectPr w:rsidR="00384250" w:rsidSect="00A65305">
      <w:type w:val="continuous"/>
      <w:pgSz w:w="12240" w:h="15840"/>
      <w:pgMar w:top="1454" w:right="1008" w:bottom="979" w:left="1008" w:header="720" w:footer="720" w:gutter="0"/>
      <w:cols w:num="2" w:space="7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442E"/>
    <w:multiLevelType w:val="hybridMultilevel"/>
    <w:tmpl w:val="DF28B46A"/>
    <w:lvl w:ilvl="0" w:tplc="4CE0BAA2">
      <w:numFmt w:val="bullet"/>
      <w:lvlText w:val=""/>
      <w:lvlJc w:val="left"/>
      <w:pPr>
        <w:ind w:left="648" w:hanging="360"/>
      </w:pPr>
      <w:rPr>
        <w:rFonts w:ascii="Symbol" w:eastAsia="Arial" w:hAnsi="Symbol" w:cs="Aria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1D4C21A7"/>
    <w:multiLevelType w:val="hybridMultilevel"/>
    <w:tmpl w:val="9A38EC8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21AF75C4"/>
    <w:multiLevelType w:val="hybridMultilevel"/>
    <w:tmpl w:val="3A82E036"/>
    <w:lvl w:ilvl="0" w:tplc="D1426A02">
      <w:start w:val="6"/>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24922868"/>
    <w:multiLevelType w:val="hybridMultilevel"/>
    <w:tmpl w:val="D570E9A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576176CD"/>
    <w:multiLevelType w:val="hybridMultilevel"/>
    <w:tmpl w:val="8EA2880E"/>
    <w:lvl w:ilvl="0" w:tplc="4CE0BAA2">
      <w:numFmt w:val="bullet"/>
      <w:lvlText w:val=""/>
      <w:lvlJc w:val="left"/>
      <w:pPr>
        <w:ind w:left="504" w:hanging="360"/>
      </w:pPr>
      <w:rPr>
        <w:rFonts w:ascii="Symbol" w:eastAsia="Arial" w:hAnsi="Symbol" w:cs="Aria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6A047AC6"/>
    <w:multiLevelType w:val="hybridMultilevel"/>
    <w:tmpl w:val="AA4E2026"/>
    <w:lvl w:ilvl="0" w:tplc="4CE0BAA2">
      <w:numFmt w:val="bullet"/>
      <w:lvlText w:val=""/>
      <w:lvlJc w:val="left"/>
      <w:pPr>
        <w:ind w:left="648" w:hanging="360"/>
      </w:pPr>
      <w:rPr>
        <w:rFonts w:ascii="Symbol" w:eastAsia="Arial" w:hAnsi="Symbol" w:cs="Aria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F5667DB"/>
    <w:multiLevelType w:val="hybridMultilevel"/>
    <w:tmpl w:val="42AA005C"/>
    <w:lvl w:ilvl="0" w:tplc="4CE0BAA2">
      <w:numFmt w:val="bullet"/>
      <w:lvlText w:val=""/>
      <w:lvlJc w:val="left"/>
      <w:pPr>
        <w:ind w:left="648" w:hanging="360"/>
      </w:pPr>
      <w:rPr>
        <w:rFonts w:ascii="Symbol" w:eastAsia="Arial" w:hAnsi="Symbol" w:cs="Aria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151607153">
    <w:abstractNumId w:val="3"/>
  </w:num>
  <w:num w:numId="2" w16cid:durableId="759180742">
    <w:abstractNumId w:val="1"/>
  </w:num>
  <w:num w:numId="3" w16cid:durableId="1108307607">
    <w:abstractNumId w:val="4"/>
  </w:num>
  <w:num w:numId="4" w16cid:durableId="1950972102">
    <w:abstractNumId w:val="0"/>
  </w:num>
  <w:num w:numId="5" w16cid:durableId="1601260568">
    <w:abstractNumId w:val="2"/>
  </w:num>
  <w:num w:numId="6" w16cid:durableId="1815023867">
    <w:abstractNumId w:val="5"/>
  </w:num>
  <w:num w:numId="7" w16cid:durableId="893543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50"/>
    <w:rsid w:val="00006451"/>
    <w:rsid w:val="000472EE"/>
    <w:rsid w:val="00054944"/>
    <w:rsid w:val="00096C77"/>
    <w:rsid w:val="00183243"/>
    <w:rsid w:val="001F7508"/>
    <w:rsid w:val="00292B97"/>
    <w:rsid w:val="00304273"/>
    <w:rsid w:val="00384250"/>
    <w:rsid w:val="00456E0E"/>
    <w:rsid w:val="00490DE6"/>
    <w:rsid w:val="004A5C52"/>
    <w:rsid w:val="005935D0"/>
    <w:rsid w:val="005B584A"/>
    <w:rsid w:val="005E16B8"/>
    <w:rsid w:val="006D69E4"/>
    <w:rsid w:val="007469F5"/>
    <w:rsid w:val="00755339"/>
    <w:rsid w:val="00775456"/>
    <w:rsid w:val="00870BAD"/>
    <w:rsid w:val="0091054B"/>
    <w:rsid w:val="00973CF8"/>
    <w:rsid w:val="009A41E0"/>
    <w:rsid w:val="009E08F0"/>
    <w:rsid w:val="00A65305"/>
    <w:rsid w:val="00B234B4"/>
    <w:rsid w:val="00B85801"/>
    <w:rsid w:val="00C86A3B"/>
    <w:rsid w:val="00D5778D"/>
    <w:rsid w:val="00E62E67"/>
    <w:rsid w:val="00EC1653"/>
    <w:rsid w:val="00F27A3E"/>
    <w:rsid w:val="00F86B56"/>
    <w:rsid w:val="00FB7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948A9"/>
  <w15:docId w15:val="{91BA393F-2E03-4EAE-9D72-8E2D40D64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54" w:hanging="10"/>
      <w:jc w:val="both"/>
    </w:pPr>
    <w:rPr>
      <w:rFonts w:ascii="Arial" w:eastAsia="Arial" w:hAnsi="Arial" w:cs="Arial"/>
      <w:color w:val="000000"/>
      <w:sz w:val="18"/>
    </w:rPr>
  </w:style>
  <w:style w:type="paragraph" w:styleId="Heading1">
    <w:name w:val="heading 1"/>
    <w:next w:val="Normal"/>
    <w:link w:val="Heading1Char"/>
    <w:uiPriority w:val="9"/>
    <w:qFormat/>
    <w:pPr>
      <w:keepNext/>
      <w:keepLines/>
      <w:spacing w:after="11" w:line="248" w:lineRule="auto"/>
      <w:ind w:left="154" w:hanging="10"/>
      <w:outlineLvl w:val="0"/>
    </w:pPr>
    <w:rPr>
      <w:rFonts w:ascii="Arial" w:eastAsia="Arial" w:hAnsi="Arial" w:cs="Arial"/>
      <w:b/>
      <w:color w:val="0035C9"/>
      <w:sz w:val="23"/>
      <w:u w:val="single" w:color="0035C9"/>
    </w:rPr>
  </w:style>
  <w:style w:type="paragraph" w:styleId="Heading2">
    <w:name w:val="heading 2"/>
    <w:next w:val="Normal"/>
    <w:link w:val="Heading2Char"/>
    <w:uiPriority w:val="9"/>
    <w:unhideWhenUsed/>
    <w:qFormat/>
    <w:pPr>
      <w:keepNext/>
      <w:keepLines/>
      <w:spacing w:after="0"/>
      <w:ind w:left="144"/>
      <w:outlineLvl w:val="1"/>
    </w:pPr>
    <w:rPr>
      <w:rFonts w:ascii="Arial" w:eastAsia="Arial" w:hAnsi="Arial" w:cs="Arial"/>
      <w:b/>
      <w:color w:val="0035C9"/>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35C9"/>
      <w:sz w:val="23"/>
    </w:rPr>
  </w:style>
  <w:style w:type="character" w:customStyle="1" w:styleId="Heading1Char">
    <w:name w:val="Heading 1 Char"/>
    <w:link w:val="Heading1"/>
    <w:rPr>
      <w:rFonts w:ascii="Arial" w:eastAsia="Arial" w:hAnsi="Arial" w:cs="Arial"/>
      <w:b/>
      <w:color w:val="0035C9"/>
      <w:sz w:val="23"/>
      <w:u w:val="single" w:color="0035C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5778D"/>
    <w:pPr>
      <w:ind w:left="720"/>
      <w:contextualSpacing/>
    </w:pPr>
  </w:style>
  <w:style w:type="character" w:customStyle="1" w:styleId="xcontentpasted0">
    <w:name w:val="x_contentpasted0"/>
    <w:basedOn w:val="DefaultParagraphFont"/>
    <w:rsid w:val="004A5C52"/>
  </w:style>
  <w:style w:type="character" w:styleId="Hyperlink">
    <w:name w:val="Hyperlink"/>
    <w:basedOn w:val="DefaultParagraphFont"/>
    <w:uiPriority w:val="99"/>
    <w:unhideWhenUsed/>
    <w:rsid w:val="00490DE6"/>
    <w:rPr>
      <w:color w:val="0563C1" w:themeColor="hyperlink"/>
      <w:u w:val="single"/>
    </w:rPr>
  </w:style>
  <w:style w:type="character" w:styleId="UnresolvedMention">
    <w:name w:val="Unresolved Mention"/>
    <w:basedOn w:val="DefaultParagraphFont"/>
    <w:uiPriority w:val="99"/>
    <w:semiHidden/>
    <w:unhideWhenUsed/>
    <w:rsid w:val="00490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4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thehonorscollege.com/hpa" TargetMode="External"/><Relationship Id="rId5" Type="http://schemas.openxmlformats.org/officeDocument/2006/relationships/image" Target="media/image1.jp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Shargey, Bernice A</dc:creator>
  <cp:keywords/>
  <cp:lastModifiedBy>Jafferali, Anita M</cp:lastModifiedBy>
  <cp:revision>2</cp:revision>
  <cp:lastPrinted>2023-09-14T14:32:00Z</cp:lastPrinted>
  <dcterms:created xsi:type="dcterms:W3CDTF">2025-09-16T20:07:00Z</dcterms:created>
  <dcterms:modified xsi:type="dcterms:W3CDTF">2025-09-16T20:07:00Z</dcterms:modified>
</cp:coreProperties>
</file>