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15521F" w14:textId="1DFC315A" w:rsidR="003F24F3" w:rsidRDefault="003F24F3" w:rsidP="00B64F5F">
      <w:pPr>
        <w:pStyle w:val="Heading1"/>
        <w:jc w:val="center"/>
      </w:pPr>
      <w:r>
        <w:rPr>
          <w:b/>
          <w:noProof/>
          <w:color w:val="215E99"/>
          <w:sz w:val="44"/>
          <w:szCs w:val="44"/>
        </w:rPr>
        <w:drawing>
          <wp:inline distT="114300" distB="114300" distL="114300" distR="114300" wp14:anchorId="6EFE051C" wp14:editId="221704F3">
            <wp:extent cx="1556970" cy="1282700"/>
            <wp:effectExtent l="0" t="0" r="5715" b="0"/>
            <wp:docPr id="492419040" name="image1.png" descr="Preescolar de educación especial Sprouts"/>
            <wp:cNvGraphicFramePr/>
            <a:graphic xmlns:a="http://schemas.openxmlformats.org/drawingml/2006/main">
              <a:graphicData uri="http://schemas.openxmlformats.org/drawingml/2006/picture">
                <pic:pic xmlns:pic="http://schemas.openxmlformats.org/drawingml/2006/picture">
                  <pic:nvPicPr>
                    <pic:cNvPr id="4" name="image1.png" descr="Sprouts Special Education Preschool"/>
                    <pic:cNvPicPr preferRelativeResize="0"/>
                  </pic:nvPicPr>
                  <pic:blipFill>
                    <a:blip r:embed="rId7"/>
                    <a:srcRect/>
                    <a:stretch>
                      <a:fillRect/>
                    </a:stretch>
                  </pic:blipFill>
                  <pic:spPr>
                    <a:xfrm>
                      <a:off x="0" y="0"/>
                      <a:ext cx="1574459" cy="1297108"/>
                    </a:xfrm>
                    <a:prstGeom prst="rect">
                      <a:avLst/>
                    </a:prstGeom>
                    <a:ln/>
                  </pic:spPr>
                </pic:pic>
              </a:graphicData>
            </a:graphic>
          </wp:inline>
        </w:drawing>
      </w:r>
    </w:p>
    <w:p w14:paraId="4388A19E" w14:textId="472582BC" w:rsidR="0010772C" w:rsidRPr="00950235" w:rsidRDefault="001D5F0C" w:rsidP="00950235">
      <w:pPr>
        <w:pStyle w:val="Heading1"/>
        <w:rPr>
          <w:sz w:val="20"/>
          <w:szCs w:val="20"/>
        </w:rPr>
      </w:pPr>
      <w:r>
        <w:t>Programa Preescolar Sprouts/Preguntas Frecuentes</w:t>
      </w:r>
    </w:p>
    <w:p w14:paraId="6BAD0E47" w14:textId="77777777" w:rsidR="0010772C" w:rsidRDefault="001D5F0C" w:rsidP="00950235">
      <w:pPr>
        <w:pStyle w:val="Heading2"/>
      </w:pPr>
      <w:r>
        <w:t>1. ¿Qué significa exactamente Child Find?</w:t>
      </w:r>
    </w:p>
    <w:p w14:paraId="63D05A43" w14:textId="77777777" w:rsidR="00950235" w:rsidRDefault="001D5F0C" w:rsidP="00950235">
      <w:r>
        <w:t>La Ley de Educación para Personas con Discapacidades (IDEA) requiere que las Agencias Locales de Educación (LEA) localicen, identifiquen y evalúen a los niños pequeños con sospechas de discapacidades o retrasos en el desarrollo. Estos retrasos pueden ocurrir en las áreas de autoayuda/comportamiento adaptativo, desarrollo cognitivo, comunicación, desarrollo físico y/o desarrollo socioemocional.</w:t>
      </w:r>
    </w:p>
    <w:p w14:paraId="302C571E" w14:textId="10673E5E" w:rsidR="0010772C" w:rsidRDefault="001D5F0C" w:rsidP="00950235">
      <w:pPr>
        <w:pStyle w:val="Heading2"/>
      </w:pPr>
      <w:r>
        <w:t>2. Solo me preocupan las habilidades del habla y el lenguaje de mi hijo. ¿Tienes que evaluar en todas las áreas?</w:t>
      </w:r>
    </w:p>
    <w:p w14:paraId="42557B5F" w14:textId="77777777" w:rsidR="00950235" w:rsidRDefault="001D5F0C" w:rsidP="00950235">
      <w:r>
        <w:t>En Georgia, los niños sospechosos de tener una discapacidad, incluidos los que tienen entre 3 y 5 años, deben recibir una evaluación integral para determinar la elegibilidad para la educación especial y los servicios relacionados. Una evaluación del desarrollo preescolar incluirá la evaluación en las siguientes áreas: cognición, habilidades motoras, habilidades sociales, habilidades adaptativas y habilidades de comunicación.</w:t>
      </w:r>
    </w:p>
    <w:p w14:paraId="7B9A0AF1" w14:textId="3ED667B6" w:rsidR="0010772C" w:rsidRDefault="001D5F0C" w:rsidP="00950235">
      <w:pPr>
        <w:pStyle w:val="Heading2"/>
      </w:pPr>
      <w:r>
        <w:t>3. ¿Cómo remito a mi hijo para una evaluación a través de Child Find?</w:t>
      </w:r>
    </w:p>
    <w:p w14:paraId="1B3164E0" w14:textId="77777777" w:rsidR="00950235" w:rsidRDefault="001D5F0C" w:rsidP="00950235">
      <w:r>
        <w:t>Los estudiantes pueden ser referidos directamente para su evaluación a través del proceso de transición de Babies Can't Wait (Birth to Three) y por referencia de los padres. El maestro de preescolar o guardería o el pediatra de su hijo también pueden recomendar una evaluación, pero es responsabilidad de los padres completar el proceso de derivación y registro. El proceso de registro se puede encontrar en este</w:t>
      </w:r>
      <w:hyperlink r:id="rId8">
        <w:r w:rsidR="00950235">
          <w:t xml:space="preserve"> </w:t>
        </w:r>
      </w:hyperlink>
      <w:hyperlink r:id="rId9">
        <w:r w:rsidR="00950235">
          <w:rPr>
            <w:color w:val="1155CC"/>
            <w:u w:val="single"/>
          </w:rPr>
          <w:t>enlace</w:t>
        </w:r>
      </w:hyperlink>
      <w:r>
        <w:t>. Una vez que se haya completado y enviado el formulario completo de Solicitud de asistencia para encontrar niños, junto con los documentos de respaldo, Mardy Hendon, asistente administrativa preescolar, se comunicará con usted para programar la evaluación integral.</w:t>
      </w:r>
    </w:p>
    <w:p w14:paraId="38E0575C" w14:textId="77777777" w:rsidR="00B64F5F" w:rsidRDefault="00B64F5F">
      <w:pPr>
        <w:rPr>
          <w:sz w:val="24"/>
          <w:szCs w:val="32"/>
        </w:rPr>
      </w:pPr>
      <w:r>
        <w:br w:type="page"/>
      </w:r>
    </w:p>
    <w:p w14:paraId="4124DD1B" w14:textId="5FD63C9E" w:rsidR="0010772C" w:rsidRPr="00950235" w:rsidRDefault="001D5F0C" w:rsidP="00950235">
      <w:pPr>
        <w:pStyle w:val="Heading2"/>
        <w:rPr>
          <w:sz w:val="22"/>
          <w:szCs w:val="22"/>
        </w:rPr>
      </w:pPr>
      <w:r>
        <w:lastRenderedPageBreak/>
        <w:t>4. Una vez que haya enviado el formulario de Solicitud de asistencia para encontrar niños/Cuestionario, ¿cuánto tiempo tarda en evaluarse a mi hijo?</w:t>
      </w:r>
    </w:p>
    <w:p w14:paraId="40DE7967" w14:textId="77777777" w:rsidR="00950235" w:rsidRDefault="001D5F0C" w:rsidP="00950235">
      <w:r>
        <w:t>Una vez que se hayan enviado el formulario de asistencia / cuestionario para encontrar niños y los documentos de respaldo, la Sra. Hendon se comunicará con usted.  Comuníquese con la Sra. Hendon al MHendon@forsyth.k12.ga.us si no ha tenido noticias de nadie dentro de dos semanas. Las referencias se procesan en el orden en que se reciben y se programan en la fecha disponible más cercana. Tenga en cuenta que el comienzo del otoño y la primavera son tiempos de referencia pesados, por lo que pueden pasar algunas semanas antes de la cita de prueba. Las citas de evaluación se programan cinco días a la semana con tres espacios de evaluación durante las horas de la mañana.</w:t>
      </w:r>
    </w:p>
    <w:p w14:paraId="3289A62B" w14:textId="31E43E68" w:rsidR="0010772C" w:rsidRPr="00950235" w:rsidRDefault="001D5F0C" w:rsidP="00950235">
      <w:pPr>
        <w:pStyle w:val="Heading2"/>
        <w:rPr>
          <w:sz w:val="22"/>
          <w:szCs w:val="22"/>
        </w:rPr>
      </w:pPr>
      <w:r>
        <w:t xml:space="preserve">5. ¿Tengo que completar el proceso de registro o puedo esperar para ver si mi hijo es elegible?  </w:t>
      </w:r>
    </w:p>
    <w:p w14:paraId="6B00E828" w14:textId="55F2B302" w:rsidR="00950235" w:rsidRDefault="0071465A" w:rsidP="00950235">
      <w:r>
        <w:t>Sí, DEBE completar el proceso de registro. Por favor, comprenda que actualmente, solo se está registrando para una evaluación, no para un GA PreK (financiado por la lotería) o para otros servicios específicos de educación especial.  Sin embargo, es necesario registrarse, ya que así es como todos los datos de los estudiantes se cargan de forma segura en el sistema.</w:t>
      </w:r>
    </w:p>
    <w:p w14:paraId="72ED37AE" w14:textId="25F960BD" w:rsidR="0010772C" w:rsidRPr="00950235" w:rsidRDefault="001D5F0C" w:rsidP="00950235">
      <w:pPr>
        <w:pStyle w:val="Heading2"/>
        <w:rPr>
          <w:sz w:val="22"/>
          <w:szCs w:val="22"/>
        </w:rPr>
      </w:pPr>
      <w:r>
        <w:t>6. ¿Qué sucede después de la evaluación?</w:t>
      </w:r>
    </w:p>
    <w:p w14:paraId="034C2786" w14:textId="77777777" w:rsidR="00950235" w:rsidRDefault="001D5F0C" w:rsidP="00950235">
      <w:r>
        <w:t>En el momento de la evaluación de su hijo, se le pedirá que firme un formulario de Consentimiento para evaluar que inicia el cronograma de evaluación de 60 días. El equipo de evaluación evaluará de manera informal y formal todas las áreas relacionadas con cualquier sospecha de discapacidad. Los datos se recopilan durante el plazo de 60 días para ayudar con la determinación de elegibilidad.  Parte de esta recopilación de datos podría implicar una observación en el aula y/o escalas de calificación adicionales completadas por el maestro de su hijo. Dentro del plazo de 60 días, el padre, el maestro de educación regular (si corresponde), el proveedor de educación especial para la primera infancia y la Educación Local (LEA) participarán en la determinación de elegibilidad y el desarrollo del IEP si se determina que el estudiante es elegible.</w:t>
      </w:r>
    </w:p>
    <w:p w14:paraId="283BB574" w14:textId="4D319C76" w:rsidR="0010772C" w:rsidRPr="00950235" w:rsidRDefault="001D5F0C" w:rsidP="00950235">
      <w:pPr>
        <w:pStyle w:val="Heading2"/>
        <w:rPr>
          <w:sz w:val="22"/>
          <w:szCs w:val="22"/>
        </w:rPr>
      </w:pPr>
      <w:r>
        <w:t>7. ¿Quién está en el equipo de evaluación?</w:t>
      </w:r>
    </w:p>
    <w:p w14:paraId="3F8E696D" w14:textId="77777777" w:rsidR="00950235" w:rsidRDefault="001D5F0C" w:rsidP="00950235">
      <w:r>
        <w:t>Su hijo será evaluado utilizando un enfoque de equipo que a menudo es menos intimidante para el niño. Preferimos tener solo un padre presente con el niño para reducir las distracciones. Nos reservamos el derecho de pedirles a los padres que esperen afuera si los padres intentan interferir con el proceso de evaluación. La interferencia o el entrenamiento de un niño perjudica la validez de la evaluación. Su equipo de evaluación puede consistir en un diagnosticador o psicólogo escolar, patólogo del habla y lenguaje, terapeuta ocupacional, fisioterapeuta u otros proveedores de servicios. Es posible que el audiólogo de FCS revise la audición de su hijo y que la vista se revise con el evaluador de visión SPOT.</w:t>
      </w:r>
    </w:p>
    <w:p w14:paraId="22FA19D7" w14:textId="124D6E55" w:rsidR="0010772C" w:rsidRPr="00950235" w:rsidRDefault="001D5F0C" w:rsidP="00950235">
      <w:pPr>
        <w:pStyle w:val="Heading2"/>
        <w:rPr>
          <w:sz w:val="22"/>
          <w:szCs w:val="22"/>
        </w:rPr>
      </w:pPr>
      <w:r>
        <w:lastRenderedPageBreak/>
        <w:t>8. ¿Qué significa retraso significativo en el desarrollo?</w:t>
      </w:r>
    </w:p>
    <w:p w14:paraId="38793FCD" w14:textId="77777777" w:rsidR="00950235" w:rsidRDefault="001D5F0C" w:rsidP="00950235">
      <w:r>
        <w:t>El retraso significativo del desarrollo (SDD) se refiere a un retraso en el desarrollo de un niño en el comportamiento adaptativo, la cognición, el desarrollo físico, la comunicación o el desarrollo social / emocional en la medida en que, si no se le proporciona una intervención especial, el retraso puede afectar negativamente el rendimiento educativo de un niño en actividades apropiadas para su edad. La elegibilidad para SDD no se puede usar para describir a los niños que experimentan un retraso leve o temporal en una o más áreas del desarrollo, o un retraso que es principalmente el resultado de desventajas ambientales, culturales o económicas o falta de experiencia en actividades apropiadas para su edad.</w:t>
      </w:r>
    </w:p>
    <w:p w14:paraId="753E1FFD" w14:textId="0DC778FD" w:rsidR="0010772C" w:rsidRPr="00950235" w:rsidRDefault="001D5F0C" w:rsidP="00950235">
      <w:pPr>
        <w:pStyle w:val="Heading2"/>
        <w:rPr>
          <w:sz w:val="22"/>
          <w:szCs w:val="22"/>
        </w:rPr>
      </w:pPr>
      <w:r>
        <w:t>9. Si mi hijo es elegible para servicios de educación especial, ¿cómo podría ser?</w:t>
      </w:r>
    </w:p>
    <w:p w14:paraId="13778B6E" w14:textId="16E98AFB" w:rsidR="0010772C" w:rsidRPr="00950235" w:rsidRDefault="0071465A" w:rsidP="00950235">
      <w:r>
        <w:t>Las áreas de necesidad se identifican a través del proceso de evaluación. El equipo del IEP, que incluye la opinión de los padres, propondrá metas y objetivos y adaptaciones de instrucción para abordar las áreas de necesidad identificadas. El equipo del IEP debe brindar servicios en la mayor medida apropiada en el entorno menos restrictivo con acceso a habilidades sociales y lingüísticas de desarrollo típico. Los servicios preescolares pueden variar a lo largo de un continuo que considera los servicios dentro del hogar, un grupo semanal de una hora para abordar los déficits sociales y lingüísticos (BLAST), apoyo de consulta, apoyo colaborativo dentro del entorno de educación general o participación de medio día y día completo en preescolar con necesidades especiales. Los niños también pueden calificar para terapia semanal del habla y el lenguaje u otros servicios relacionados que podrían brindarse en varios lugares. El equipo del IEP debe considerar cuidadosamente cada opción y hacer una oferta de FAPE (Educación Pública Gratuita y Apropiada) para el estudiante.</w:t>
      </w:r>
    </w:p>
    <w:p w14:paraId="6C2CBDB8" w14:textId="77777777" w:rsidR="0010772C" w:rsidRDefault="001D5F0C" w:rsidP="00950235">
      <w:pPr>
        <w:pStyle w:val="Heading2"/>
      </w:pPr>
      <w:r>
        <w:t>10. Mi hijo cumple con los requisitos para un retraso significativo del desarrollo y un deterioro del habla y el lenguaje, pero solo quiero terapia del habla. ¿Es esto posible?</w:t>
      </w:r>
    </w:p>
    <w:p w14:paraId="415E1C9B" w14:textId="56C55E70" w:rsidR="00950235" w:rsidRDefault="0071465A" w:rsidP="0071465A">
      <w:r>
        <w:t>El IEP representa un plan integral para abordar todos los déficits y objetivos identificados para su hijo. Las recomendaciones finales se basan en lo que se considera necesario para que su hijo reciba una Educación Gratuita y Apropiada (FAPE) para cumplir con las metas y objetivos. Por lo tanto, los padres pueden optar por no aceptar parte del plan o los servicios recomendados.</w:t>
      </w:r>
    </w:p>
    <w:p w14:paraId="180DB0C2" w14:textId="77777777" w:rsidR="00B64F5F" w:rsidRDefault="00B64F5F">
      <w:pPr>
        <w:rPr>
          <w:sz w:val="24"/>
          <w:szCs w:val="32"/>
        </w:rPr>
      </w:pPr>
      <w:r>
        <w:br w:type="page"/>
      </w:r>
    </w:p>
    <w:p w14:paraId="5C44C97E" w14:textId="118435B9" w:rsidR="00950235" w:rsidRDefault="0071465A" w:rsidP="00950235">
      <w:pPr>
        <w:pStyle w:val="Heading2"/>
      </w:pPr>
      <w:r>
        <w:lastRenderedPageBreak/>
        <w:t>11. Mi hijo cumple años en verano y quiero retenerlo en el preescolar por un año más en lugar de ir al jardín de infantes. ¿Seguirá recibiendo servicios de educación especial?</w:t>
      </w:r>
    </w:p>
    <w:p w14:paraId="7AA4BBB1" w14:textId="77777777" w:rsidR="00950235" w:rsidRDefault="001D5F0C" w:rsidP="00950235">
      <w:r>
        <w:t>Los niños son elegibles para el jardín de infantes cuando cumplen 5 años de edad antes del 1 de septiembre. El aula de jardín de infantes proporciona el entorno menos restrictivo o más natural para el niño y le permite estar con compañeros de la misma edad. En la primavera anterior al jardín de infantes, el equipo del IEP se reunirá para discutir el desarrollo del niño y determinar los servicios apropiados para el año de jardín de infantes. Se debe invitar al maestro de jardín de infantes a estas reuniones para que pueda conocer al niño y estar listo para que el niño sea parte del programa de jardín de infantes. Una vez que el niño sea elegible para la edad para el jardín de infantes, los servicios del niño se determinarán en función de la continuidad de los servicios ofrecidos dentro del entorno del jardín de infantes, ya que los fondos para un estudiante elegible para el jardín de infantes se capturan a través de la fórmula de tiempo completo (FTE) financiada por el gobierno federal. Una excepción a esto es si el equipo del IEP del niño determina que la retención en el preescolar es una intervención necesaria basada en las necesidades únicas del niño. Una consideración importante en esta decisión es cómo la intervención de retención podría alterar potencialmente la preparación para el jardín de infantes. Los niños que son retenidos en preescolar por elección de los padres, a pesar de la decisión del equipo del IEP para el reemplazo del jardín de infantes, no recibirán educación especial bajo la provisión de un Plan de Educación Individualizado para el año escolar retenido. Pueden calificar para recibir acceso a actividades de participación proporcional, si rechazan la FAPE ofrecida por la LEA y asisten a una escuela que cumple con los criterios de la escuela primaria privada, según lo determinado por el proceso de consulta anual del distrito local.</w:t>
      </w:r>
    </w:p>
    <w:p w14:paraId="699D620A" w14:textId="77777777" w:rsidR="00950235" w:rsidRDefault="001D5F0C" w:rsidP="00950235">
      <w:pPr>
        <w:pStyle w:val="Heading2"/>
      </w:pPr>
      <w:r>
        <w:t>12. ¿Dónde puedo encontrar un programa de prekínder en Georgia?</w:t>
      </w:r>
    </w:p>
    <w:p w14:paraId="25303EA8" w14:textId="77777777" w:rsidR="00950235" w:rsidRDefault="001D5F0C" w:rsidP="00950235">
      <w:pPr>
        <w:rPr>
          <w:color w:val="0070C0"/>
        </w:rPr>
      </w:pPr>
      <w:r>
        <w:t xml:space="preserve">El Sistema Escolar del Condado de Forsyth no opera programas de prekínder de la Lotería de Georgia dentro del distrito. Para obtener información sobre dónde encontrar ubicaciones de GA Pre-K, haga clic </w:t>
      </w:r>
      <w:hyperlink r:id="rId10">
        <w:r w:rsidR="00950235">
          <w:rPr>
            <w:color w:val="1155CC"/>
            <w:u w:val="single"/>
          </w:rPr>
          <w:t>aquí</w:t>
        </w:r>
      </w:hyperlink>
      <w:r>
        <w:rPr>
          <w:color w:val="0070C0"/>
        </w:rPr>
        <w:t>.</w:t>
      </w:r>
    </w:p>
    <w:p w14:paraId="56A01CA1" w14:textId="2EF91891" w:rsidR="0010772C" w:rsidRPr="00950235" w:rsidRDefault="001D5F0C" w:rsidP="00950235">
      <w:pPr>
        <w:pStyle w:val="Heading1"/>
        <w:rPr>
          <w:sz w:val="22"/>
          <w:szCs w:val="22"/>
        </w:rPr>
      </w:pPr>
      <w:r>
        <w:t>Otros recursos:</w:t>
      </w:r>
    </w:p>
    <w:p w14:paraId="57774160" w14:textId="77777777" w:rsidR="0010772C" w:rsidRDefault="0010772C">
      <w:pPr>
        <w:spacing w:before="240"/>
        <w:rPr>
          <w:rFonts w:eastAsia="Comic Sans MS" w:cs="Comic Sans MS"/>
          <w:color w:val="0070C0"/>
          <w:sz w:val="24"/>
          <w:szCs w:val="24"/>
          <w:u w:val="single"/>
        </w:rPr>
      </w:pPr>
      <w:hyperlink r:id="rId11">
        <w:r>
          <w:rPr>
            <w:rFonts w:eastAsia="Comic Sans MS" w:cs="Comic Sans MS"/>
            <w:color w:val="0070C0"/>
            <w:sz w:val="24"/>
            <w:szCs w:val="24"/>
            <w:u w:val="single"/>
          </w:rPr>
          <w:t>Estándares de aprendizaje y desarrollo temprano de Georgia</w:t>
        </w:r>
      </w:hyperlink>
    </w:p>
    <w:p w14:paraId="1513E781" w14:textId="77777777" w:rsidR="0010772C" w:rsidRDefault="0010772C">
      <w:pPr>
        <w:spacing w:before="240"/>
        <w:rPr>
          <w:rFonts w:eastAsia="Comic Sans MS" w:cs="Comic Sans MS"/>
          <w:color w:val="0070C0"/>
          <w:sz w:val="24"/>
          <w:szCs w:val="24"/>
          <w:u w:val="single"/>
        </w:rPr>
      </w:pPr>
      <w:hyperlink r:id="rId12">
        <w:r>
          <w:rPr>
            <w:rFonts w:eastAsia="Comic Sans MS" w:cs="Comic Sans MS"/>
            <w:color w:val="0070C0"/>
            <w:sz w:val="24"/>
            <w:szCs w:val="24"/>
            <w:u w:val="single"/>
          </w:rPr>
          <w:t>Departamento de Educación de Georgia / Educación Especial Preescolar</w:t>
        </w:r>
      </w:hyperlink>
    </w:p>
    <w:p w14:paraId="37A4FB5B" w14:textId="178918E0" w:rsidR="0010772C" w:rsidRDefault="0010772C">
      <w:pPr>
        <w:spacing w:before="240"/>
      </w:pPr>
      <w:hyperlink r:id="rId13">
        <w:r>
          <w:rPr>
            <w:rFonts w:eastAsia="Comic Sans MS" w:cs="Comic Sans MS"/>
            <w:color w:val="0070C0"/>
            <w:sz w:val="24"/>
            <w:szCs w:val="24"/>
            <w:u w:val="single"/>
          </w:rPr>
          <w:t>Los bebés no pueden esperar</w:t>
        </w:r>
      </w:hyperlink>
    </w:p>
    <w:sectPr w:rsidR="0010772C">
      <w:footerReference w:type="even" r:id="rId14"/>
      <w:footerReference w:type="default" r:id="rId15"/>
      <w:headerReference w:type="first" r:id="rId16"/>
      <w:footerReference w:type="first" r:id="rId17"/>
      <w:type w:val="continuous"/>
      <w:pgSz w:w="12240" w:h="15840"/>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68B1B1" w14:textId="77777777" w:rsidR="00C2112E" w:rsidRDefault="00C2112E">
      <w:pPr>
        <w:spacing w:line="240" w:lineRule="auto"/>
      </w:pPr>
      <w:r>
        <w:separator/>
      </w:r>
    </w:p>
  </w:endnote>
  <w:endnote w:type="continuationSeparator" w:id="0">
    <w:p w14:paraId="036C9EB3" w14:textId="77777777" w:rsidR="00C2112E" w:rsidRDefault="00C2112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41193F4C-4287-2A4C-BED5-F6E70F9E842A}"/>
    <w:embedBold r:id="rId2" w:fontKey="{B48EEE3D-5DE4-0847-8519-EC0DF923B866}"/>
    <w:embedItalic r:id="rId3" w:fontKey="{4A1184F0-15DF-5D47-AAF2-EBD7944028EF}"/>
  </w:font>
  <w:font w:name="Courier New">
    <w:panose1 w:val="02070309020205020404"/>
    <w:charset w:val="00"/>
    <w:family w:val="modern"/>
    <w:pitch w:val="fixed"/>
    <w:sig w:usb0="E0002AFF" w:usb1="C0007843" w:usb2="00000009" w:usb3="00000000" w:csb0="000001FF" w:csb1="00000000"/>
    <w:embedRegular r:id="rId4" w:fontKey="{D354A102-6E0E-DC4A-85F8-9049A1983A88}"/>
  </w:font>
  <w:font w:name="Wingdings">
    <w:panose1 w:val="05000000000000000000"/>
    <w:charset w:val="4D"/>
    <w:family w:val="decorative"/>
    <w:pitch w:val="variable"/>
    <w:sig w:usb0="00000003" w:usb1="00000000" w:usb2="00000000" w:usb3="00000000" w:csb0="80000001" w:csb1="00000000"/>
    <w:embedRegular r:id="rId5" w:fontKey="{20FD6EDF-7E1B-574F-A462-7537629F4AEA}"/>
  </w:font>
  <w:font w:name="Symbol">
    <w:panose1 w:val="05050102010706020507"/>
    <w:charset w:val="02"/>
    <w:family w:val="decorative"/>
    <w:pitch w:val="variable"/>
    <w:sig w:usb0="00000000" w:usb1="10000000" w:usb2="00000000" w:usb3="00000000" w:csb0="80000000" w:csb1="00000000"/>
    <w:embedRegular r:id="rId6" w:fontKey="{E5CF4799-A6DE-9D4B-A6B5-25A8DC8CA874}"/>
  </w:font>
  <w:font w:name="Arial">
    <w:panose1 w:val="020B0604020202020204"/>
    <w:charset w:val="00"/>
    <w:family w:val="swiss"/>
    <w:pitch w:val="variable"/>
    <w:sig w:usb0="E0002AFF" w:usb1="C0007843" w:usb2="00000009" w:usb3="00000000" w:csb0="000001FF" w:csb1="00000000"/>
    <w:embedRegular r:id="rId7" w:fontKey="{354647CB-5790-E247-BB8E-08529D3C2B45}"/>
    <w:embedBold r:id="rId8" w:fontKey="{1625B686-B71B-874A-9B24-CF5BF01E3A7B}"/>
    <w:embedItalic r:id="rId9" w:fontKey="{0298F194-ED0B-3047-A865-C1EDA1DB9A9B}"/>
  </w:font>
  <w:font w:name="Comic Sans MS">
    <w:panose1 w:val="030F0702030302020204"/>
    <w:charset w:val="00"/>
    <w:family w:val="script"/>
    <w:pitch w:val="variable"/>
    <w:sig w:usb0="00000287" w:usb1="00000000" w:usb2="00000000" w:usb3="00000000" w:csb0="0000009F" w:csb1="00000000"/>
    <w:embedRegular r:id="rId10" w:fontKey="{EA60DF77-577E-5849-B3E6-A07A1BD6629F}"/>
    <w:embedBold r:id="rId11" w:fontKey="{88193B31-06BD-FE45-8E04-BEA9D339DACD}"/>
    <w:embedItalic r:id="rId12" w:fontKey="{FB83EBD2-3993-C442-833F-3AA659B1BE6F}"/>
  </w:font>
  <w:font w:name="Aptos">
    <w:panose1 w:val="020B0004020202020204"/>
    <w:charset w:val="00"/>
    <w:family w:val="swiss"/>
    <w:pitch w:val="variable"/>
    <w:sig w:usb0="20000287" w:usb1="00000003" w:usb2="00000000" w:usb3="00000000" w:csb0="0000019F" w:csb1="00000000"/>
    <w:embedRegular r:id="rId13" w:fontKey="{0C18DF02-6326-1B4E-8201-67F22D3B59BC}"/>
  </w:font>
  <w:font w:name="Calibri">
    <w:panose1 w:val="020F0502020204030204"/>
    <w:charset w:val="00"/>
    <w:family w:val="swiss"/>
    <w:pitch w:val="variable"/>
    <w:sig w:usb0="E4002EFF" w:usb1="C200247B" w:usb2="00000009" w:usb3="00000000" w:csb0="000001FF" w:csb1="00000000"/>
    <w:embedRegular r:id="rId14" w:fontKey="{3391C823-43AC-D84A-ABA0-E88739C7A777}"/>
  </w:font>
  <w:font w:name="Cambria">
    <w:panose1 w:val="02040503050406030204"/>
    <w:charset w:val="00"/>
    <w:family w:val="roman"/>
    <w:pitch w:val="variable"/>
    <w:sig w:usb0="E00006FF" w:usb1="420024FF" w:usb2="02000000" w:usb3="00000000" w:csb0="0000019F" w:csb1="00000000"/>
    <w:embedRegular r:id="rId15" w:fontKey="{C5F94FB0-11EE-F14C-9BB3-E3883E9FA27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50769619"/>
      <w:docPartObj>
        <w:docPartGallery w:val="Page Numbers (Bottom of Page)"/>
        <w:docPartUnique/>
      </w:docPartObj>
    </w:sdtPr>
    <w:sdtContent>
      <w:p w14:paraId="76D6E37C" w14:textId="7395CC1B" w:rsidR="00FB4316" w:rsidRDefault="00FB4316" w:rsidP="006E445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E9214EA" w14:textId="77777777" w:rsidR="00FB4316" w:rsidRDefault="00FB4316" w:rsidP="00FB431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BC2EE" w14:textId="77777777" w:rsidR="00FB4316" w:rsidRDefault="00FB4316" w:rsidP="00FB4316">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39968165"/>
      <w:docPartObj>
        <w:docPartGallery w:val="Page Numbers (Bottom of Page)"/>
        <w:docPartUnique/>
      </w:docPartObj>
    </w:sdtPr>
    <w:sdtContent>
      <w:p w14:paraId="237C7AA9" w14:textId="684FA125" w:rsidR="001457BE" w:rsidRDefault="001457BE" w:rsidP="006E445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40DEC72" w14:textId="77777777" w:rsidR="0010772C" w:rsidRDefault="0010772C" w:rsidP="001457BE">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92964" w14:textId="77777777" w:rsidR="00C2112E" w:rsidRDefault="00C2112E">
      <w:pPr>
        <w:spacing w:line="240" w:lineRule="auto"/>
      </w:pPr>
      <w:r>
        <w:separator/>
      </w:r>
    </w:p>
  </w:footnote>
  <w:footnote w:type="continuationSeparator" w:id="0">
    <w:p w14:paraId="304D22B8" w14:textId="77777777" w:rsidR="00C2112E" w:rsidRDefault="00C2112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973C3" w14:textId="57BE0F0E" w:rsidR="00192F13" w:rsidRDefault="00192F13">
    <w:pPr>
      <w:pStyle w:val="Header"/>
    </w:pPr>
    <w:proofErr w:type="spellStart"/>
    <w:r>
      <w:rPr>
        <w:rFonts w:ascii="Aptos" w:hAnsi="Aptos"/>
        <w:color w:val="000000"/>
        <w:shd w:val="clear" w:color="auto" w:fill="FFFFFF"/>
      </w:rPr>
      <w:t>Formulario</w:t>
    </w:r>
    <w:proofErr w:type="spellEnd"/>
    <w:r>
      <w:rPr>
        <w:rFonts w:ascii="Aptos" w:hAnsi="Aptos"/>
        <w:color w:val="000000"/>
        <w:shd w:val="clear" w:color="auto" w:fill="FFFFFF"/>
      </w:rPr>
      <w:t xml:space="preserve"> de </w:t>
    </w:r>
    <w:proofErr w:type="spellStart"/>
    <w:r>
      <w:rPr>
        <w:rFonts w:ascii="Aptos" w:hAnsi="Aptos"/>
        <w:color w:val="000000"/>
        <w:shd w:val="clear" w:color="auto" w:fill="FFFFFF"/>
      </w:rPr>
      <w:t>solicitud</w:t>
    </w:r>
    <w:proofErr w:type="spellEnd"/>
    <w:r>
      <w:rPr>
        <w:rFonts w:ascii="Aptos" w:hAnsi="Aptos"/>
        <w:color w:val="000000"/>
        <w:shd w:val="clear" w:color="auto" w:fill="FFFFFF"/>
      </w:rPr>
      <w:t xml:space="preserve"> de </w:t>
    </w:r>
    <w:proofErr w:type="spellStart"/>
    <w:r>
      <w:rPr>
        <w:rFonts w:ascii="Aptos" w:hAnsi="Aptos"/>
        <w:color w:val="000000"/>
        <w:shd w:val="clear" w:color="auto" w:fill="FFFFFF"/>
      </w:rPr>
      <w:t>asistencia</w:t>
    </w:r>
    <w:proofErr w:type="spellEnd"/>
    <w:r>
      <w:rPr>
        <w:rFonts w:ascii="Aptos" w:hAnsi="Aptos"/>
        <w:color w:val="000000"/>
        <w:shd w:val="clear" w:color="auto" w:fill="FFFFFF"/>
      </w:rPr>
      <w:t xml:space="preserve"> para </w:t>
    </w:r>
    <w:proofErr w:type="spellStart"/>
    <w:r>
      <w:rPr>
        <w:rFonts w:ascii="Aptos" w:hAnsi="Aptos"/>
        <w:color w:val="000000"/>
        <w:shd w:val="clear" w:color="auto" w:fill="FFFFFF"/>
      </w:rPr>
      <w:t>encontrar</w:t>
    </w:r>
    <w:proofErr w:type="spellEnd"/>
    <w:r>
      <w:rPr>
        <w:rFonts w:ascii="Aptos" w:hAnsi="Aptos"/>
        <w:color w:val="000000"/>
        <w:shd w:val="clear" w:color="auto" w:fill="FFFFFF"/>
      </w:rPr>
      <w:t xml:space="preserve"> </w:t>
    </w:r>
    <w:proofErr w:type="spellStart"/>
    <w:r>
      <w:rPr>
        <w:rFonts w:ascii="Aptos" w:hAnsi="Aptos"/>
        <w:color w:val="000000"/>
        <w:shd w:val="clear" w:color="auto" w:fill="FFFFFF"/>
      </w:rPr>
      <w:t>niños</w:t>
    </w:r>
    <w:proofErr w:type="spellEnd"/>
    <w:r>
      <w:rPr>
        <w:rFonts w:ascii="Aptos" w:hAnsi="Aptos"/>
        <w:color w:val="000000"/>
        <w:shd w:val="clear" w:color="auto" w:fill="FFFFFF"/>
      </w:rPr>
      <w:t>/</w:t>
    </w:r>
    <w:proofErr w:type="spellStart"/>
    <w:r>
      <w:rPr>
        <w:rFonts w:ascii="Aptos" w:hAnsi="Aptos"/>
        <w:color w:val="000000"/>
        <w:shd w:val="clear" w:color="auto" w:fill="FFFFFF"/>
      </w:rPr>
      <w:t>cuestionario</w:t>
    </w:r>
    <w:proofErr w:type="spellEnd"/>
  </w:p>
  <w:p w14:paraId="03241A40" w14:textId="1107183C" w:rsidR="00D7623F" w:rsidRDefault="00D762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D7C49"/>
    <w:multiLevelType w:val="multilevel"/>
    <w:tmpl w:val="8A7C1E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1C43540"/>
    <w:multiLevelType w:val="hybridMultilevel"/>
    <w:tmpl w:val="2ACAF02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8F0CD8"/>
    <w:multiLevelType w:val="hybridMultilevel"/>
    <w:tmpl w:val="C1AEB02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9552A2"/>
    <w:multiLevelType w:val="hybridMultilevel"/>
    <w:tmpl w:val="BD02890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A7630C7"/>
    <w:multiLevelType w:val="hybridMultilevel"/>
    <w:tmpl w:val="F8461CC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21D33BF"/>
    <w:multiLevelType w:val="hybridMultilevel"/>
    <w:tmpl w:val="ADDEB55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68C64FB"/>
    <w:multiLevelType w:val="multilevel"/>
    <w:tmpl w:val="8C0662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8764B4A"/>
    <w:multiLevelType w:val="hybridMultilevel"/>
    <w:tmpl w:val="560A319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8C7789F"/>
    <w:multiLevelType w:val="hybridMultilevel"/>
    <w:tmpl w:val="A0A4358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9B2156E"/>
    <w:multiLevelType w:val="hybridMultilevel"/>
    <w:tmpl w:val="BD004EE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63B1729"/>
    <w:multiLevelType w:val="multilevel"/>
    <w:tmpl w:val="7CBA61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E3877D5"/>
    <w:multiLevelType w:val="multilevel"/>
    <w:tmpl w:val="116A57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14134134">
    <w:abstractNumId w:val="10"/>
  </w:num>
  <w:num w:numId="2" w16cid:durableId="168912120">
    <w:abstractNumId w:val="11"/>
  </w:num>
  <w:num w:numId="3" w16cid:durableId="1691103094">
    <w:abstractNumId w:val="6"/>
  </w:num>
  <w:num w:numId="4" w16cid:durableId="1513298798">
    <w:abstractNumId w:val="0"/>
  </w:num>
  <w:num w:numId="5" w16cid:durableId="2138638731">
    <w:abstractNumId w:val="3"/>
  </w:num>
  <w:num w:numId="6" w16cid:durableId="1343167584">
    <w:abstractNumId w:val="1"/>
  </w:num>
  <w:num w:numId="7" w16cid:durableId="1237129329">
    <w:abstractNumId w:val="4"/>
  </w:num>
  <w:num w:numId="8" w16cid:durableId="1698235240">
    <w:abstractNumId w:val="8"/>
  </w:num>
  <w:num w:numId="9" w16cid:durableId="707145860">
    <w:abstractNumId w:val="7"/>
  </w:num>
  <w:num w:numId="10" w16cid:durableId="2145846370">
    <w:abstractNumId w:val="5"/>
  </w:num>
  <w:num w:numId="11" w16cid:durableId="793207236">
    <w:abstractNumId w:val="9"/>
  </w:num>
  <w:num w:numId="12" w16cid:durableId="11955781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72C"/>
    <w:rsid w:val="00003D66"/>
    <w:rsid w:val="00010DAE"/>
    <w:rsid w:val="000306C7"/>
    <w:rsid w:val="0004708E"/>
    <w:rsid w:val="00076C8B"/>
    <w:rsid w:val="000A4910"/>
    <w:rsid w:val="000B5293"/>
    <w:rsid w:val="000C3523"/>
    <w:rsid w:val="0010772C"/>
    <w:rsid w:val="00110FA4"/>
    <w:rsid w:val="001457BE"/>
    <w:rsid w:val="00152CA5"/>
    <w:rsid w:val="00176DEA"/>
    <w:rsid w:val="00192F13"/>
    <w:rsid w:val="001D5F0C"/>
    <w:rsid w:val="001E19B2"/>
    <w:rsid w:val="002135BC"/>
    <w:rsid w:val="00246CF0"/>
    <w:rsid w:val="00253D28"/>
    <w:rsid w:val="00321ED8"/>
    <w:rsid w:val="00365278"/>
    <w:rsid w:val="00397B94"/>
    <w:rsid w:val="003B7BAA"/>
    <w:rsid w:val="003F24F3"/>
    <w:rsid w:val="00415525"/>
    <w:rsid w:val="00491D33"/>
    <w:rsid w:val="004967D0"/>
    <w:rsid w:val="004B51DE"/>
    <w:rsid w:val="004E2E4A"/>
    <w:rsid w:val="00507F3A"/>
    <w:rsid w:val="0051308E"/>
    <w:rsid w:val="006F1234"/>
    <w:rsid w:val="0071465A"/>
    <w:rsid w:val="0072735D"/>
    <w:rsid w:val="00765F15"/>
    <w:rsid w:val="0080426D"/>
    <w:rsid w:val="008139E6"/>
    <w:rsid w:val="008B6B1C"/>
    <w:rsid w:val="008E0121"/>
    <w:rsid w:val="008E0D26"/>
    <w:rsid w:val="00933910"/>
    <w:rsid w:val="009415D4"/>
    <w:rsid w:val="0095004E"/>
    <w:rsid w:val="00950235"/>
    <w:rsid w:val="009E15B3"/>
    <w:rsid w:val="00A24288"/>
    <w:rsid w:val="00A82FCE"/>
    <w:rsid w:val="00A87E5D"/>
    <w:rsid w:val="00AB3D78"/>
    <w:rsid w:val="00B64F5F"/>
    <w:rsid w:val="00BF2C98"/>
    <w:rsid w:val="00C2112E"/>
    <w:rsid w:val="00C33301"/>
    <w:rsid w:val="00CA4014"/>
    <w:rsid w:val="00CB32C5"/>
    <w:rsid w:val="00CB4453"/>
    <w:rsid w:val="00D7623F"/>
    <w:rsid w:val="00D77915"/>
    <w:rsid w:val="00DA3352"/>
    <w:rsid w:val="00DB5D4F"/>
    <w:rsid w:val="00E154F0"/>
    <w:rsid w:val="00E2738E"/>
    <w:rsid w:val="00E658C6"/>
    <w:rsid w:val="00E72B35"/>
    <w:rsid w:val="00E818F9"/>
    <w:rsid w:val="00ED21C4"/>
    <w:rsid w:val="00F0584D"/>
    <w:rsid w:val="00F160EB"/>
    <w:rsid w:val="00F34886"/>
    <w:rsid w:val="00FB4316"/>
    <w:rsid w:val="00FF4A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C0EFD"/>
  <w15:docId w15:val="{64BA92E3-7438-114A-8E13-F5F6257F1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1234"/>
    <w:rPr>
      <w:rFonts w:ascii="Comic Sans MS" w:hAnsi="Comic Sans MS"/>
    </w:rPr>
  </w:style>
  <w:style w:type="paragraph" w:styleId="Heading1">
    <w:name w:val="heading 1"/>
    <w:basedOn w:val="Normal"/>
    <w:next w:val="Normal"/>
    <w:uiPriority w:val="9"/>
    <w:qFormat/>
    <w:rsid w:val="006F1234"/>
    <w:pPr>
      <w:keepNext/>
      <w:keepLines/>
      <w:spacing w:before="400" w:after="120"/>
      <w:outlineLvl w:val="0"/>
    </w:pPr>
    <w:rPr>
      <w:sz w:val="28"/>
      <w:szCs w:val="40"/>
      <w:u w:val="single"/>
    </w:rPr>
  </w:style>
  <w:style w:type="paragraph" w:styleId="Heading2">
    <w:name w:val="heading 2"/>
    <w:basedOn w:val="Normal"/>
    <w:next w:val="Normal"/>
    <w:uiPriority w:val="9"/>
    <w:unhideWhenUsed/>
    <w:qFormat/>
    <w:rsid w:val="006F1234"/>
    <w:pPr>
      <w:keepNext/>
      <w:keepLines/>
      <w:spacing w:before="360" w:after="120"/>
      <w:outlineLvl w:val="1"/>
    </w:pPr>
    <w:rPr>
      <w:sz w:val="24"/>
      <w:szCs w:val="32"/>
    </w:rPr>
  </w:style>
  <w:style w:type="paragraph" w:styleId="Heading3">
    <w:name w:val="heading 3"/>
    <w:basedOn w:val="Normal"/>
    <w:next w:val="Normal"/>
    <w:uiPriority w:val="9"/>
    <w:unhideWhenUsed/>
    <w:qFormat/>
    <w:rsid w:val="00FF4A48"/>
    <w:pPr>
      <w:keepNext/>
      <w:keepLines/>
      <w:spacing w:before="320" w:after="80"/>
      <w:outlineLvl w:val="2"/>
    </w:pPr>
    <w:rPr>
      <w:b/>
      <w:color w:val="434343"/>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rsid w:val="006F1234"/>
    <w:pPr>
      <w:keepNext/>
      <w:keepLines/>
      <w:spacing w:after="60"/>
    </w:pPr>
    <w:rPr>
      <w:b/>
      <w:sz w:val="40"/>
      <w:szCs w:val="52"/>
    </w:rPr>
  </w:style>
  <w:style w:type="paragraph" w:styleId="Subtitle">
    <w:name w:val="Subtitle"/>
    <w:basedOn w:val="Normal"/>
    <w:next w:val="Normal"/>
    <w:uiPriority w:val="11"/>
    <w:qFormat/>
    <w:pPr>
      <w:keepNext/>
      <w:keepLines/>
      <w:spacing w:after="320"/>
    </w:pPr>
    <w:rPr>
      <w:rFonts w:ascii="Arial" w:hAnsi="Arial"/>
      <w:color w:val="666666"/>
      <w:sz w:val="30"/>
      <w:szCs w:val="30"/>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table" w:customStyle="1" w:styleId="a1">
    <w:basedOn w:val="TableNormal0"/>
    <w:tblPr>
      <w:tblStyleRowBandSize w:val="1"/>
      <w:tblStyleColBandSize w:val="1"/>
      <w:tblCellMar>
        <w:top w:w="100" w:type="dxa"/>
        <w:left w:w="100" w:type="dxa"/>
        <w:bottom w:w="100" w:type="dxa"/>
        <w:right w:w="100" w:type="dxa"/>
      </w:tblCellMar>
    </w:tblPr>
  </w:style>
  <w:style w:type="table" w:customStyle="1" w:styleId="a2">
    <w:basedOn w:val="TableNormal0"/>
    <w:tblPr>
      <w:tblStyleRowBandSize w:val="1"/>
      <w:tblStyleColBandSize w:val="1"/>
      <w:tblCellMar>
        <w:top w:w="100" w:type="dxa"/>
        <w:left w:w="100" w:type="dxa"/>
        <w:bottom w:w="100" w:type="dxa"/>
        <w:right w:w="100" w:type="dxa"/>
      </w:tblCellMar>
    </w:tblPr>
  </w:style>
  <w:style w:type="table" w:customStyle="1" w:styleId="a3">
    <w:basedOn w:val="TableNormal0"/>
    <w:tblPr>
      <w:tblStyleRowBandSize w:val="1"/>
      <w:tblStyleColBandSize w:val="1"/>
      <w:tblCellMar>
        <w:top w:w="100" w:type="dxa"/>
        <w:left w:w="100" w:type="dxa"/>
        <w:bottom w:w="100" w:type="dxa"/>
        <w:right w:w="100" w:type="dxa"/>
      </w:tblCellMar>
    </w:tblPr>
  </w:style>
  <w:style w:type="table" w:customStyle="1" w:styleId="a4">
    <w:basedOn w:val="TableNormal0"/>
    <w:tblPr>
      <w:tblStyleRowBandSize w:val="1"/>
      <w:tblStyleColBandSize w:val="1"/>
      <w:tblCellMar>
        <w:top w:w="100" w:type="dxa"/>
        <w:left w:w="100" w:type="dxa"/>
        <w:bottom w:w="100" w:type="dxa"/>
        <w:right w:w="100" w:type="dxa"/>
      </w:tblCellMar>
    </w:tblPr>
  </w:style>
  <w:style w:type="table" w:styleId="TableGrid">
    <w:name w:val="Table Grid"/>
    <w:basedOn w:val="TableNormal"/>
    <w:uiPriority w:val="39"/>
    <w:rsid w:val="006F123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1234"/>
    <w:rPr>
      <w:rFonts w:ascii="Comic Sans MS" w:hAnsi="Comic Sans MS"/>
      <w:b/>
      <w:bCs/>
      <w:sz w:val="28"/>
    </w:rPr>
  </w:style>
  <w:style w:type="paragraph" w:styleId="ListParagraph">
    <w:name w:val="List Paragraph"/>
    <w:basedOn w:val="Normal"/>
    <w:uiPriority w:val="34"/>
    <w:qFormat/>
    <w:rsid w:val="006F1234"/>
    <w:pPr>
      <w:ind w:left="720"/>
      <w:contextualSpacing/>
    </w:pPr>
  </w:style>
  <w:style w:type="character" w:styleId="SubtleEmphasis">
    <w:name w:val="Subtle Emphasis"/>
    <w:basedOn w:val="DefaultParagraphFont"/>
    <w:uiPriority w:val="19"/>
    <w:qFormat/>
    <w:rsid w:val="00FF4A48"/>
    <w:rPr>
      <w:i/>
      <w:iCs/>
      <w:color w:val="404040" w:themeColor="text1" w:themeTint="BF"/>
    </w:rPr>
  </w:style>
  <w:style w:type="character" w:styleId="Hyperlink">
    <w:name w:val="Hyperlink"/>
    <w:basedOn w:val="DefaultParagraphFont"/>
    <w:uiPriority w:val="99"/>
    <w:unhideWhenUsed/>
    <w:rsid w:val="00FF4A48"/>
    <w:rPr>
      <w:color w:val="0000FF" w:themeColor="hyperlink"/>
      <w:u w:val="single"/>
    </w:rPr>
  </w:style>
  <w:style w:type="character" w:styleId="UnresolvedMention">
    <w:name w:val="Unresolved Mention"/>
    <w:basedOn w:val="DefaultParagraphFont"/>
    <w:uiPriority w:val="99"/>
    <w:semiHidden/>
    <w:unhideWhenUsed/>
    <w:rsid w:val="00FF4A48"/>
    <w:rPr>
      <w:color w:val="605E5C"/>
      <w:shd w:val="clear" w:color="auto" w:fill="E1DFDD"/>
    </w:rPr>
  </w:style>
  <w:style w:type="paragraph" w:styleId="Header">
    <w:name w:val="header"/>
    <w:basedOn w:val="Normal"/>
    <w:link w:val="HeaderChar"/>
    <w:uiPriority w:val="99"/>
    <w:unhideWhenUsed/>
    <w:rsid w:val="001457BE"/>
    <w:pPr>
      <w:tabs>
        <w:tab w:val="center" w:pos="4680"/>
        <w:tab w:val="right" w:pos="9360"/>
      </w:tabs>
      <w:spacing w:line="240" w:lineRule="auto"/>
    </w:pPr>
  </w:style>
  <w:style w:type="character" w:customStyle="1" w:styleId="HeaderChar">
    <w:name w:val="Header Char"/>
    <w:basedOn w:val="DefaultParagraphFont"/>
    <w:link w:val="Header"/>
    <w:uiPriority w:val="99"/>
    <w:rsid w:val="001457BE"/>
    <w:rPr>
      <w:rFonts w:ascii="Comic Sans MS" w:hAnsi="Comic Sans MS"/>
    </w:rPr>
  </w:style>
  <w:style w:type="paragraph" w:styleId="Footer">
    <w:name w:val="footer"/>
    <w:basedOn w:val="Normal"/>
    <w:link w:val="FooterChar"/>
    <w:uiPriority w:val="99"/>
    <w:unhideWhenUsed/>
    <w:rsid w:val="001457BE"/>
    <w:pPr>
      <w:tabs>
        <w:tab w:val="center" w:pos="4680"/>
        <w:tab w:val="right" w:pos="9360"/>
      </w:tabs>
      <w:spacing w:line="240" w:lineRule="auto"/>
    </w:pPr>
  </w:style>
  <w:style w:type="character" w:customStyle="1" w:styleId="FooterChar">
    <w:name w:val="Footer Char"/>
    <w:basedOn w:val="DefaultParagraphFont"/>
    <w:link w:val="Footer"/>
    <w:uiPriority w:val="99"/>
    <w:rsid w:val="001457BE"/>
    <w:rPr>
      <w:rFonts w:ascii="Comic Sans MS" w:hAnsi="Comic Sans MS"/>
    </w:rPr>
  </w:style>
  <w:style w:type="character" w:styleId="PageNumber">
    <w:name w:val="page number"/>
    <w:basedOn w:val="DefaultParagraphFont"/>
    <w:uiPriority w:val="99"/>
    <w:semiHidden/>
    <w:unhideWhenUsed/>
    <w:rsid w:val="001457BE"/>
  </w:style>
  <w:style w:type="paragraph" w:styleId="NoSpacing">
    <w:name w:val="No Spacing"/>
    <w:uiPriority w:val="1"/>
    <w:qFormat/>
    <w:rsid w:val="00003D66"/>
    <w:pPr>
      <w:spacing w:line="240" w:lineRule="auto"/>
    </w:pPr>
    <w:rPr>
      <w:rFonts w:ascii="Comic Sans MS" w:hAnsi="Comic Sans MS"/>
    </w:rPr>
  </w:style>
  <w:style w:type="character" w:styleId="PlaceholderText">
    <w:name w:val="Placeholder Text"/>
    <w:basedOn w:val="DefaultParagraphFont"/>
    <w:uiPriority w:val="99"/>
    <w:semiHidden/>
    <w:rsid w:val="001E19B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forsyth.k12.ga.us/district-services/technology-information-services/information-systems/registration-home/new-student-registration" TargetMode="External"/><Relationship Id="rId13" Type="http://schemas.openxmlformats.org/officeDocument/2006/relationships/hyperlink" Target="https://dph.georgia.gov/babies-cant-wait"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lor2.gadoe.org/gadoe/file/3e3447d8-fe76-431f-95b1-395c4309df99/1/Preschool%20Special%20Education.pdf" TargetMode="Externa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elds.decal.ga.gov/"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decal.ga.gov/prek/Default.aspx"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forsyth.k12.ga.us/district-services/technology-information-services/information-systems/registration-home/new-student-registration"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178</TotalTime>
  <Pages>4</Pages>
  <Words>1542</Words>
  <Characters>8795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Gay, Holly</cp:lastModifiedBy>
  <cp:revision>2</cp:revision>
  <cp:lastPrinted>2025-08-18T15:41:00Z</cp:lastPrinted>
  <dcterms:created xsi:type="dcterms:W3CDTF">2025-08-08T16:36:00Z</dcterms:created>
  <dcterms:modified xsi:type="dcterms:W3CDTF">2025-09-15T18:27:00Z</dcterms:modified>
</cp:coreProperties>
</file>