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57BCF" w:rsidRDefault="0044039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color w:val="000000"/>
          <w:sz w:val="24"/>
          <w:szCs w:val="24"/>
        </w:rPr>
      </w:pPr>
      <w:r>
        <w:rPr>
          <w:b/>
          <w:color w:val="000000"/>
          <w:sz w:val="24"/>
          <w:szCs w:val="24"/>
        </w:rPr>
        <w:t>Mackay School District No. 182</w:t>
      </w:r>
    </w:p>
    <w:p w14:paraId="00000002"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3" w14:textId="77777777" w:rsidR="00857BCF" w:rsidRDefault="00440393">
      <w:pPr>
        <w:tabs>
          <w:tab w:val="right" w:pos="9360"/>
        </w:tabs>
        <w:rPr>
          <w:color w:val="000000"/>
          <w:sz w:val="24"/>
          <w:szCs w:val="24"/>
        </w:rPr>
      </w:pPr>
      <w:r>
        <w:rPr>
          <w:b/>
          <w:color w:val="000000"/>
          <w:sz w:val="24"/>
          <w:szCs w:val="24"/>
        </w:rPr>
        <w:t>STUDENTS</w:t>
      </w:r>
      <w:r>
        <w:rPr>
          <w:b/>
          <w:color w:val="000000"/>
          <w:sz w:val="24"/>
          <w:szCs w:val="24"/>
        </w:rPr>
        <w:tab/>
        <w:t>3440</w:t>
      </w:r>
    </w:p>
    <w:p w14:paraId="00000004"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5" w14:textId="77777777" w:rsidR="00857BCF" w:rsidRDefault="00440393">
      <w:pPr>
        <w:pStyle w:val="Heading1"/>
      </w:pPr>
      <w:r>
        <w:t>Student Fees, Fines, and Charges/Return of Property</w:t>
      </w:r>
    </w:p>
    <w:p w14:paraId="00000006"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7" w14:textId="77777777" w:rsidR="00857BCF"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The District shall charge no fee for any course for which academic credit is awarded.</w:t>
      </w:r>
    </w:p>
    <w:p w14:paraId="00000008"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9" w14:textId="77777777" w:rsidR="00857BCF"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 student may be charged a reasonable fee for any non-credit course or non-curricular activity such as an extra-curricular activity, student-activity, or membership in a voluntary club or association.  The Board may waive the fee in cases of financial hardship.</w:t>
      </w:r>
    </w:p>
    <w:p w14:paraId="0000000A"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B" w14:textId="77777777" w:rsidR="00857BCF"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The Board delegates authority to the Superintendent to establish appropriate fees and procedures governing the collection of fees and to make annual reports to the Board regarding fee schedules.  </w:t>
      </w:r>
    </w:p>
    <w:p w14:paraId="0000000C"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D" w14:textId="77777777" w:rsidR="00857BCF"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Additional fees may be charged for “enhanced programming and materials” which are voluntary enrichments to the curriculum beyond what is necessary to meet the learning expectations for a particular grade or course (i.e. students may wish to use a superior product or consumable than that provided by the school, in which case they may be asked to pay the additional cost for the upgrade). This includes online enrollment when solely a matter of preference.</w:t>
      </w:r>
    </w:p>
    <w:p w14:paraId="0000000E"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0"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1" w14:textId="77777777" w:rsidR="00857BCF"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 student shall be responsible for the cost of replacing materials or property lost or damaged due to negligence. If school property in a student’s possession is lost, broken, or otherwise damaged, the student may be charged the lesser of the fair market value of the item at the time or the cost of repair.</w:t>
      </w:r>
    </w:p>
    <w:p w14:paraId="00000012"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3" w14:textId="77777777" w:rsidR="00857BCF"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The District may require, as a condition of graduation, issuance of a diploma or certificate, or issuance of a transcript, that all lawful indebtedness incurred by a student be satisfied, or that all books or other instructional material, uniforms, athletic equipment, advances on loans, or other personal property of the District be returned.</w:t>
      </w:r>
    </w:p>
    <w:p w14:paraId="00000014"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5" w14:textId="77777777" w:rsidR="00857BCF"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6" w14:textId="77777777" w:rsidR="00857BCF" w:rsidRDefault="00440393">
      <w:pPr>
        <w:tabs>
          <w:tab w:val="left" w:pos="1800"/>
          <w:tab w:val="left" w:pos="3600"/>
        </w:tabs>
        <w:ind w:left="3600" w:hanging="3600"/>
        <w:rPr>
          <w:color w:val="000000"/>
          <w:sz w:val="24"/>
          <w:szCs w:val="24"/>
        </w:rPr>
      </w:pPr>
      <w:r>
        <w:rPr>
          <w:color w:val="000000"/>
          <w:sz w:val="24"/>
          <w:szCs w:val="24"/>
        </w:rPr>
        <w:t>Legal reference:</w:t>
      </w:r>
      <w:r>
        <w:rPr>
          <w:color w:val="000000"/>
          <w:sz w:val="24"/>
          <w:szCs w:val="24"/>
        </w:rPr>
        <w:tab/>
      </w:r>
    </w:p>
    <w:p w14:paraId="00000017" w14:textId="77777777" w:rsidR="00857BCF" w:rsidRDefault="00440393">
      <w:pPr>
        <w:tabs>
          <w:tab w:val="left" w:pos="1800"/>
          <w:tab w:val="left" w:pos="3600"/>
        </w:tabs>
        <w:ind w:left="3600" w:hanging="3600"/>
        <w:rPr>
          <w:color w:val="000000"/>
          <w:sz w:val="24"/>
          <w:szCs w:val="24"/>
        </w:rPr>
      </w:pPr>
      <w:r>
        <w:rPr>
          <w:color w:val="000000"/>
          <w:sz w:val="24"/>
          <w:szCs w:val="24"/>
        </w:rPr>
        <w:t>I.C. § 33-603</w:t>
      </w:r>
      <w:r>
        <w:rPr>
          <w:color w:val="000000"/>
          <w:sz w:val="24"/>
          <w:szCs w:val="24"/>
        </w:rPr>
        <w:tab/>
        <w:t>Payment of Fees or Returning of Property</w:t>
      </w:r>
    </w:p>
    <w:p w14:paraId="00000018" w14:textId="77777777" w:rsidR="00857BCF" w:rsidRDefault="00440393">
      <w:pPr>
        <w:tabs>
          <w:tab w:val="left" w:pos="1800"/>
          <w:tab w:val="left" w:pos="3600"/>
        </w:tabs>
        <w:ind w:left="3600" w:hanging="3600"/>
        <w:rPr>
          <w:sz w:val="24"/>
          <w:szCs w:val="24"/>
        </w:rPr>
      </w:pPr>
      <w:r>
        <w:rPr>
          <w:color w:val="000000"/>
          <w:sz w:val="24"/>
          <w:szCs w:val="24"/>
        </w:rPr>
        <w:t xml:space="preserve">I.C. </w:t>
      </w:r>
      <w:r>
        <w:rPr>
          <w:sz w:val="24"/>
          <w:szCs w:val="24"/>
        </w:rPr>
        <w:t>§ 33-1034</w:t>
      </w:r>
      <w:r>
        <w:rPr>
          <w:sz w:val="24"/>
          <w:szCs w:val="24"/>
        </w:rPr>
        <w:tab/>
        <w:t>Definition</w:t>
      </w:r>
    </w:p>
    <w:p w14:paraId="00000019" w14:textId="77777777" w:rsidR="00857BCF" w:rsidRDefault="00857BCF">
      <w:pPr>
        <w:tabs>
          <w:tab w:val="left" w:pos="1800"/>
          <w:tab w:val="left" w:pos="3600"/>
        </w:tabs>
        <w:ind w:left="3600" w:hanging="3600"/>
        <w:rPr>
          <w:color w:val="000000"/>
          <w:sz w:val="24"/>
          <w:szCs w:val="24"/>
        </w:rPr>
      </w:pPr>
    </w:p>
    <w:p w14:paraId="0000001A" w14:textId="77777777" w:rsidR="00857BCF" w:rsidRPr="00CD3CFC" w:rsidRDefault="00440393">
      <w:pPr>
        <w:tabs>
          <w:tab w:val="left" w:pos="1800"/>
          <w:tab w:val="left" w:pos="3600"/>
        </w:tabs>
        <w:ind w:left="3600" w:hanging="3600"/>
        <w:rPr>
          <w:color w:val="000000"/>
          <w:sz w:val="24"/>
          <w:szCs w:val="24"/>
        </w:rPr>
      </w:pPr>
      <w:r w:rsidRPr="00CD3CFC">
        <w:rPr>
          <w:color w:val="000000"/>
          <w:sz w:val="24"/>
          <w:szCs w:val="24"/>
        </w:rPr>
        <w:t>Cross Reference:</w:t>
      </w:r>
    </w:p>
    <w:p w14:paraId="0000001B" w14:textId="77777777" w:rsidR="00857BCF" w:rsidRPr="00CD3CFC" w:rsidRDefault="00440393">
      <w:pPr>
        <w:tabs>
          <w:tab w:val="left" w:pos="1800"/>
          <w:tab w:val="left" w:pos="3600"/>
        </w:tabs>
        <w:ind w:left="3600" w:hanging="3600"/>
        <w:rPr>
          <w:color w:val="000000"/>
          <w:sz w:val="24"/>
          <w:szCs w:val="24"/>
        </w:rPr>
      </w:pPr>
      <w:r w:rsidRPr="00CD3CFC">
        <w:rPr>
          <w:color w:val="000000"/>
          <w:sz w:val="24"/>
          <w:szCs w:val="24"/>
        </w:rPr>
        <w:t>Policy 2325</w:t>
      </w:r>
      <w:r w:rsidRPr="00CD3CFC">
        <w:rPr>
          <w:color w:val="000000"/>
          <w:sz w:val="24"/>
          <w:szCs w:val="24"/>
        </w:rPr>
        <w:tab/>
        <w:t>Driver Training Education</w:t>
      </w:r>
    </w:p>
    <w:p w14:paraId="0000001C" w14:textId="77777777" w:rsidR="00857BCF" w:rsidRPr="00CD3CFC" w:rsidRDefault="00440393">
      <w:pPr>
        <w:tabs>
          <w:tab w:val="left" w:pos="1800"/>
          <w:tab w:val="left" w:pos="3600"/>
        </w:tabs>
        <w:ind w:left="3600" w:hanging="3600"/>
        <w:rPr>
          <w:color w:val="000000"/>
          <w:sz w:val="24"/>
          <w:szCs w:val="24"/>
        </w:rPr>
      </w:pPr>
      <w:r w:rsidRPr="00CD3CFC">
        <w:rPr>
          <w:color w:val="000000"/>
          <w:sz w:val="24"/>
          <w:szCs w:val="24"/>
        </w:rPr>
        <w:t>Policy 2470</w:t>
      </w:r>
      <w:r w:rsidRPr="00CD3CFC">
        <w:rPr>
          <w:color w:val="000000"/>
          <w:sz w:val="24"/>
          <w:szCs w:val="24"/>
        </w:rPr>
        <w:tab/>
        <w:t>Self-Directed Learners</w:t>
      </w:r>
    </w:p>
    <w:p w14:paraId="5A538B14" w14:textId="04EF9C45" w:rsidR="00F415C4" w:rsidRPr="00CD3CFC" w:rsidRDefault="00F415C4">
      <w:pPr>
        <w:tabs>
          <w:tab w:val="left" w:pos="1800"/>
          <w:tab w:val="left" w:pos="3600"/>
        </w:tabs>
        <w:ind w:left="3600" w:hanging="3600"/>
        <w:rPr>
          <w:color w:val="000000"/>
          <w:sz w:val="24"/>
          <w:szCs w:val="24"/>
        </w:rPr>
      </w:pPr>
      <w:r w:rsidRPr="00CD3CFC">
        <w:rPr>
          <w:color w:val="000000"/>
          <w:sz w:val="24"/>
          <w:szCs w:val="24"/>
        </w:rPr>
        <w:t>Policy 2470-P</w:t>
      </w:r>
      <w:r w:rsidRPr="00CD3CFC">
        <w:rPr>
          <w:color w:val="000000"/>
          <w:sz w:val="24"/>
          <w:szCs w:val="24"/>
        </w:rPr>
        <w:tab/>
        <w:t>Self-Directed Learners – Procedure</w:t>
      </w:r>
    </w:p>
    <w:p w14:paraId="785F3EC4" w14:textId="6B6F3DC3" w:rsidR="00F415C4" w:rsidRPr="00CD3CFC" w:rsidRDefault="00F415C4" w:rsidP="00F415C4">
      <w:pPr>
        <w:tabs>
          <w:tab w:val="left" w:pos="1800"/>
          <w:tab w:val="left" w:pos="3600"/>
        </w:tabs>
        <w:ind w:left="3600" w:hanging="3600"/>
        <w:rPr>
          <w:color w:val="000000"/>
          <w:sz w:val="24"/>
          <w:szCs w:val="24"/>
        </w:rPr>
      </w:pPr>
      <w:r w:rsidRPr="00CD3CFC">
        <w:rPr>
          <w:color w:val="000000"/>
          <w:sz w:val="24"/>
          <w:szCs w:val="24"/>
        </w:rPr>
        <w:t>Policy 2470-F</w:t>
      </w:r>
      <w:r w:rsidRPr="00CD3CFC">
        <w:rPr>
          <w:color w:val="000000"/>
          <w:sz w:val="24"/>
          <w:szCs w:val="24"/>
        </w:rPr>
        <w:tab/>
        <w:t>Self-Directed Learners – Application for Self-Directed Learner Status</w:t>
      </w:r>
    </w:p>
    <w:p w14:paraId="0000001D" w14:textId="77777777" w:rsidR="00857BCF" w:rsidRPr="00CD3CFC" w:rsidRDefault="00440393">
      <w:pPr>
        <w:tabs>
          <w:tab w:val="left" w:pos="1800"/>
          <w:tab w:val="left" w:pos="3600"/>
        </w:tabs>
        <w:ind w:left="3600" w:hanging="3600"/>
        <w:rPr>
          <w:color w:val="000000"/>
          <w:sz w:val="24"/>
          <w:szCs w:val="24"/>
        </w:rPr>
      </w:pPr>
      <w:r w:rsidRPr="00CD3CFC">
        <w:rPr>
          <w:color w:val="000000"/>
          <w:sz w:val="24"/>
          <w:szCs w:val="24"/>
        </w:rPr>
        <w:t>Policy 7500</w:t>
      </w:r>
      <w:r w:rsidRPr="00CD3CFC">
        <w:rPr>
          <w:color w:val="000000"/>
          <w:sz w:val="24"/>
          <w:szCs w:val="24"/>
        </w:rPr>
        <w:tab/>
        <w:t>New Fees or Increase of Fees</w:t>
      </w:r>
    </w:p>
    <w:p w14:paraId="0000001E" w14:textId="77777777" w:rsidR="00857BCF" w:rsidRPr="00CD3CFC" w:rsidRDefault="00857BCF">
      <w:pPr>
        <w:tabs>
          <w:tab w:val="left" w:pos="1800"/>
          <w:tab w:val="left" w:pos="3600"/>
        </w:tabs>
        <w:ind w:left="3600" w:hanging="3600"/>
        <w:rPr>
          <w:color w:val="000000"/>
          <w:sz w:val="24"/>
          <w:szCs w:val="24"/>
        </w:rPr>
      </w:pPr>
    </w:p>
    <w:p w14:paraId="0000001F" w14:textId="77777777" w:rsidR="00857BCF" w:rsidRPr="00CD3CFC" w:rsidRDefault="00857B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20" w14:textId="77777777" w:rsidR="00857BCF" w:rsidRPr="00CD3CFC"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sidRPr="00CD3CFC">
        <w:rPr>
          <w:color w:val="000000"/>
          <w:sz w:val="24"/>
          <w:szCs w:val="24"/>
          <w:u w:val="single"/>
        </w:rPr>
        <w:t>Policy History:</w:t>
      </w:r>
    </w:p>
    <w:p w14:paraId="00000021" w14:textId="77777777" w:rsidR="00857BCF" w:rsidRPr="00CD3CFC"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sidRPr="00CD3CFC">
        <w:rPr>
          <w:color w:val="000000"/>
          <w:sz w:val="24"/>
          <w:szCs w:val="24"/>
        </w:rPr>
        <w:lastRenderedPageBreak/>
        <w:t>Adopted on: April 10, 2012</w:t>
      </w:r>
    </w:p>
    <w:p w14:paraId="00000022" w14:textId="77777777" w:rsidR="00857BCF" w:rsidRPr="00CD3CFC"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sidRPr="00CD3CFC">
        <w:rPr>
          <w:color w:val="000000"/>
          <w:sz w:val="24"/>
          <w:szCs w:val="24"/>
        </w:rPr>
        <w:t>Revised on: March 14, 2016</w:t>
      </w:r>
    </w:p>
    <w:p w14:paraId="00000023" w14:textId="77777777" w:rsidR="00857BCF" w:rsidRPr="00CD3CFC"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sidRPr="00CD3CFC">
        <w:rPr>
          <w:color w:val="000000"/>
          <w:sz w:val="24"/>
          <w:szCs w:val="24"/>
        </w:rPr>
        <w:t>Revised on: May 9, 2022</w:t>
      </w:r>
    </w:p>
    <w:p w14:paraId="00000024" w14:textId="77777777" w:rsidR="00857BCF" w:rsidRPr="00CD3CFC" w:rsidRDefault="00440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sidRPr="00CD3CFC">
        <w:rPr>
          <w:color w:val="000000"/>
          <w:sz w:val="24"/>
          <w:szCs w:val="24"/>
        </w:rPr>
        <w:t xml:space="preserve">Revised on: October </w:t>
      </w:r>
      <w:r w:rsidRPr="00CD3CFC">
        <w:rPr>
          <w:sz w:val="24"/>
          <w:szCs w:val="24"/>
        </w:rPr>
        <w:t>28</w:t>
      </w:r>
      <w:r w:rsidRPr="00CD3CFC">
        <w:rPr>
          <w:color w:val="000000"/>
          <w:sz w:val="24"/>
          <w:szCs w:val="24"/>
        </w:rPr>
        <w:t>, 2024</w:t>
      </w:r>
    </w:p>
    <w:p w14:paraId="361C4CB7" w14:textId="609C1236" w:rsidR="00F415C4" w:rsidRDefault="00F415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sidRPr="00CD3CFC">
        <w:rPr>
          <w:color w:val="000000"/>
          <w:sz w:val="24"/>
          <w:szCs w:val="24"/>
        </w:rPr>
        <w:t>Revised on: September 8, 2025</w:t>
      </w:r>
      <w:bookmarkStart w:id="0" w:name="_GoBack"/>
      <w:bookmarkEnd w:id="0"/>
    </w:p>
    <w:sectPr w:rsidR="00F415C4">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B2B76" w14:textId="77777777" w:rsidR="00814B0E" w:rsidRDefault="00814B0E">
      <w:r>
        <w:separator/>
      </w:r>
    </w:p>
  </w:endnote>
  <w:endnote w:type="continuationSeparator" w:id="0">
    <w:p w14:paraId="6CC1310F" w14:textId="77777777" w:rsidR="00814B0E" w:rsidRDefault="00814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5" w14:textId="2C321EFA" w:rsidR="00857BCF" w:rsidRDefault="00440393">
    <w:pPr>
      <w:pBdr>
        <w:top w:val="nil"/>
        <w:left w:val="nil"/>
        <w:bottom w:val="nil"/>
        <w:right w:val="nil"/>
        <w:between w:val="nil"/>
      </w:pBdr>
      <w:tabs>
        <w:tab w:val="center" w:pos="4320"/>
        <w:tab w:val="right" w:pos="8640"/>
      </w:tabs>
      <w:rPr>
        <w:color w:val="000000"/>
      </w:rPr>
    </w:pPr>
    <w:r>
      <w:rPr>
        <w:color w:val="000000"/>
      </w:rPr>
      <w:tab/>
      <w:t>3440-</w:t>
    </w:r>
    <w:r>
      <w:rPr>
        <w:color w:val="000000"/>
      </w:rPr>
      <w:fldChar w:fldCharType="begin"/>
    </w:r>
    <w:r>
      <w:rPr>
        <w:color w:val="000000"/>
      </w:rPr>
      <w:instrText>PAGE</w:instrText>
    </w:r>
    <w:r>
      <w:rPr>
        <w:color w:val="000000"/>
      </w:rPr>
      <w:fldChar w:fldCharType="separate"/>
    </w:r>
    <w:r w:rsidR="00CD3CFC">
      <w:rPr>
        <w:noProof/>
        <w:color w:val="000000"/>
      </w:rPr>
      <w:t>2</w:t>
    </w:r>
    <w:r>
      <w:rPr>
        <w:color w:val="000000"/>
      </w:rPr>
      <w:fldChar w:fldCharType="end"/>
    </w:r>
    <w:r>
      <w:rPr>
        <w:color w:val="000000"/>
      </w:rPr>
      <w:tab/>
      <w:t>(ISBA 12/15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12841F" w14:textId="77777777" w:rsidR="00814B0E" w:rsidRDefault="00814B0E">
      <w:r>
        <w:separator/>
      </w:r>
    </w:p>
  </w:footnote>
  <w:footnote w:type="continuationSeparator" w:id="0">
    <w:p w14:paraId="5A9FFC82" w14:textId="77777777" w:rsidR="00814B0E" w:rsidRDefault="00814B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BCF"/>
    <w:rsid w:val="00416545"/>
    <w:rsid w:val="00440393"/>
    <w:rsid w:val="00796475"/>
    <w:rsid w:val="00814B0E"/>
    <w:rsid w:val="00857BCF"/>
    <w:rsid w:val="0092676A"/>
    <w:rsid w:val="00CD3CFC"/>
    <w:rsid w:val="00D84AA7"/>
    <w:rsid w:val="00DF2FD9"/>
    <w:rsid w:val="00F4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3C265"/>
  <w15:docId w15:val="{90C35A62-8695-4DEC-87CF-C7A6E7D80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outlineLvl w:val="0"/>
    </w:pPr>
    <w:rPr>
      <w:sz w:val="24"/>
      <w:szCs w:val="24"/>
      <w:u w:val="single"/>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267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7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Jodi McAffee</dc:creator>
  <cp:lastModifiedBy>Stephanie Green</cp:lastModifiedBy>
  <cp:revision>4</cp:revision>
  <cp:lastPrinted>2025-08-04T18:05:00Z</cp:lastPrinted>
  <dcterms:created xsi:type="dcterms:W3CDTF">2025-08-04T18:06:00Z</dcterms:created>
  <dcterms:modified xsi:type="dcterms:W3CDTF">2025-09-08T18:09:00Z</dcterms:modified>
</cp:coreProperties>
</file>