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24.599990844727" w:right="0" w:firstLine="0"/>
        <w:jc w:val="left"/>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w:t>
      </w: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Pr>
        <w:drawing>
          <wp:inline distB="19050" distT="19050" distL="19050" distR="19050">
            <wp:extent cx="914400" cy="92506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14400" cy="925068"/>
                    </a:xfrm>
                    <a:prstGeom prst="rect"/>
                    <a:ln/>
                  </pic:spPr>
                </pic:pic>
              </a:graphicData>
            </a:graphic>
          </wp:inline>
        </w:drawing>
      </w: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7.8564643859863" w:lineRule="auto"/>
        <w:ind w:left="639.5999908447266" w:right="852.3193359375" w:firstLine="0"/>
        <w:jc w:val="center"/>
        <w:rPr>
          <w:rFonts w:ascii="Book Antiqua" w:cs="Book Antiqua" w:eastAsia="Book Antiqua" w:hAnsi="Book Antiqua"/>
          <w:b w:val="1"/>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i w:val="0"/>
          <w:smallCaps w:val="0"/>
          <w:strike w:val="0"/>
          <w:color w:val="000000"/>
          <w:sz w:val="24"/>
          <w:szCs w:val="24"/>
          <w:u w:val="none"/>
          <w:shd w:fill="auto" w:val="clear"/>
          <w:vertAlign w:val="baseline"/>
          <w:rtl w:val="0"/>
        </w:rPr>
        <w:t xml:space="preserve">G A I N F I E L D E L E M E N T A R Y &amp; P O M P E R A U G E L E M E N T A R Y F E A S I B I L T Y S T U D Y C O M M I T T E 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63525390625" w:line="248.52547645568848" w:lineRule="auto"/>
        <w:ind w:left="0" w:right="91.7626953125" w:firstLine="0"/>
        <w:jc w:val="center"/>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Pomperaug Elementary School, (PES), located at 607 Main Street South in Southbury, and Gainfield  Elementary School, (GES), located at 307 Old Field Road in Southbury, have been in use since 1967  and 1941, respectively. The District is evaluating these two schools to determine the best option(s) for  educational use of these facilities. A Feasibility Study, including plans, phasing plans and cost  estimates, will be used to determine the path forward for the District.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2.193603515625" w:line="240" w:lineRule="auto"/>
        <w:ind w:left="3307.599868774414" w:right="0" w:firstLine="0"/>
        <w:jc w:val="left"/>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Monday, May 5, 2025 Regular Meeting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3304.9600982666016" w:right="0" w:firstLine="0"/>
        <w:jc w:val="left"/>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Pomperaug High School Media Center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4935.160293579102" w:right="0" w:firstLine="0"/>
        <w:jc w:val="left"/>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5:00 PM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1202392578125" w:line="240" w:lineRule="auto"/>
        <w:ind w:left="237.36000061035156" w:right="0" w:firstLine="0"/>
        <w:jc w:val="left"/>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1. Call to Order – 5:00 p.m.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919921875" w:line="240" w:lineRule="auto"/>
        <w:ind w:left="234.4800567626953" w:right="0" w:firstLine="0"/>
        <w:jc w:val="left"/>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2. Pledge of Allegiance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1202392578125" w:line="240" w:lineRule="auto"/>
        <w:ind w:left="233.04000854492188" w:right="0" w:firstLine="0"/>
        <w:jc w:val="left"/>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3. Approval of April 22, 2025 GES/PES Feasibility Committee Study Minutes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5201416015625" w:line="240" w:lineRule="auto"/>
        <w:ind w:left="229.9200439453125" w:right="0" w:firstLine="0"/>
        <w:jc w:val="left"/>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4. Comments from Citizens </w:t>
      </w:r>
    </w:p>
    <w:tbl>
      <w:tblPr>
        <w:tblStyle w:val="Table1"/>
        <w:tblW w:w="10307.120056152344" w:type="dxa"/>
        <w:jc w:val="left"/>
        <w:tblInd w:w="561.359939575195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07.120056152344"/>
        <w:tblGridChange w:id="0">
          <w:tblGrid>
            <w:gridCol w:w="10307.120056152344"/>
          </w:tblGrid>
        </w:tblGridChange>
      </w:tblGrid>
      <w:tr>
        <w:trPr>
          <w:cantSplit w:val="0"/>
          <w:trHeight w:val="2431.80084228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126.00006103515625" w:right="84.400634765625" w:hanging="4.319915771484375"/>
              <w:jc w:val="left"/>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The Committee will recognize citizens of Middlebury and Southbury, and citizens are asked to  state their name, their town of residence, and to limit their comments to three minutes.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186279296875" w:line="248.52561950683594" w:lineRule="auto"/>
              <w:ind w:left="119.7601318359375" w:right="294.3212890625" w:firstLine="5.03997802734375"/>
              <w:jc w:val="left"/>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In accordance with Region 15 Board of Education By Law 9325 (a), Speakers are asked to  express themselves in a civil manner, with due respect for the dignity and privacy of others  who may be affected by their comments. While it is not the Board’s intent to stifle public  comment, speakers should be aware that if their statements violate the rights of others under  the law of defamation or invasion of privacy, the speaker may be held legally responsible. </w:t>
            </w:r>
          </w:p>
        </w:tc>
      </w:tr>
    </w:tbl>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97.8008270263672" w:lineRule="auto"/>
        <w:ind w:left="237.6000213623047" w:right="110.0390625" w:hanging="5.03997802734375"/>
        <w:jc w:val="left"/>
        <w:rPr>
          <w:rFonts w:ascii="Book Antiqua" w:cs="Book Antiqua" w:eastAsia="Book Antiqua" w:hAnsi="Book Antiqua"/>
          <w:b w:val="0"/>
          <w:i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4"/>
          <w:szCs w:val="24"/>
          <w:u w:val="none"/>
          <w:shd w:fill="auto" w:val="clear"/>
          <w:vertAlign w:val="baseline"/>
          <w:rtl w:val="0"/>
        </w:rPr>
        <w:t xml:space="preserve">5. Update &amp; Discussion from Tecton Architects ...............Mr. Jeff Wyszynski &amp; Antonia Ciaverella 6. Adjourn</w:t>
      </w:r>
    </w:p>
    <w:sectPr>
      <w:pgSz w:h="15840" w:w="12240" w:orient="portrait"/>
      <w:pgMar w:bottom="3662.7999877929688" w:top="720" w:left="761.5200042724609" w:right="61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