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36BFF" w14:textId="77777777" w:rsidR="00A412D9" w:rsidRPr="00EF65BB" w:rsidRDefault="00A412D9" w:rsidP="00A412D9">
      <w:pPr>
        <w:pStyle w:val="Default"/>
        <w:jc w:val="right"/>
        <w:rPr>
          <w:rFonts w:ascii="Times New Roman" w:hAnsi="Times New Roman" w:cs="Times New Roman"/>
          <w:b/>
          <w:bCs/>
        </w:rPr>
      </w:pPr>
      <w:r w:rsidRPr="00EF65BB">
        <w:rPr>
          <w:rFonts w:ascii="Times New Roman" w:hAnsi="Times New Roman" w:cs="Times New Roman"/>
          <w:b/>
          <w:bCs/>
        </w:rPr>
        <w:t>Operating Policy No. 6880</w:t>
      </w:r>
    </w:p>
    <w:p w14:paraId="4C12BDF3" w14:textId="77777777" w:rsidR="00A412D9" w:rsidRPr="00EF65BB" w:rsidRDefault="00A412D9" w:rsidP="00A412D9">
      <w:pPr>
        <w:pStyle w:val="Default"/>
        <w:jc w:val="right"/>
        <w:rPr>
          <w:rFonts w:ascii="Times New Roman" w:hAnsi="Times New Roman" w:cs="Times New Roman"/>
          <w:b/>
          <w:bCs/>
        </w:rPr>
      </w:pPr>
      <w:r w:rsidRPr="00EF65BB">
        <w:rPr>
          <w:rFonts w:ascii="Times New Roman" w:hAnsi="Times New Roman" w:cs="Times New Roman"/>
          <w:b/>
          <w:bCs/>
        </w:rPr>
        <w:t>Management Support</w:t>
      </w:r>
    </w:p>
    <w:p w14:paraId="060DE27B" w14:textId="77777777" w:rsidR="00A412D9" w:rsidRDefault="00A412D9" w:rsidP="00A412D9">
      <w:pPr>
        <w:pStyle w:val="Default"/>
        <w:rPr>
          <w:rFonts w:ascii="Times New Roman" w:hAnsi="Times New Roman" w:cs="Times New Roman"/>
        </w:rPr>
      </w:pPr>
    </w:p>
    <w:p w14:paraId="5DB63BEF" w14:textId="77777777" w:rsidR="00A412D9" w:rsidRDefault="00A412D9" w:rsidP="00A412D9">
      <w:pPr>
        <w:pStyle w:val="CM4"/>
        <w:jc w:val="center"/>
        <w:rPr>
          <w:rFonts w:ascii="Times New Roman" w:hAnsi="Times New Roman" w:cs="Times New Roman"/>
          <w:b/>
          <w:bCs/>
          <w:color w:val="000000"/>
        </w:rPr>
      </w:pPr>
      <w:r w:rsidRPr="00EF65BB">
        <w:rPr>
          <w:rFonts w:ascii="Times New Roman" w:hAnsi="Times New Roman" w:cs="Times New Roman"/>
          <w:b/>
          <w:bCs/>
          <w:color w:val="000000" w:themeColor="text1"/>
        </w:rPr>
        <w:t xml:space="preserve">ASSET </w:t>
      </w:r>
      <w:r w:rsidRPr="00EF65BB">
        <w:rPr>
          <w:rFonts w:ascii="Times New Roman" w:hAnsi="Times New Roman" w:cs="Times New Roman"/>
          <w:b/>
          <w:bCs/>
          <w:color w:val="000000"/>
        </w:rPr>
        <w:t xml:space="preserve">MANAGEMENT </w:t>
      </w:r>
    </w:p>
    <w:p w14:paraId="332622F5" w14:textId="77777777" w:rsidR="00A412D9" w:rsidRPr="006D1A1F" w:rsidRDefault="00A412D9" w:rsidP="00A412D9">
      <w:pPr>
        <w:pStyle w:val="Default"/>
      </w:pPr>
    </w:p>
    <w:p w14:paraId="5917D064" w14:textId="77777777" w:rsidR="00A412D9" w:rsidRPr="002E0B31" w:rsidRDefault="00A412D9" w:rsidP="006E1366">
      <w:pPr>
        <w:spacing w:after="0" w:line="240" w:lineRule="auto"/>
        <w:rPr>
          <w:rFonts w:ascii="Times New Roman" w:hAnsi="Times New Roman" w:cs="Times New Roman"/>
        </w:rPr>
      </w:pPr>
      <w:r w:rsidRPr="002E0B31">
        <w:rPr>
          <w:rFonts w:ascii="Times New Roman" w:hAnsi="Times New Roman" w:cs="Times New Roman"/>
          <w:sz w:val="24"/>
          <w:szCs w:val="24"/>
        </w:rPr>
        <w:t>Puget Sound Educational Service District (PSESD) embraces a workplace culture of diversity and inclusion that enables employees to feel valued and respected</w:t>
      </w:r>
      <w:r>
        <w:rPr>
          <w:rFonts w:ascii="Times New Roman" w:hAnsi="Times New Roman" w:cs="Times New Roman"/>
          <w:sz w:val="24"/>
          <w:szCs w:val="24"/>
        </w:rPr>
        <w:t xml:space="preserve">. The ESD’s workplace culture encourages engagement and innovation as well as personal and agency accountability that ensures </w:t>
      </w:r>
      <w:r w:rsidRPr="002E0B31">
        <w:rPr>
          <w:rFonts w:ascii="Times New Roman" w:hAnsi="Times New Roman" w:cs="Times New Roman"/>
          <w:sz w:val="24"/>
          <w:szCs w:val="24"/>
        </w:rPr>
        <w:t xml:space="preserve">compliance with </w:t>
      </w:r>
      <w:r>
        <w:rPr>
          <w:rFonts w:ascii="Times New Roman" w:hAnsi="Times New Roman" w:cs="Times New Roman"/>
          <w:sz w:val="24"/>
          <w:szCs w:val="24"/>
        </w:rPr>
        <w:t>f</w:t>
      </w:r>
      <w:r w:rsidRPr="002E0B31">
        <w:rPr>
          <w:rFonts w:ascii="Times New Roman" w:hAnsi="Times New Roman" w:cs="Times New Roman"/>
          <w:sz w:val="24"/>
          <w:szCs w:val="24"/>
        </w:rPr>
        <w:t xml:space="preserve">ederal, </w:t>
      </w:r>
      <w:r>
        <w:rPr>
          <w:rFonts w:ascii="Times New Roman" w:hAnsi="Times New Roman" w:cs="Times New Roman"/>
          <w:sz w:val="24"/>
          <w:szCs w:val="24"/>
        </w:rPr>
        <w:t>s</w:t>
      </w:r>
      <w:r w:rsidRPr="002E0B31">
        <w:rPr>
          <w:rFonts w:ascii="Times New Roman" w:hAnsi="Times New Roman" w:cs="Times New Roman"/>
          <w:sz w:val="24"/>
          <w:szCs w:val="24"/>
        </w:rPr>
        <w:t>tate, and</w:t>
      </w:r>
      <w:r>
        <w:rPr>
          <w:rFonts w:ascii="Times New Roman" w:hAnsi="Times New Roman" w:cs="Times New Roman"/>
          <w:sz w:val="24"/>
          <w:szCs w:val="24"/>
        </w:rPr>
        <w:t xml:space="preserve"> local</w:t>
      </w:r>
      <w:r w:rsidRPr="002E0B31">
        <w:rPr>
          <w:rFonts w:ascii="Times New Roman" w:hAnsi="Times New Roman" w:cs="Times New Roman"/>
          <w:sz w:val="24"/>
          <w:szCs w:val="24"/>
        </w:rPr>
        <w:t xml:space="preserve"> policies and procedures. </w:t>
      </w:r>
    </w:p>
    <w:p w14:paraId="2C762845" w14:textId="77777777" w:rsidR="006E1366" w:rsidRDefault="006E1366" w:rsidP="00A412D9">
      <w:pPr>
        <w:pStyle w:val="CM4"/>
        <w:ind w:right="275"/>
        <w:rPr>
          <w:rFonts w:ascii="Times New Roman" w:hAnsi="Times New Roman" w:cs="Times New Roman"/>
          <w:b/>
          <w:bCs/>
          <w:color w:val="000000"/>
        </w:rPr>
      </w:pPr>
    </w:p>
    <w:p w14:paraId="01A27FCC" w14:textId="777707E1" w:rsidR="00A412D9" w:rsidRPr="00497895" w:rsidRDefault="00A412D9" w:rsidP="00A412D9">
      <w:pPr>
        <w:pStyle w:val="CM4"/>
        <w:ind w:right="275"/>
        <w:rPr>
          <w:rFonts w:ascii="Times New Roman" w:hAnsi="Times New Roman" w:cs="Times New Roman"/>
          <w:b/>
          <w:bCs/>
          <w:color w:val="000000"/>
        </w:rPr>
      </w:pPr>
      <w:r>
        <w:rPr>
          <w:rFonts w:ascii="Times New Roman" w:hAnsi="Times New Roman" w:cs="Times New Roman"/>
          <w:b/>
          <w:bCs/>
          <w:color w:val="000000"/>
        </w:rPr>
        <w:t>Capital Assets</w:t>
      </w:r>
    </w:p>
    <w:p w14:paraId="520D6510" w14:textId="77777777" w:rsidR="00A412D9" w:rsidRPr="002E0B31" w:rsidRDefault="00A412D9" w:rsidP="00A412D9">
      <w:pPr>
        <w:pStyle w:val="CM4"/>
        <w:ind w:right="275"/>
        <w:rPr>
          <w:rFonts w:ascii="Times New Roman" w:hAnsi="Times New Roman" w:cs="Times New Roman"/>
        </w:rPr>
      </w:pPr>
      <w:r w:rsidRPr="002E0B31">
        <w:rPr>
          <w:rFonts w:ascii="Times New Roman" w:hAnsi="Times New Roman" w:cs="Times New Roman"/>
          <w:color w:val="000000"/>
        </w:rPr>
        <w:t xml:space="preserve">It is the policy of PSESD to be accountable for the stewardship of </w:t>
      </w:r>
      <w:r w:rsidRPr="002E0B31">
        <w:rPr>
          <w:rFonts w:ascii="Times New Roman" w:hAnsi="Times New Roman" w:cs="Times New Roman"/>
        </w:rPr>
        <w:t xml:space="preserve">fixed assets </w:t>
      </w:r>
      <w:r w:rsidRPr="002E0B31">
        <w:rPr>
          <w:rFonts w:ascii="Times New Roman" w:hAnsi="Times New Roman" w:cs="Times New Roman"/>
          <w:color w:val="000000"/>
        </w:rPr>
        <w:t xml:space="preserve">purchased with public monies. Property and inventory records shall be maintained on all </w:t>
      </w:r>
      <w:r w:rsidRPr="002E0B31">
        <w:rPr>
          <w:rFonts w:ascii="Times New Roman" w:hAnsi="Times New Roman" w:cs="Times New Roman"/>
        </w:rPr>
        <w:t xml:space="preserve">fixed assets </w:t>
      </w:r>
      <w:r w:rsidRPr="002E0B31">
        <w:rPr>
          <w:rFonts w:ascii="Times New Roman" w:hAnsi="Times New Roman" w:cs="Times New Roman"/>
          <w:color w:val="000000"/>
        </w:rPr>
        <w:t xml:space="preserve">under the control of PSESD. </w:t>
      </w:r>
      <w:r w:rsidRPr="002E0B31">
        <w:rPr>
          <w:rFonts w:ascii="Times New Roman" w:hAnsi="Times New Roman" w:cs="Times New Roman"/>
        </w:rPr>
        <w:t>Such records shall be updated annually.</w:t>
      </w:r>
    </w:p>
    <w:p w14:paraId="66EAFA3E" w14:textId="77777777" w:rsidR="00A412D9" w:rsidRPr="002E0B31" w:rsidRDefault="00A412D9" w:rsidP="00A412D9">
      <w:pPr>
        <w:pStyle w:val="Default"/>
        <w:rPr>
          <w:rFonts w:ascii="Times New Roman" w:hAnsi="Times New Roman" w:cs="Times New Roman"/>
        </w:rPr>
      </w:pPr>
    </w:p>
    <w:p w14:paraId="5F8F0340" w14:textId="77777777" w:rsidR="00A412D9" w:rsidRPr="00057340" w:rsidRDefault="00A412D9" w:rsidP="00A412D9">
      <w:pPr>
        <w:pStyle w:val="NormalWeb"/>
        <w:rPr>
          <w:rFonts w:ascii="Times New Roman" w:hAnsi="Times New Roman"/>
          <w:color w:val="000000"/>
          <w:sz w:val="24"/>
          <w:szCs w:val="24"/>
        </w:rPr>
      </w:pPr>
      <w:r w:rsidRPr="00057340">
        <w:rPr>
          <w:rFonts w:ascii="Times New Roman" w:hAnsi="Times New Roman"/>
          <w:color w:val="000000"/>
          <w:sz w:val="24"/>
          <w:szCs w:val="24"/>
        </w:rPr>
        <w:t>For purpose of this policy, “capital assets” will mean land, improvements to land, easements, building improvements, vehicles, machinery, equipment, works of art and historical treasures, infrastructure and all other tangible and intangible assets that are used in operations and that have initial useful lives extending beyond a single reporting period which:</w:t>
      </w:r>
      <w:r w:rsidRPr="00057340">
        <w:rPr>
          <w:rFonts w:ascii="Times New Roman" w:hAnsi="Times New Roman"/>
          <w:color w:val="000000"/>
          <w:sz w:val="24"/>
          <w:szCs w:val="24"/>
        </w:rPr>
        <w:br/>
        <w:t> </w:t>
      </w:r>
    </w:p>
    <w:p w14:paraId="0C7C8937" w14:textId="77777777" w:rsidR="00A412D9" w:rsidRPr="00057340" w:rsidRDefault="00A412D9" w:rsidP="00A412D9">
      <w:pPr>
        <w:numPr>
          <w:ilvl w:val="0"/>
          <w:numId w:val="3"/>
        </w:numPr>
        <w:spacing w:after="0" w:line="240" w:lineRule="auto"/>
        <w:rPr>
          <w:rFonts w:ascii="Times New Roman" w:hAnsi="Times New Roman" w:cs="Times New Roman"/>
          <w:color w:val="000000"/>
          <w:sz w:val="24"/>
          <w:szCs w:val="24"/>
        </w:rPr>
      </w:pPr>
      <w:r w:rsidRPr="00057340">
        <w:rPr>
          <w:rFonts w:ascii="Times New Roman" w:hAnsi="Times New Roman" w:cs="Times New Roman"/>
          <w:color w:val="000000"/>
          <w:sz w:val="24"/>
          <w:szCs w:val="24"/>
        </w:rPr>
        <w:t>Retains its shape and appearance with use;</w:t>
      </w:r>
      <w:r w:rsidRPr="00057340">
        <w:rPr>
          <w:rFonts w:ascii="Times New Roman" w:hAnsi="Times New Roman" w:cs="Times New Roman"/>
          <w:color w:val="000000"/>
          <w:sz w:val="24"/>
          <w:szCs w:val="24"/>
        </w:rPr>
        <w:br/>
        <w:t> </w:t>
      </w:r>
    </w:p>
    <w:p w14:paraId="20A8CA17" w14:textId="77777777" w:rsidR="00A412D9" w:rsidRPr="00057340" w:rsidRDefault="00A412D9" w:rsidP="00A412D9">
      <w:pPr>
        <w:numPr>
          <w:ilvl w:val="0"/>
          <w:numId w:val="3"/>
        </w:numPr>
        <w:spacing w:after="0" w:line="240" w:lineRule="auto"/>
        <w:rPr>
          <w:rFonts w:ascii="Times New Roman" w:hAnsi="Times New Roman" w:cs="Times New Roman"/>
          <w:color w:val="000000"/>
          <w:sz w:val="24"/>
          <w:szCs w:val="24"/>
        </w:rPr>
      </w:pPr>
      <w:r w:rsidRPr="00057340">
        <w:rPr>
          <w:rFonts w:ascii="Times New Roman" w:hAnsi="Times New Roman" w:cs="Times New Roman"/>
          <w:color w:val="000000"/>
          <w:sz w:val="24"/>
          <w:szCs w:val="24"/>
        </w:rPr>
        <w:t>Is nonexpendable, meaning if the item is damaged or some of its parts are lost or worn out, it may be more feasible to repair it than to replace it with an entirely new item.</w:t>
      </w:r>
      <w:r w:rsidRPr="00057340">
        <w:rPr>
          <w:rFonts w:ascii="Times New Roman" w:hAnsi="Times New Roman" w:cs="Times New Roman"/>
          <w:color w:val="000000"/>
          <w:sz w:val="24"/>
          <w:szCs w:val="24"/>
        </w:rPr>
        <w:br/>
        <w:t> </w:t>
      </w:r>
    </w:p>
    <w:p w14:paraId="065D964C" w14:textId="77777777" w:rsidR="00A412D9" w:rsidRPr="00057340" w:rsidRDefault="00A412D9" w:rsidP="00A412D9">
      <w:pPr>
        <w:numPr>
          <w:ilvl w:val="0"/>
          <w:numId w:val="3"/>
        </w:numPr>
        <w:spacing w:after="0" w:line="240" w:lineRule="auto"/>
        <w:rPr>
          <w:rFonts w:ascii="Times New Roman" w:hAnsi="Times New Roman" w:cs="Times New Roman"/>
          <w:color w:val="000000"/>
          <w:sz w:val="24"/>
          <w:szCs w:val="24"/>
        </w:rPr>
      </w:pPr>
      <w:r w:rsidRPr="00057340">
        <w:rPr>
          <w:rFonts w:ascii="Times New Roman" w:hAnsi="Times New Roman" w:cs="Times New Roman"/>
          <w:color w:val="000000"/>
          <w:sz w:val="24"/>
          <w:szCs w:val="24"/>
        </w:rPr>
        <w:t>It does not lose its identity when incorporated into a more complex unit;</w:t>
      </w:r>
      <w:r w:rsidRPr="00057340">
        <w:rPr>
          <w:rFonts w:ascii="Times New Roman" w:hAnsi="Times New Roman" w:cs="Times New Roman"/>
          <w:color w:val="000000"/>
          <w:sz w:val="24"/>
          <w:szCs w:val="24"/>
        </w:rPr>
        <w:br/>
        <w:t> </w:t>
      </w:r>
    </w:p>
    <w:p w14:paraId="4F5B8F17" w14:textId="77777777" w:rsidR="00A412D9" w:rsidRPr="00057340" w:rsidRDefault="00A412D9" w:rsidP="00A412D9">
      <w:pPr>
        <w:numPr>
          <w:ilvl w:val="0"/>
          <w:numId w:val="3"/>
        </w:numPr>
        <w:spacing w:after="0" w:line="240" w:lineRule="auto"/>
        <w:rPr>
          <w:rFonts w:ascii="Times New Roman" w:hAnsi="Times New Roman" w:cs="Times New Roman"/>
          <w:color w:val="000000"/>
          <w:sz w:val="24"/>
          <w:szCs w:val="24"/>
        </w:rPr>
      </w:pPr>
      <w:r w:rsidRPr="00057340">
        <w:rPr>
          <w:rFonts w:ascii="Times New Roman" w:hAnsi="Times New Roman" w:cs="Times New Roman"/>
          <w:color w:val="000000"/>
          <w:sz w:val="24"/>
          <w:szCs w:val="24"/>
        </w:rPr>
        <w:t>Is valued no less than $10,000 unless a lesser amount is set by the district; and</w:t>
      </w:r>
      <w:r w:rsidRPr="00057340">
        <w:rPr>
          <w:rFonts w:ascii="Times New Roman" w:hAnsi="Times New Roman" w:cs="Times New Roman"/>
          <w:color w:val="000000"/>
          <w:sz w:val="24"/>
          <w:szCs w:val="24"/>
        </w:rPr>
        <w:br/>
        <w:t> </w:t>
      </w:r>
    </w:p>
    <w:p w14:paraId="068D4904" w14:textId="77777777" w:rsidR="00A412D9" w:rsidRPr="00057340" w:rsidRDefault="00A412D9" w:rsidP="00A412D9">
      <w:pPr>
        <w:numPr>
          <w:ilvl w:val="0"/>
          <w:numId w:val="3"/>
        </w:numPr>
        <w:spacing w:after="0" w:line="240" w:lineRule="auto"/>
        <w:rPr>
          <w:rFonts w:ascii="Times New Roman" w:hAnsi="Times New Roman" w:cs="Times New Roman"/>
          <w:color w:val="000000"/>
          <w:sz w:val="24"/>
          <w:szCs w:val="24"/>
        </w:rPr>
      </w:pPr>
      <w:r w:rsidRPr="00057340">
        <w:rPr>
          <w:rFonts w:ascii="Times New Roman" w:hAnsi="Times New Roman" w:cs="Times New Roman"/>
          <w:color w:val="000000"/>
          <w:sz w:val="24"/>
          <w:szCs w:val="24"/>
        </w:rPr>
        <w:t>Has a life expectancy of at least one year.</w:t>
      </w:r>
    </w:p>
    <w:p w14:paraId="7536C1E4" w14:textId="77777777" w:rsidR="00A412D9" w:rsidRPr="00057340" w:rsidRDefault="00A412D9" w:rsidP="00A412D9">
      <w:pPr>
        <w:pStyle w:val="NormalWeb"/>
        <w:rPr>
          <w:rFonts w:ascii="Times New Roman" w:hAnsi="Times New Roman"/>
          <w:color w:val="000000"/>
          <w:sz w:val="24"/>
          <w:szCs w:val="24"/>
        </w:rPr>
      </w:pPr>
      <w:r w:rsidRPr="00057340">
        <w:rPr>
          <w:rFonts w:ascii="Times New Roman" w:hAnsi="Times New Roman"/>
          <w:color w:val="000000"/>
          <w:sz w:val="24"/>
          <w:szCs w:val="24"/>
        </w:rPr>
        <w:t> </w:t>
      </w:r>
    </w:p>
    <w:p w14:paraId="50B944CF" w14:textId="77777777" w:rsidR="00A412D9" w:rsidRPr="00057340" w:rsidRDefault="00A412D9" w:rsidP="00A412D9">
      <w:pPr>
        <w:pStyle w:val="NormalWeb"/>
        <w:rPr>
          <w:rFonts w:ascii="Times New Roman" w:hAnsi="Times New Roman"/>
          <w:color w:val="000000"/>
          <w:sz w:val="24"/>
          <w:szCs w:val="24"/>
        </w:rPr>
      </w:pPr>
      <w:r w:rsidRPr="00057340">
        <w:rPr>
          <w:rFonts w:ascii="Times New Roman" w:hAnsi="Times New Roman"/>
          <w:color w:val="000000"/>
          <w:sz w:val="24"/>
          <w:szCs w:val="24"/>
        </w:rPr>
        <w:t>No equipment will be removed for personal or non-school use.</w:t>
      </w:r>
    </w:p>
    <w:p w14:paraId="6E919223" w14:textId="77777777" w:rsidR="00A412D9" w:rsidRDefault="00A412D9" w:rsidP="00A412D9">
      <w:pPr>
        <w:pStyle w:val="Default"/>
        <w:rPr>
          <w:rFonts w:ascii="Times New Roman" w:hAnsi="Times New Roman" w:cs="Times New Roman"/>
        </w:rPr>
      </w:pPr>
    </w:p>
    <w:p w14:paraId="61A039DB" w14:textId="77777777" w:rsidR="00A412D9" w:rsidRPr="002E0B31" w:rsidRDefault="00A412D9" w:rsidP="00A412D9">
      <w:pPr>
        <w:pStyle w:val="Default"/>
        <w:rPr>
          <w:rFonts w:ascii="Times New Roman" w:hAnsi="Times New Roman" w:cs="Times New Roman"/>
        </w:rPr>
      </w:pPr>
      <w:r w:rsidRPr="002E0B31">
        <w:rPr>
          <w:rFonts w:ascii="Times New Roman" w:hAnsi="Times New Roman" w:cs="Times New Roman"/>
        </w:rPr>
        <w:t>The following fixed assets shall be recorded in PSESD’s inventory records:</w:t>
      </w:r>
    </w:p>
    <w:p w14:paraId="5AD86B30" w14:textId="77777777" w:rsidR="00A412D9" w:rsidRPr="002E0B31" w:rsidRDefault="00A412D9" w:rsidP="00A412D9">
      <w:pPr>
        <w:pStyle w:val="Default"/>
        <w:rPr>
          <w:rFonts w:ascii="Times New Roman" w:hAnsi="Times New Roman" w:cs="Times New Roman"/>
        </w:rPr>
      </w:pPr>
    </w:p>
    <w:p w14:paraId="3B94E81B" w14:textId="77777777" w:rsidR="00A412D9" w:rsidRPr="002E0B31" w:rsidRDefault="00A412D9" w:rsidP="00A412D9">
      <w:pPr>
        <w:pStyle w:val="Default"/>
        <w:numPr>
          <w:ilvl w:val="0"/>
          <w:numId w:val="1"/>
        </w:numPr>
        <w:rPr>
          <w:rFonts w:ascii="Times New Roman" w:hAnsi="Times New Roman" w:cs="Times New Roman"/>
        </w:rPr>
      </w:pPr>
      <w:r w:rsidRPr="002E0B31">
        <w:rPr>
          <w:rFonts w:ascii="Times New Roman" w:hAnsi="Times New Roman" w:cs="Times New Roman"/>
        </w:rPr>
        <w:t>General fixed assets including land, buildings, and other assets with a unit acquisition cost of $5,000 or more.</w:t>
      </w:r>
    </w:p>
    <w:p w14:paraId="5A991B37" w14:textId="77777777" w:rsidR="00A412D9" w:rsidRPr="002E0B31" w:rsidRDefault="00A412D9" w:rsidP="00A412D9">
      <w:pPr>
        <w:pStyle w:val="Default"/>
        <w:numPr>
          <w:ilvl w:val="0"/>
          <w:numId w:val="1"/>
        </w:numPr>
        <w:rPr>
          <w:rFonts w:ascii="Times New Roman" w:hAnsi="Times New Roman" w:cs="Times New Roman"/>
        </w:rPr>
      </w:pPr>
      <w:r w:rsidRPr="002E0B31">
        <w:rPr>
          <w:rFonts w:ascii="Times New Roman" w:hAnsi="Times New Roman" w:cs="Times New Roman"/>
        </w:rPr>
        <w:t>Fixed assets that are considered “attractive” or “sensitive” to theft with a unit acquisition cost of $500 or more.</w:t>
      </w:r>
    </w:p>
    <w:p w14:paraId="3A425F07" w14:textId="77777777" w:rsidR="00A412D9" w:rsidRDefault="00A412D9" w:rsidP="00A412D9">
      <w:pPr>
        <w:pStyle w:val="Default"/>
        <w:rPr>
          <w:rFonts w:ascii="Times New Roman" w:hAnsi="Times New Roman" w:cs="Times New Roman"/>
          <w:color w:val="auto"/>
        </w:rPr>
      </w:pPr>
    </w:p>
    <w:p w14:paraId="3EB5EACB" w14:textId="507BD90B" w:rsidR="00A412D9" w:rsidRPr="002E0B31" w:rsidRDefault="00A412D9" w:rsidP="00A412D9">
      <w:pPr>
        <w:pStyle w:val="Default"/>
        <w:rPr>
          <w:rFonts w:ascii="Times New Roman" w:hAnsi="Times New Roman" w:cs="Times New Roman"/>
          <w:color w:val="auto"/>
        </w:rPr>
      </w:pPr>
      <w:r w:rsidRPr="002E0B31">
        <w:rPr>
          <w:rFonts w:ascii="Times New Roman" w:hAnsi="Times New Roman" w:cs="Times New Roman"/>
          <w:color w:val="auto"/>
        </w:rPr>
        <w:t>For financial reporting purposes, the ESD shall only capitalize, depreciate, and report those assets with an acquisition cost equal to or in excess of $50,000.</w:t>
      </w:r>
      <w:r>
        <w:rPr>
          <w:rFonts w:ascii="Times New Roman" w:hAnsi="Times New Roman" w:cs="Times New Roman"/>
          <w:color w:val="auto"/>
        </w:rPr>
        <w:t xml:space="preserve"> </w:t>
      </w:r>
    </w:p>
    <w:p w14:paraId="63FD311B" w14:textId="77777777" w:rsidR="00A412D9" w:rsidRPr="002E0B31" w:rsidRDefault="00A412D9" w:rsidP="00A412D9">
      <w:pPr>
        <w:pStyle w:val="Default"/>
        <w:rPr>
          <w:rFonts w:ascii="Times New Roman" w:hAnsi="Times New Roman" w:cs="Times New Roman"/>
        </w:rPr>
      </w:pPr>
    </w:p>
    <w:p w14:paraId="0351BDF7" w14:textId="77777777" w:rsidR="00A412D9" w:rsidRDefault="00A412D9" w:rsidP="00A412D9">
      <w:pPr>
        <w:pStyle w:val="Default"/>
        <w:rPr>
          <w:rFonts w:ascii="Times New Roman" w:hAnsi="Times New Roman" w:cs="Times New Roman"/>
        </w:rPr>
      </w:pPr>
      <w:r>
        <w:rPr>
          <w:rFonts w:ascii="Times New Roman" w:hAnsi="Times New Roman" w:cs="Times New Roman"/>
        </w:rPr>
        <w:t xml:space="preserve">PSESD </w:t>
      </w:r>
      <w:r w:rsidRPr="002E0B31">
        <w:rPr>
          <w:rFonts w:ascii="Times New Roman" w:hAnsi="Times New Roman" w:cs="Times New Roman"/>
        </w:rPr>
        <w:t xml:space="preserve">will comply with state, federal, and grantor requirements regarding disposal or surplus of fixed assets. </w:t>
      </w:r>
    </w:p>
    <w:p w14:paraId="71F16872" w14:textId="1F4455D4" w:rsidR="00A412D9" w:rsidRDefault="00A412D9">
      <w:pPr>
        <w:rPr>
          <w:rFonts w:ascii="Times New Roman" w:hAnsi="Times New Roman" w:cs="Times New Roman"/>
          <w:color w:val="000000"/>
          <w:sz w:val="24"/>
          <w:szCs w:val="24"/>
        </w:rPr>
      </w:pPr>
      <w:r>
        <w:rPr>
          <w:rFonts w:ascii="Times New Roman" w:hAnsi="Times New Roman" w:cs="Times New Roman"/>
        </w:rPr>
        <w:br w:type="page"/>
      </w:r>
    </w:p>
    <w:p w14:paraId="1B9D6808" w14:textId="77777777" w:rsidR="00A412D9" w:rsidRDefault="00A412D9" w:rsidP="00A412D9">
      <w:pPr>
        <w:pStyle w:val="Default"/>
        <w:rPr>
          <w:rFonts w:ascii="Times New Roman" w:hAnsi="Times New Roman" w:cs="Times New Roman"/>
        </w:rPr>
      </w:pPr>
    </w:p>
    <w:p w14:paraId="5540D4B4" w14:textId="77777777" w:rsidR="00A412D9" w:rsidRDefault="00A412D9" w:rsidP="00A412D9">
      <w:pPr>
        <w:pStyle w:val="Default"/>
        <w:rPr>
          <w:rFonts w:ascii="Times New Roman" w:hAnsi="Times New Roman" w:cs="Times New Roman"/>
        </w:rPr>
      </w:pPr>
      <w:r w:rsidRPr="16FD7237">
        <w:rPr>
          <w:rFonts w:ascii="Times New Roman" w:hAnsi="Times New Roman" w:cs="Times New Roman"/>
          <w:b/>
          <w:bCs/>
        </w:rPr>
        <w:t>Leases and Subscription-based information technology arrangements (SBITAs)</w:t>
      </w:r>
    </w:p>
    <w:p w14:paraId="7BD01597" w14:textId="77777777" w:rsidR="00A412D9" w:rsidRDefault="00A412D9" w:rsidP="00A412D9">
      <w:pPr>
        <w:pStyle w:val="Default"/>
        <w:rPr>
          <w:rFonts w:ascii="Times New Roman" w:hAnsi="Times New Roman" w:cs="Times New Roman"/>
        </w:rPr>
      </w:pPr>
    </w:p>
    <w:p w14:paraId="332CCE8A" w14:textId="00ACAF5C" w:rsidR="00A412D9" w:rsidRDefault="00A412D9" w:rsidP="00A412D9">
      <w:pPr>
        <w:pStyle w:val="Default"/>
        <w:rPr>
          <w:rFonts w:ascii="Times New Roman" w:hAnsi="Times New Roman" w:cs="Times New Roman"/>
        </w:rPr>
      </w:pPr>
      <w:r w:rsidRPr="00FC354A">
        <w:rPr>
          <w:rFonts w:ascii="Times New Roman" w:hAnsi="Times New Roman" w:cs="Times New Roman"/>
        </w:rPr>
        <w:t xml:space="preserve">Leases </w:t>
      </w:r>
      <w:r>
        <w:rPr>
          <w:rFonts w:ascii="Times New Roman" w:hAnsi="Times New Roman" w:cs="Times New Roman"/>
        </w:rPr>
        <w:t xml:space="preserve">and SBITAs (collectively, “right-to-use contracts”) </w:t>
      </w:r>
      <w:r w:rsidRPr="00FC354A">
        <w:rPr>
          <w:rFonts w:ascii="Times New Roman" w:hAnsi="Times New Roman" w:cs="Times New Roman"/>
        </w:rPr>
        <w:t xml:space="preserve">shall be accounted for under generally accepted accounting principles. </w:t>
      </w:r>
      <w:r>
        <w:rPr>
          <w:rFonts w:ascii="Times New Roman" w:hAnsi="Times New Roman" w:cs="Times New Roman"/>
        </w:rPr>
        <w:t xml:space="preserve">A right-to-use contract </w:t>
      </w:r>
      <w:r w:rsidRPr="00FC354A">
        <w:rPr>
          <w:rFonts w:ascii="Times New Roman" w:hAnsi="Times New Roman" w:cs="Times New Roman"/>
        </w:rPr>
        <w:t xml:space="preserve">with total payments over the </w:t>
      </w:r>
      <w:r>
        <w:rPr>
          <w:rFonts w:ascii="Times New Roman" w:hAnsi="Times New Roman" w:cs="Times New Roman"/>
        </w:rPr>
        <w:t>contract</w:t>
      </w:r>
      <w:r w:rsidRPr="00FC354A">
        <w:rPr>
          <w:rFonts w:ascii="Times New Roman" w:hAnsi="Times New Roman" w:cs="Times New Roman"/>
        </w:rPr>
        <w:t xml:space="preserve"> term of $50,000 or greater shall be capitalized if the following conditions are met:</w:t>
      </w:r>
    </w:p>
    <w:p w14:paraId="3F6F51B1" w14:textId="77777777" w:rsidR="00A412D9" w:rsidRPr="00FC354A" w:rsidRDefault="00A412D9" w:rsidP="00A412D9">
      <w:pPr>
        <w:pStyle w:val="Default"/>
        <w:rPr>
          <w:rFonts w:ascii="Times New Roman" w:hAnsi="Times New Roman" w:cs="Times New Roman"/>
        </w:rPr>
      </w:pPr>
    </w:p>
    <w:p w14:paraId="58FC531B" w14:textId="77777777" w:rsidR="00A412D9" w:rsidRPr="00FC354A" w:rsidRDefault="00A412D9" w:rsidP="00A412D9">
      <w:pPr>
        <w:pStyle w:val="Default"/>
        <w:numPr>
          <w:ilvl w:val="0"/>
          <w:numId w:val="2"/>
        </w:numPr>
        <w:rPr>
          <w:rFonts w:ascii="Times New Roman" w:hAnsi="Times New Roman" w:cs="Times New Roman"/>
        </w:rPr>
      </w:pPr>
      <w:r w:rsidRPr="00FC354A">
        <w:rPr>
          <w:rFonts w:ascii="Times New Roman" w:hAnsi="Times New Roman" w:cs="Times New Roman"/>
        </w:rPr>
        <w:t xml:space="preserve">The </w:t>
      </w:r>
      <w:r>
        <w:rPr>
          <w:rFonts w:ascii="Times New Roman" w:hAnsi="Times New Roman" w:cs="Times New Roman"/>
        </w:rPr>
        <w:t>contract</w:t>
      </w:r>
      <w:r w:rsidRPr="00FC354A">
        <w:rPr>
          <w:rFonts w:ascii="Times New Roman" w:hAnsi="Times New Roman" w:cs="Times New Roman"/>
        </w:rPr>
        <w:t xml:space="preserve"> is a right-to-use rather than a </w:t>
      </w:r>
      <w:r>
        <w:rPr>
          <w:rFonts w:ascii="Times New Roman" w:hAnsi="Times New Roman" w:cs="Times New Roman"/>
        </w:rPr>
        <w:t>financed purchase</w:t>
      </w:r>
      <w:r w:rsidRPr="00FC354A">
        <w:rPr>
          <w:rFonts w:ascii="Times New Roman" w:hAnsi="Times New Roman" w:cs="Times New Roman"/>
        </w:rPr>
        <w:t xml:space="preserve"> agreement.</w:t>
      </w:r>
    </w:p>
    <w:p w14:paraId="630D1DE1" w14:textId="51C68A90" w:rsidR="00A412D9" w:rsidRPr="00E1020C" w:rsidRDefault="00A412D9" w:rsidP="00A412D9">
      <w:pPr>
        <w:pStyle w:val="Default"/>
        <w:numPr>
          <w:ilvl w:val="0"/>
          <w:numId w:val="2"/>
        </w:numPr>
        <w:spacing w:after="240"/>
        <w:rPr>
          <w:rFonts w:ascii="Times New Roman" w:hAnsi="Times New Roman" w:cs="Times New Roman"/>
        </w:rPr>
      </w:pPr>
      <w:r w:rsidRPr="00FC354A">
        <w:rPr>
          <w:rFonts w:ascii="Times New Roman" w:hAnsi="Times New Roman" w:cs="Times New Roman"/>
        </w:rPr>
        <w:t>The non</w:t>
      </w:r>
      <w:r w:rsidR="00E10029">
        <w:rPr>
          <w:rFonts w:ascii="Times New Roman" w:hAnsi="Times New Roman" w:cs="Times New Roman"/>
        </w:rPr>
        <w:t>-</w:t>
      </w:r>
      <w:r w:rsidRPr="00FC354A">
        <w:rPr>
          <w:rFonts w:ascii="Times New Roman" w:hAnsi="Times New Roman" w:cs="Times New Roman"/>
        </w:rPr>
        <w:t xml:space="preserve">cancellable </w:t>
      </w:r>
      <w:r>
        <w:rPr>
          <w:rFonts w:ascii="Times New Roman" w:hAnsi="Times New Roman" w:cs="Times New Roman"/>
        </w:rPr>
        <w:t>contract</w:t>
      </w:r>
      <w:r w:rsidRPr="00FC354A">
        <w:rPr>
          <w:rFonts w:ascii="Times New Roman" w:hAnsi="Times New Roman" w:cs="Times New Roman"/>
        </w:rPr>
        <w:t xml:space="preserve"> term is greater than 12 months. The </w:t>
      </w:r>
      <w:r>
        <w:rPr>
          <w:rFonts w:ascii="Times New Roman" w:hAnsi="Times New Roman" w:cs="Times New Roman"/>
        </w:rPr>
        <w:t>contract</w:t>
      </w:r>
      <w:r w:rsidRPr="00FC354A">
        <w:rPr>
          <w:rFonts w:ascii="Times New Roman" w:hAnsi="Times New Roman" w:cs="Times New Roman"/>
        </w:rPr>
        <w:t xml:space="preserve"> term includes any periods in which </w:t>
      </w:r>
      <w:r>
        <w:rPr>
          <w:rFonts w:ascii="Times New Roman" w:hAnsi="Times New Roman" w:cs="Times New Roman"/>
        </w:rPr>
        <w:t>either party</w:t>
      </w:r>
      <w:r w:rsidRPr="00FC354A">
        <w:rPr>
          <w:rFonts w:ascii="Times New Roman" w:hAnsi="Times New Roman" w:cs="Times New Roman"/>
        </w:rPr>
        <w:t xml:space="preserve"> has the sole option to extend the </w:t>
      </w:r>
      <w:r>
        <w:rPr>
          <w:rFonts w:ascii="Times New Roman" w:hAnsi="Times New Roman" w:cs="Times New Roman"/>
        </w:rPr>
        <w:t>contract</w:t>
      </w:r>
      <w:r w:rsidRPr="00FC354A">
        <w:rPr>
          <w:rFonts w:ascii="Times New Roman" w:hAnsi="Times New Roman" w:cs="Times New Roman"/>
        </w:rPr>
        <w:t xml:space="preserve"> (if reasonably certain the option will be exercised). The </w:t>
      </w:r>
      <w:r>
        <w:rPr>
          <w:rFonts w:ascii="Times New Roman" w:hAnsi="Times New Roman" w:cs="Times New Roman"/>
        </w:rPr>
        <w:t>contract</w:t>
      </w:r>
      <w:r w:rsidRPr="00FC354A">
        <w:rPr>
          <w:rFonts w:ascii="Times New Roman" w:hAnsi="Times New Roman" w:cs="Times New Roman"/>
        </w:rPr>
        <w:t xml:space="preserve"> term also includes any periods in which </w:t>
      </w:r>
      <w:r>
        <w:rPr>
          <w:rFonts w:ascii="Times New Roman" w:hAnsi="Times New Roman" w:cs="Times New Roman"/>
        </w:rPr>
        <w:t>either party</w:t>
      </w:r>
      <w:r w:rsidRPr="00FC354A">
        <w:rPr>
          <w:rFonts w:ascii="Times New Roman" w:hAnsi="Times New Roman" w:cs="Times New Roman"/>
        </w:rPr>
        <w:t xml:space="preserve"> has the sole option to terminate the </w:t>
      </w:r>
      <w:r>
        <w:rPr>
          <w:rFonts w:ascii="Times New Roman" w:hAnsi="Times New Roman" w:cs="Times New Roman"/>
        </w:rPr>
        <w:t>contract</w:t>
      </w:r>
      <w:r w:rsidRPr="00FC354A">
        <w:rPr>
          <w:rFonts w:ascii="Times New Roman" w:hAnsi="Times New Roman" w:cs="Times New Roman"/>
        </w:rPr>
        <w:t xml:space="preserve"> (if reasonably certain the option will not be exercised). Periods in which </w:t>
      </w:r>
      <w:r>
        <w:rPr>
          <w:rFonts w:ascii="Times New Roman" w:hAnsi="Times New Roman" w:cs="Times New Roman"/>
        </w:rPr>
        <w:t>either party</w:t>
      </w:r>
      <w:r w:rsidRPr="00FC354A">
        <w:rPr>
          <w:rFonts w:ascii="Times New Roman" w:hAnsi="Times New Roman" w:cs="Times New Roman"/>
        </w:rPr>
        <w:t xml:space="preserve"> have an option to terminate the </w:t>
      </w:r>
      <w:r>
        <w:rPr>
          <w:rFonts w:ascii="Times New Roman" w:hAnsi="Times New Roman" w:cs="Times New Roman"/>
        </w:rPr>
        <w:t>contract</w:t>
      </w:r>
      <w:r w:rsidRPr="00FC354A">
        <w:rPr>
          <w:rFonts w:ascii="Times New Roman" w:hAnsi="Times New Roman" w:cs="Times New Roman"/>
        </w:rPr>
        <w:t xml:space="preserve"> without permission from the other party (or if both parties have to agree to extend) are cancelable periods and are excluded from the </w:t>
      </w:r>
      <w:r>
        <w:rPr>
          <w:rFonts w:ascii="Times New Roman" w:hAnsi="Times New Roman" w:cs="Times New Roman"/>
        </w:rPr>
        <w:t>contract</w:t>
      </w:r>
      <w:r w:rsidRPr="00FC354A">
        <w:rPr>
          <w:rFonts w:ascii="Times New Roman" w:hAnsi="Times New Roman" w:cs="Times New Roman"/>
        </w:rPr>
        <w:t xml:space="preserve"> term regardless of whether it is reasonably certain that option will be exercised.</w:t>
      </w:r>
    </w:p>
    <w:p w14:paraId="0940303C" w14:textId="77777777" w:rsidR="00A412D9" w:rsidRPr="008740A1" w:rsidRDefault="00A412D9" w:rsidP="00A412D9">
      <w:pPr>
        <w:pStyle w:val="Default"/>
        <w:rPr>
          <w:rFonts w:ascii="Times New Roman" w:hAnsi="Times New Roman" w:cs="Times New Roman"/>
        </w:rPr>
      </w:pPr>
      <w:r>
        <w:rPr>
          <w:rFonts w:ascii="Times New Roman" w:hAnsi="Times New Roman" w:cs="Times New Roman"/>
        </w:rPr>
        <w:t xml:space="preserve">Leases or SBITAs not exceeding the threshold but in aggregate exceeding one percent (1.00%) of the previous fiscal year’s total noncurrent liabilities are evaluated annually and reported if deemed material. </w:t>
      </w:r>
    </w:p>
    <w:p w14:paraId="22B2397B" w14:textId="2C9DB6AA" w:rsidR="00A412D9" w:rsidRDefault="00A412D9" w:rsidP="00A412D9">
      <w:pPr>
        <w:rPr>
          <w:rFonts w:ascii="Times New Roman" w:hAnsi="Times New Roman" w:cs="Times New Roman"/>
          <w:color w:val="000000"/>
          <w:sz w:val="24"/>
          <w:szCs w:val="24"/>
        </w:rPr>
      </w:pPr>
    </w:p>
    <w:p w14:paraId="2A53EB3E" w14:textId="77777777" w:rsidR="00A412D9" w:rsidRPr="002E0B31" w:rsidRDefault="00A412D9" w:rsidP="00A412D9">
      <w:pPr>
        <w:pStyle w:val="CM4"/>
        <w:ind w:right="6907"/>
        <w:rPr>
          <w:rFonts w:ascii="Times New Roman" w:hAnsi="Times New Roman" w:cs="Times New Roman"/>
          <w:color w:val="000000"/>
        </w:rPr>
      </w:pPr>
      <w:r w:rsidRPr="002E0B31">
        <w:rPr>
          <w:rFonts w:ascii="Times New Roman" w:hAnsi="Times New Roman" w:cs="Times New Roman"/>
          <w:color w:val="000000"/>
        </w:rPr>
        <w:t>Adopted: January 2012</w:t>
      </w:r>
    </w:p>
    <w:p w14:paraId="70746EE8" w14:textId="77777777" w:rsidR="00A412D9" w:rsidRPr="002E0B31" w:rsidRDefault="00A412D9" w:rsidP="00A412D9">
      <w:pPr>
        <w:pStyle w:val="CM4"/>
        <w:rPr>
          <w:rFonts w:ascii="Times New Roman" w:hAnsi="Times New Roman" w:cs="Times New Roman"/>
          <w:color w:val="000000"/>
        </w:rPr>
      </w:pPr>
      <w:r w:rsidRPr="002E0B31">
        <w:rPr>
          <w:rFonts w:ascii="Times New Roman" w:hAnsi="Times New Roman" w:cs="Times New Roman"/>
          <w:color w:val="000000"/>
        </w:rPr>
        <w:t>Revised:  November 2013</w:t>
      </w:r>
    </w:p>
    <w:p w14:paraId="3DCF9BC3" w14:textId="77777777" w:rsidR="00A412D9" w:rsidRPr="002E0B31" w:rsidRDefault="00A412D9" w:rsidP="00A412D9">
      <w:pPr>
        <w:pStyle w:val="CM4"/>
        <w:ind w:right="6907"/>
        <w:rPr>
          <w:rFonts w:ascii="Times New Roman" w:hAnsi="Times New Roman" w:cs="Times New Roman"/>
        </w:rPr>
      </w:pPr>
      <w:r w:rsidRPr="002E0B31">
        <w:rPr>
          <w:rFonts w:ascii="Times New Roman" w:hAnsi="Times New Roman" w:cs="Times New Roman"/>
          <w:color w:val="000000"/>
        </w:rPr>
        <w:t xml:space="preserve">Revised:  </w:t>
      </w:r>
      <w:r w:rsidRPr="002E0B31">
        <w:rPr>
          <w:rFonts w:ascii="Times New Roman" w:hAnsi="Times New Roman" w:cs="Times New Roman"/>
        </w:rPr>
        <w:t xml:space="preserve">February 2020 </w:t>
      </w:r>
    </w:p>
    <w:p w14:paraId="60976DD1" w14:textId="77777777" w:rsidR="00A412D9" w:rsidRDefault="00A412D9" w:rsidP="00A412D9">
      <w:pPr>
        <w:pStyle w:val="Default"/>
        <w:rPr>
          <w:rFonts w:ascii="Times New Roman" w:hAnsi="Times New Roman" w:cs="Times New Roman"/>
        </w:rPr>
      </w:pPr>
      <w:r w:rsidRPr="002E0B31">
        <w:rPr>
          <w:rFonts w:ascii="Times New Roman" w:hAnsi="Times New Roman" w:cs="Times New Roman"/>
        </w:rPr>
        <w:t>Revised</w:t>
      </w:r>
      <w:r>
        <w:rPr>
          <w:rFonts w:ascii="Times New Roman" w:hAnsi="Times New Roman" w:cs="Times New Roman"/>
        </w:rPr>
        <w:t>:</w:t>
      </w:r>
      <w:r w:rsidRPr="002E0B31">
        <w:rPr>
          <w:rFonts w:ascii="Times New Roman" w:hAnsi="Times New Roman" w:cs="Times New Roman"/>
        </w:rPr>
        <w:t xml:space="preserve">  </w:t>
      </w:r>
      <w:r>
        <w:rPr>
          <w:rFonts w:ascii="Times New Roman" w:hAnsi="Times New Roman" w:cs="Times New Roman"/>
        </w:rPr>
        <w:t>September</w:t>
      </w:r>
      <w:r w:rsidRPr="002E0B31">
        <w:rPr>
          <w:rFonts w:ascii="Times New Roman" w:hAnsi="Times New Roman" w:cs="Times New Roman"/>
        </w:rPr>
        <w:t xml:space="preserve"> 2022</w:t>
      </w:r>
    </w:p>
    <w:p w14:paraId="2C5CCCEF" w14:textId="77777777" w:rsidR="00A412D9" w:rsidRDefault="00A412D9" w:rsidP="00A412D9">
      <w:pPr>
        <w:pStyle w:val="Default"/>
        <w:rPr>
          <w:rFonts w:ascii="Times New Roman" w:hAnsi="Times New Roman" w:cs="Times New Roman"/>
        </w:rPr>
      </w:pPr>
      <w:r>
        <w:rPr>
          <w:rFonts w:ascii="Times New Roman" w:hAnsi="Times New Roman" w:cs="Times New Roman"/>
        </w:rPr>
        <w:t>Revised:  January 2023</w:t>
      </w:r>
    </w:p>
    <w:p w14:paraId="7F2EB6C6" w14:textId="77777777" w:rsidR="00A412D9" w:rsidRDefault="00A412D9" w:rsidP="00A412D9">
      <w:pPr>
        <w:pStyle w:val="Default"/>
        <w:rPr>
          <w:rFonts w:ascii="Times New Roman" w:hAnsi="Times New Roman" w:cs="Times New Roman"/>
        </w:rPr>
      </w:pPr>
      <w:r>
        <w:rPr>
          <w:rFonts w:ascii="Times New Roman" w:hAnsi="Times New Roman" w:cs="Times New Roman"/>
        </w:rPr>
        <w:t>Revised:  September 2023</w:t>
      </w:r>
    </w:p>
    <w:p w14:paraId="65861AF0" w14:textId="6808D44B" w:rsidR="00A412D9" w:rsidRPr="002E0B31" w:rsidRDefault="00A412D9" w:rsidP="00A412D9">
      <w:pPr>
        <w:pStyle w:val="Default"/>
        <w:rPr>
          <w:rFonts w:ascii="Times New Roman" w:hAnsi="Times New Roman" w:cs="Times New Roman"/>
        </w:rPr>
      </w:pPr>
      <w:r>
        <w:rPr>
          <w:rFonts w:ascii="Times New Roman" w:hAnsi="Times New Roman" w:cs="Times New Roman"/>
        </w:rPr>
        <w:t xml:space="preserve">Revised:  </w:t>
      </w:r>
      <w:r w:rsidR="005440C7">
        <w:rPr>
          <w:rFonts w:ascii="Times New Roman" w:hAnsi="Times New Roman" w:cs="Times New Roman"/>
        </w:rPr>
        <w:t>August</w:t>
      </w:r>
      <w:r>
        <w:rPr>
          <w:rFonts w:ascii="Times New Roman" w:hAnsi="Times New Roman" w:cs="Times New Roman"/>
        </w:rPr>
        <w:t xml:space="preserve"> 2025</w:t>
      </w:r>
    </w:p>
    <w:p w14:paraId="3E26D4D9" w14:textId="77777777" w:rsidR="00A412D9" w:rsidRPr="002E0B31" w:rsidRDefault="00A412D9" w:rsidP="00A412D9">
      <w:pPr>
        <w:pStyle w:val="Default"/>
        <w:rPr>
          <w:rFonts w:ascii="Times New Roman" w:hAnsi="Times New Roman" w:cs="Times New Roman"/>
        </w:rPr>
      </w:pPr>
    </w:p>
    <w:p w14:paraId="72C059AD" w14:textId="77777777" w:rsidR="00A412D9" w:rsidRPr="002E0B31" w:rsidRDefault="00A412D9" w:rsidP="00A412D9">
      <w:pPr>
        <w:spacing w:after="0" w:line="240" w:lineRule="auto"/>
        <w:rPr>
          <w:rFonts w:ascii="Times New Roman" w:hAnsi="Times New Roman" w:cs="Times New Roman"/>
          <w:color w:val="000000"/>
          <w:sz w:val="24"/>
          <w:szCs w:val="24"/>
        </w:rPr>
      </w:pPr>
      <w:r w:rsidRPr="002E0B31">
        <w:rPr>
          <w:rFonts w:ascii="Times New Roman" w:hAnsi="Times New Roman" w:cs="Times New Roman"/>
          <w:color w:val="000000"/>
          <w:sz w:val="24"/>
          <w:szCs w:val="24"/>
        </w:rPr>
        <w:t xml:space="preserve">Relevant Board Governance Policy: </w:t>
      </w:r>
      <w:r w:rsidRPr="002E0B31">
        <w:rPr>
          <w:rFonts w:ascii="Times New Roman" w:hAnsi="Times New Roman" w:cs="Times New Roman"/>
          <w:color w:val="000000"/>
          <w:sz w:val="24"/>
          <w:szCs w:val="24"/>
        </w:rPr>
        <w:tab/>
        <w:t>EL 9 Asset Protection</w:t>
      </w:r>
    </w:p>
    <w:p w14:paraId="583D41AD" w14:textId="77777777" w:rsidR="00A412D9" w:rsidRPr="002E0B31" w:rsidRDefault="00A412D9" w:rsidP="00A412D9">
      <w:pPr>
        <w:spacing w:after="0" w:line="240" w:lineRule="auto"/>
        <w:rPr>
          <w:rFonts w:ascii="Times New Roman" w:hAnsi="Times New Roman" w:cs="Times New Roman"/>
          <w:sz w:val="24"/>
          <w:szCs w:val="24"/>
        </w:rPr>
      </w:pPr>
    </w:p>
    <w:p w14:paraId="410D5F31" w14:textId="77777777" w:rsidR="00A412D9" w:rsidRPr="002E0B31" w:rsidRDefault="00A412D9" w:rsidP="00A412D9">
      <w:pPr>
        <w:spacing w:after="0" w:line="240" w:lineRule="auto"/>
        <w:rPr>
          <w:rFonts w:ascii="Times New Roman" w:hAnsi="Times New Roman" w:cs="Times New Roman"/>
          <w:sz w:val="24"/>
          <w:szCs w:val="24"/>
        </w:rPr>
      </w:pPr>
      <w:r w:rsidRPr="002E0B31">
        <w:rPr>
          <w:rFonts w:ascii="Times New Roman" w:hAnsi="Times New Roman" w:cs="Times New Roman"/>
          <w:sz w:val="24"/>
          <w:szCs w:val="24"/>
        </w:rPr>
        <w:t>Legal Reference</w:t>
      </w:r>
      <w:r>
        <w:rPr>
          <w:rFonts w:ascii="Times New Roman" w:hAnsi="Times New Roman" w:cs="Times New Roman"/>
          <w:sz w:val="24"/>
          <w:szCs w:val="24"/>
        </w:rPr>
        <w:t>s</w:t>
      </w:r>
      <w:r w:rsidRPr="002E0B31">
        <w:rPr>
          <w:rFonts w:ascii="Times New Roman" w:hAnsi="Times New Roman" w:cs="Times New Roman"/>
          <w:sz w:val="24"/>
          <w:szCs w:val="24"/>
        </w:rPr>
        <w:t>:</w:t>
      </w:r>
      <w:r w:rsidRPr="002E0B31">
        <w:rPr>
          <w:rFonts w:ascii="Times New Roman" w:hAnsi="Times New Roman" w:cs="Times New Roman"/>
          <w:sz w:val="24"/>
          <w:szCs w:val="24"/>
        </w:rPr>
        <w:tab/>
        <w:t>RCW 28A.335.180 – Surplus texts and other educational aids</w:t>
      </w:r>
    </w:p>
    <w:p w14:paraId="3909B05F" w14:textId="77777777" w:rsidR="00A412D9" w:rsidRPr="002E0B31" w:rsidRDefault="00A412D9" w:rsidP="00A412D9">
      <w:pPr>
        <w:spacing w:after="0" w:line="240" w:lineRule="auto"/>
        <w:ind w:left="1440" w:firstLine="720"/>
        <w:rPr>
          <w:rFonts w:ascii="Times New Roman" w:hAnsi="Times New Roman" w:cs="Times New Roman"/>
          <w:sz w:val="24"/>
          <w:szCs w:val="24"/>
        </w:rPr>
      </w:pPr>
      <w:r w:rsidRPr="002E0B31">
        <w:rPr>
          <w:rFonts w:ascii="Times New Roman" w:hAnsi="Times New Roman" w:cs="Times New Roman"/>
          <w:sz w:val="24"/>
          <w:szCs w:val="24"/>
        </w:rPr>
        <w:t>RCW 43.19.1919-1920 – Surplus personal property</w:t>
      </w:r>
    </w:p>
    <w:p w14:paraId="43BFF09F" w14:textId="77777777" w:rsidR="00A412D9" w:rsidRDefault="00A412D9" w:rsidP="00A412D9">
      <w:pPr>
        <w:spacing w:after="0" w:line="240" w:lineRule="auto"/>
        <w:ind w:left="1440" w:firstLine="720"/>
        <w:rPr>
          <w:rFonts w:ascii="Times New Roman" w:hAnsi="Times New Roman" w:cs="Times New Roman"/>
          <w:sz w:val="24"/>
          <w:szCs w:val="24"/>
        </w:rPr>
      </w:pPr>
      <w:r w:rsidRPr="002E0B31">
        <w:rPr>
          <w:rFonts w:ascii="Times New Roman" w:hAnsi="Times New Roman" w:cs="Times New Roman"/>
          <w:sz w:val="24"/>
          <w:szCs w:val="24"/>
        </w:rPr>
        <w:t>2 CFR Part 200.313, 200.439 – Property Standards and Equipment</w:t>
      </w:r>
    </w:p>
    <w:p w14:paraId="357EE1DF" w14:textId="77777777" w:rsidR="00A412D9" w:rsidRPr="002E0B31" w:rsidRDefault="00A412D9" w:rsidP="00A412D9">
      <w:pPr>
        <w:spacing w:after="0" w:line="240" w:lineRule="auto"/>
        <w:ind w:left="2160"/>
        <w:rPr>
          <w:rFonts w:ascii="Times New Roman" w:hAnsi="Times New Roman" w:cs="Times New Roman"/>
          <w:sz w:val="24"/>
          <w:szCs w:val="24"/>
        </w:rPr>
      </w:pPr>
      <w:r w:rsidRPr="00057340">
        <w:rPr>
          <w:rFonts w:ascii="Times New Roman" w:hAnsi="Times New Roman" w:cs="Times New Roman"/>
          <w:color w:val="000000"/>
          <w:sz w:val="24"/>
          <w:szCs w:val="24"/>
        </w:rPr>
        <w:t>34 CFR § 80.32 Uniform Administrative requirements for grants and cooperative agreements to state and local governments – Equipment</w:t>
      </w:r>
    </w:p>
    <w:p w14:paraId="517AE912" w14:textId="77777777" w:rsidR="00656A28" w:rsidRDefault="00656A28"/>
    <w:sectPr w:rsidR="00656A28" w:rsidSect="0051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QVMVS+TimesNewRomanPS-BoldMT">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B1557"/>
    <w:multiLevelType w:val="hybridMultilevel"/>
    <w:tmpl w:val="CC5A5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FC6333"/>
    <w:multiLevelType w:val="multilevel"/>
    <w:tmpl w:val="BF4ECD3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5D4A3BA6"/>
    <w:multiLevelType w:val="hybridMultilevel"/>
    <w:tmpl w:val="09021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485347">
    <w:abstractNumId w:val="2"/>
  </w:num>
  <w:num w:numId="2" w16cid:durableId="1607998264">
    <w:abstractNumId w:val="0"/>
  </w:num>
  <w:num w:numId="3" w16cid:durableId="2025863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2D9"/>
    <w:rsid w:val="000C6347"/>
    <w:rsid w:val="000D72E8"/>
    <w:rsid w:val="003C5097"/>
    <w:rsid w:val="00515732"/>
    <w:rsid w:val="005440C7"/>
    <w:rsid w:val="00656A28"/>
    <w:rsid w:val="006D2A90"/>
    <w:rsid w:val="006E1366"/>
    <w:rsid w:val="007131A6"/>
    <w:rsid w:val="00796FDB"/>
    <w:rsid w:val="00827797"/>
    <w:rsid w:val="00A412D9"/>
    <w:rsid w:val="00E10029"/>
    <w:rsid w:val="00E51BD0"/>
    <w:rsid w:val="00F6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C9211"/>
  <w15:chartTrackingRefBased/>
  <w15:docId w15:val="{5D1CAC5E-B757-4ED2-8988-F14ABA7AF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2D9"/>
    <w:rPr>
      <w:rFonts w:asciiTheme="minorHAnsi" w:hAnsiTheme="minorHAnsi" w:cstheme="minorBidi"/>
      <w:kern w:val="0"/>
      <w:sz w:val="22"/>
      <w:szCs w:val="22"/>
      <w14:ligatures w14:val="none"/>
    </w:rPr>
  </w:style>
  <w:style w:type="paragraph" w:styleId="Heading1">
    <w:name w:val="heading 1"/>
    <w:basedOn w:val="Normal"/>
    <w:next w:val="Normal"/>
    <w:link w:val="Heading1Char"/>
    <w:uiPriority w:val="9"/>
    <w:qFormat/>
    <w:rsid w:val="00A41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2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2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2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2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2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2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2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2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2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2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2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412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412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12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12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12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1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2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2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12D9"/>
    <w:pPr>
      <w:spacing w:before="160"/>
      <w:jc w:val="center"/>
    </w:pPr>
    <w:rPr>
      <w:i/>
      <w:iCs/>
      <w:color w:val="404040" w:themeColor="text1" w:themeTint="BF"/>
    </w:rPr>
  </w:style>
  <w:style w:type="character" w:customStyle="1" w:styleId="QuoteChar">
    <w:name w:val="Quote Char"/>
    <w:basedOn w:val="DefaultParagraphFont"/>
    <w:link w:val="Quote"/>
    <w:uiPriority w:val="29"/>
    <w:rsid w:val="00A412D9"/>
    <w:rPr>
      <w:i/>
      <w:iCs/>
      <w:color w:val="404040" w:themeColor="text1" w:themeTint="BF"/>
    </w:rPr>
  </w:style>
  <w:style w:type="paragraph" w:styleId="ListParagraph">
    <w:name w:val="List Paragraph"/>
    <w:basedOn w:val="Normal"/>
    <w:uiPriority w:val="34"/>
    <w:qFormat/>
    <w:rsid w:val="00A412D9"/>
    <w:pPr>
      <w:ind w:left="720"/>
      <w:contextualSpacing/>
    </w:pPr>
  </w:style>
  <w:style w:type="character" w:styleId="IntenseEmphasis">
    <w:name w:val="Intense Emphasis"/>
    <w:basedOn w:val="DefaultParagraphFont"/>
    <w:uiPriority w:val="21"/>
    <w:qFormat/>
    <w:rsid w:val="00A412D9"/>
    <w:rPr>
      <w:i/>
      <w:iCs/>
      <w:color w:val="0F4761" w:themeColor="accent1" w:themeShade="BF"/>
    </w:rPr>
  </w:style>
  <w:style w:type="paragraph" w:styleId="IntenseQuote">
    <w:name w:val="Intense Quote"/>
    <w:basedOn w:val="Normal"/>
    <w:next w:val="Normal"/>
    <w:link w:val="IntenseQuoteChar"/>
    <w:uiPriority w:val="30"/>
    <w:qFormat/>
    <w:rsid w:val="00A41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2D9"/>
    <w:rPr>
      <w:i/>
      <w:iCs/>
      <w:color w:val="0F4761" w:themeColor="accent1" w:themeShade="BF"/>
    </w:rPr>
  </w:style>
  <w:style w:type="character" w:styleId="IntenseReference">
    <w:name w:val="Intense Reference"/>
    <w:basedOn w:val="DefaultParagraphFont"/>
    <w:uiPriority w:val="32"/>
    <w:qFormat/>
    <w:rsid w:val="00A412D9"/>
    <w:rPr>
      <w:b/>
      <w:bCs/>
      <w:smallCaps/>
      <w:color w:val="0F4761" w:themeColor="accent1" w:themeShade="BF"/>
      <w:spacing w:val="5"/>
    </w:rPr>
  </w:style>
  <w:style w:type="paragraph" w:customStyle="1" w:styleId="Default">
    <w:name w:val="Default"/>
    <w:rsid w:val="00A412D9"/>
    <w:pPr>
      <w:autoSpaceDE w:val="0"/>
      <w:autoSpaceDN w:val="0"/>
      <w:adjustRightInd w:val="0"/>
      <w:spacing w:after="0" w:line="240" w:lineRule="auto"/>
    </w:pPr>
    <w:rPr>
      <w:rFonts w:ascii="LQVMVS+TimesNewRomanPS-BoldMT" w:hAnsi="LQVMVS+TimesNewRomanPS-BoldMT" w:cs="LQVMVS+TimesNewRomanPS-BoldMT"/>
      <w:color w:val="000000"/>
      <w:kern w:val="0"/>
      <w14:ligatures w14:val="none"/>
    </w:rPr>
  </w:style>
  <w:style w:type="paragraph" w:customStyle="1" w:styleId="CM4">
    <w:name w:val="CM4"/>
    <w:basedOn w:val="Default"/>
    <w:next w:val="Default"/>
    <w:uiPriority w:val="99"/>
    <w:rsid w:val="00A412D9"/>
    <w:rPr>
      <w:rFonts w:cstheme="minorBidi"/>
      <w:color w:val="auto"/>
    </w:rPr>
  </w:style>
  <w:style w:type="character" w:styleId="CommentReference">
    <w:name w:val="annotation reference"/>
    <w:basedOn w:val="DefaultParagraphFont"/>
    <w:uiPriority w:val="99"/>
    <w:semiHidden/>
    <w:unhideWhenUsed/>
    <w:rsid w:val="00A412D9"/>
    <w:rPr>
      <w:sz w:val="16"/>
      <w:szCs w:val="16"/>
    </w:rPr>
  </w:style>
  <w:style w:type="paragraph" w:styleId="CommentText">
    <w:name w:val="annotation text"/>
    <w:basedOn w:val="Normal"/>
    <w:link w:val="CommentTextChar"/>
    <w:uiPriority w:val="99"/>
    <w:unhideWhenUsed/>
    <w:rsid w:val="00A412D9"/>
    <w:pPr>
      <w:spacing w:line="240" w:lineRule="auto"/>
    </w:pPr>
    <w:rPr>
      <w:sz w:val="20"/>
      <w:szCs w:val="20"/>
    </w:rPr>
  </w:style>
  <w:style w:type="character" w:customStyle="1" w:styleId="CommentTextChar">
    <w:name w:val="Comment Text Char"/>
    <w:basedOn w:val="DefaultParagraphFont"/>
    <w:link w:val="CommentText"/>
    <w:uiPriority w:val="99"/>
    <w:rsid w:val="00A412D9"/>
    <w:rPr>
      <w:rFonts w:asciiTheme="minorHAnsi" w:hAnsiTheme="minorHAnsi" w:cstheme="minorBidi"/>
      <w:kern w:val="0"/>
      <w:sz w:val="20"/>
      <w:szCs w:val="20"/>
      <w14:ligatures w14:val="none"/>
    </w:rPr>
  </w:style>
  <w:style w:type="paragraph" w:styleId="NormalWeb">
    <w:name w:val="Normal (Web)"/>
    <w:basedOn w:val="Normal"/>
    <w:uiPriority w:val="99"/>
    <w:semiHidden/>
    <w:unhideWhenUsed/>
    <w:rsid w:val="00A412D9"/>
    <w:pPr>
      <w:spacing w:after="0" w:line="240" w:lineRule="auto"/>
    </w:pPr>
    <w:rPr>
      <w:rFonts w:ascii="Verdana" w:eastAsia="Verdana" w:hAnsi="Verdana" w:cs="Times New Roman"/>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03DB7-DDED-439A-A076-4208B686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Ashley Stillmaker</cp:lastModifiedBy>
  <cp:revision>4</cp:revision>
  <dcterms:created xsi:type="dcterms:W3CDTF">2025-08-26T13:01:00Z</dcterms:created>
  <dcterms:modified xsi:type="dcterms:W3CDTF">2025-08-26T13:02:00Z</dcterms:modified>
</cp:coreProperties>
</file>