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8DB2E" w14:textId="4E75C64E" w:rsidR="00212869" w:rsidRDefault="00212869" w:rsidP="00212869">
      <w:pPr>
        <w:spacing w:after="0"/>
        <w:rPr>
          <w:b/>
          <w:bCs/>
          <w:sz w:val="28"/>
          <w:szCs w:val="28"/>
        </w:rPr>
      </w:pPr>
      <w:r w:rsidRPr="00212869">
        <w:rPr>
          <w:b/>
          <w:bCs/>
          <w:noProof/>
        </w:rPr>
        <w:drawing>
          <wp:anchor distT="0" distB="0" distL="114300" distR="114300" simplePos="0" relativeHeight="251659264" behindDoc="0" locked="0" layoutInCell="1" allowOverlap="1" wp14:anchorId="65DD7F96" wp14:editId="77FD63E4">
            <wp:simplePos x="0" y="0"/>
            <wp:positionH relativeFrom="margin">
              <wp:align>right</wp:align>
            </wp:positionH>
            <wp:positionV relativeFrom="paragraph">
              <wp:posOffset>-36195</wp:posOffset>
            </wp:positionV>
            <wp:extent cx="1475781" cy="261001"/>
            <wp:effectExtent l="0" t="0" r="0" b="5715"/>
            <wp:wrapNone/>
            <wp:docPr id="1202368891" name="Picture 6" descr="A black background with blu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68891" name="Picture 6" descr="A black background with blue text  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5781" cy="261001"/>
                    </a:xfrm>
                    <a:prstGeom prst="rect">
                      <a:avLst/>
                    </a:prstGeom>
                    <a:noFill/>
                  </pic:spPr>
                </pic:pic>
              </a:graphicData>
            </a:graphic>
            <wp14:sizeRelH relativeFrom="margin">
              <wp14:pctWidth>0</wp14:pctWidth>
            </wp14:sizeRelH>
            <wp14:sizeRelV relativeFrom="margin">
              <wp14:pctHeight>0</wp14:pctHeight>
            </wp14:sizeRelV>
          </wp:anchor>
        </w:drawing>
      </w:r>
      <w:r w:rsidRPr="00212869">
        <w:rPr>
          <w:b/>
          <w:bCs/>
          <w:sz w:val="28"/>
          <w:szCs w:val="28"/>
        </w:rPr>
        <w:t xml:space="preserve">School Guide: </w:t>
      </w:r>
      <w:r w:rsidR="007B768F">
        <w:rPr>
          <w:b/>
          <w:bCs/>
          <w:sz w:val="28"/>
          <w:szCs w:val="28"/>
        </w:rPr>
        <w:br/>
      </w:r>
      <w:r w:rsidRPr="00212869">
        <w:rPr>
          <w:b/>
          <w:bCs/>
          <w:sz w:val="28"/>
          <w:szCs w:val="28"/>
        </w:rPr>
        <w:t>Requests for Medical Exemptions to Immunizations</w:t>
      </w:r>
    </w:p>
    <w:p w14:paraId="4F35AF3D" w14:textId="62FA188A" w:rsidR="007B768F" w:rsidRDefault="007B768F" w:rsidP="007B768F">
      <w:pPr>
        <w:spacing w:after="0"/>
        <w:jc w:val="center"/>
        <w:rPr>
          <w:b/>
          <w:bCs/>
        </w:rPr>
      </w:pPr>
      <w:r>
        <w:rPr>
          <w:b/>
          <w:bCs/>
          <w:noProof/>
        </w:rPr>
        <mc:AlternateContent>
          <mc:Choice Requires="wps">
            <w:drawing>
              <wp:anchor distT="0" distB="0" distL="114300" distR="114300" simplePos="0" relativeHeight="251660288" behindDoc="0" locked="0" layoutInCell="1" allowOverlap="1" wp14:anchorId="0B81BD42" wp14:editId="5DC83FB0">
                <wp:simplePos x="0" y="0"/>
                <wp:positionH relativeFrom="column">
                  <wp:posOffset>-95250</wp:posOffset>
                </wp:positionH>
                <wp:positionV relativeFrom="paragraph">
                  <wp:posOffset>55245</wp:posOffset>
                </wp:positionV>
                <wp:extent cx="6858000" cy="0"/>
                <wp:effectExtent l="0" t="19050" r="19050" b="19050"/>
                <wp:wrapNone/>
                <wp:docPr id="1425802403"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4177A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35pt" to="53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" strokecolor="#156082 [3204]" strokeweight="2.25pt">
                <v:stroke joinstyle="miter"/>
              </v:line>
            </w:pict>
          </mc:Fallback>
        </mc:AlternateContent>
      </w:r>
    </w:p>
    <w:p w14:paraId="57A6EB73" w14:textId="77777777" w:rsidR="007B768F" w:rsidRDefault="00212869" w:rsidP="007B768F">
      <w:pPr>
        <w:spacing w:after="120" w:line="240" w:lineRule="auto"/>
        <w:rPr>
          <w:b/>
          <w:bCs/>
        </w:rPr>
      </w:pPr>
      <w:r w:rsidRPr="00212869">
        <w:rPr>
          <w:b/>
          <w:bCs/>
        </w:rPr>
        <w:t>The Required Medical Exemption Form</w:t>
      </w:r>
    </w:p>
    <w:p w14:paraId="6E463F50" w14:textId="08628FF2" w:rsidR="00B8770C" w:rsidRPr="009A794C" w:rsidRDefault="00212869" w:rsidP="009977BD">
      <w:pPr>
        <w:spacing w:after="0"/>
        <w:rPr>
          <w:sz w:val="22"/>
          <w:szCs w:val="22"/>
        </w:rPr>
      </w:pPr>
      <w:r w:rsidRPr="009A794C">
        <w:rPr>
          <w:sz w:val="22"/>
          <w:szCs w:val="22"/>
        </w:rPr>
        <w:t xml:space="preserve">All schools in </w:t>
      </w:r>
      <w:r w:rsidR="00351687" w:rsidRPr="009A794C">
        <w:rPr>
          <w:sz w:val="22"/>
          <w:szCs w:val="22"/>
        </w:rPr>
        <w:t xml:space="preserve">New York State (NYS) </w:t>
      </w:r>
      <w:r w:rsidRPr="009A794C">
        <w:rPr>
          <w:sz w:val="22"/>
          <w:szCs w:val="22"/>
        </w:rPr>
        <w:t xml:space="preserve">must follow the laws and regulations related to immunization requirements for school attendance.  NYS </w:t>
      </w:r>
      <w:hyperlink r:id="rId9" w:history="1">
        <w:r w:rsidRPr="009A794C">
          <w:rPr>
            <w:rStyle w:val="Hyperlink"/>
            <w:color w:val="auto"/>
            <w:sz w:val="22"/>
            <w:szCs w:val="22"/>
            <w:u w:val="none"/>
          </w:rPr>
          <w:t>Public Health Law Section 2164</w:t>
        </w:r>
      </w:hyperlink>
      <w:r w:rsidRPr="009A794C">
        <w:rPr>
          <w:sz w:val="22"/>
          <w:szCs w:val="22"/>
        </w:rPr>
        <w:t xml:space="preserve"> and </w:t>
      </w:r>
      <w:hyperlink r:id="rId10" w:history="1">
        <w:r w:rsidRPr="009A794C">
          <w:rPr>
            <w:rStyle w:val="Hyperlink"/>
            <w:color w:val="auto"/>
            <w:sz w:val="22"/>
            <w:szCs w:val="22"/>
            <w:u w:val="none"/>
          </w:rPr>
          <w:t>New York Codes, Rules and Regulations (NYCRR) Title 10, Subpart 66-1.3</w:t>
        </w:r>
      </w:hyperlink>
      <w:r w:rsidRPr="009A794C" w:rsidDel="00943906">
        <w:rPr>
          <w:sz w:val="22"/>
          <w:szCs w:val="22"/>
        </w:rPr>
        <w:t xml:space="preserve"> </w:t>
      </w:r>
      <w:r w:rsidRPr="009A794C">
        <w:rPr>
          <w:sz w:val="22"/>
          <w:szCs w:val="22"/>
        </w:rPr>
        <w:t>require that a</w:t>
      </w:r>
      <w:r w:rsidR="0061473F" w:rsidRPr="009A794C">
        <w:rPr>
          <w:sz w:val="22"/>
          <w:szCs w:val="22"/>
        </w:rPr>
        <w:t xml:space="preserve"> request for</w:t>
      </w:r>
      <w:r w:rsidRPr="009A794C">
        <w:rPr>
          <w:sz w:val="22"/>
          <w:szCs w:val="22"/>
        </w:rPr>
        <w:t xml:space="preserve"> medical exemption </w:t>
      </w:r>
      <w:r w:rsidR="0061473F" w:rsidRPr="009A794C">
        <w:rPr>
          <w:sz w:val="22"/>
          <w:szCs w:val="22"/>
        </w:rPr>
        <w:t xml:space="preserve">to immunization </w:t>
      </w:r>
      <w:r w:rsidRPr="009A794C">
        <w:rPr>
          <w:sz w:val="22"/>
          <w:szCs w:val="22"/>
        </w:rPr>
        <w:t xml:space="preserve">is submitted to a school on the required form issued by either the New York State Department of Health (NYSDOH):  </w:t>
      </w:r>
      <w:hyperlink r:id="rId11" w:history="1">
        <w:r w:rsidRPr="009A794C">
          <w:rPr>
            <w:rStyle w:val="Hyperlink"/>
            <w:color w:val="auto"/>
            <w:sz w:val="22"/>
            <w:szCs w:val="22"/>
            <w:u w:val="none"/>
          </w:rPr>
          <w:t>Immunization Requirements for School Attendance/Medical Exemption Statement for Children 0-18 years of Age</w:t>
        </w:r>
      </w:hyperlink>
      <w:r w:rsidRPr="009A794C">
        <w:rPr>
          <w:sz w:val="22"/>
          <w:szCs w:val="22"/>
        </w:rPr>
        <w:t xml:space="preserve">, or for schools in New York City (NYC) by the NYC Department of Education (NYCDOE): </w:t>
      </w:r>
      <w:hyperlink r:id="rId12" w:tgtFrame="_blank" w:history="1">
        <w:r w:rsidRPr="009A794C">
          <w:rPr>
            <w:rStyle w:val="Hyperlink"/>
            <w:color w:val="auto"/>
            <w:sz w:val="22"/>
            <w:szCs w:val="22"/>
            <w:u w:val="none"/>
          </w:rPr>
          <w:t>Medical Request for Immunization Exemption NYC</w:t>
        </w:r>
      </w:hyperlink>
      <w:r w:rsidRPr="009A794C">
        <w:rPr>
          <w:sz w:val="22"/>
          <w:szCs w:val="22"/>
        </w:rPr>
        <w:t xml:space="preserve">. </w:t>
      </w:r>
    </w:p>
    <w:p w14:paraId="686AFC81" w14:textId="6305BD91" w:rsidR="00212869" w:rsidRPr="009A794C" w:rsidRDefault="00212869" w:rsidP="009977BD">
      <w:pPr>
        <w:spacing w:after="0"/>
        <w:rPr>
          <w:sz w:val="22"/>
          <w:szCs w:val="22"/>
        </w:rPr>
      </w:pPr>
      <w:r w:rsidRPr="009A794C">
        <w:rPr>
          <w:sz w:val="22"/>
          <w:szCs w:val="22"/>
        </w:rPr>
        <w:t xml:space="preserve">The required form must be signed by a physician (MD/DO) licensed to practice medicine </w:t>
      </w:r>
      <w:r w:rsidR="00B31B69" w:rsidRPr="009A794C">
        <w:rPr>
          <w:sz w:val="22"/>
          <w:szCs w:val="22"/>
        </w:rPr>
        <w:t>in NYS</w:t>
      </w:r>
      <w:r w:rsidRPr="009A794C">
        <w:rPr>
          <w:sz w:val="22"/>
          <w:szCs w:val="22"/>
        </w:rPr>
        <w:t xml:space="preserve"> certifying that a contraindication to immunization exists and would be detrimental to the child's health. There must be sufficient information to identify a medical contraindication to a specific immunization, and the length of time the immunization is medically contraindicated must be specified. All medical exemptions must be reissued every 12 months. Annual reissuing of medical exemptions allows a physician to reevaluate the need for an exemption based on the student’s current health status.</w:t>
      </w:r>
    </w:p>
    <w:p w14:paraId="03987AD0" w14:textId="1CC5BA89" w:rsidR="00B31B69" w:rsidRDefault="00B31B69" w:rsidP="007B768F">
      <w:pPr>
        <w:spacing w:after="120" w:line="240" w:lineRule="auto"/>
        <w:rPr>
          <w:sz w:val="22"/>
          <w:szCs w:val="22"/>
        </w:rPr>
      </w:pPr>
      <w:r w:rsidRPr="00B31B69">
        <w:rPr>
          <w:b/>
          <w:bCs/>
        </w:rPr>
        <w:t>Reviewing the Medical Exemption</w:t>
      </w:r>
      <w:r w:rsidR="007B768F">
        <w:rPr>
          <w:b/>
          <w:bCs/>
        </w:rPr>
        <w:t xml:space="preserve"> </w:t>
      </w:r>
      <w:r w:rsidRPr="00B31B69">
        <w:rPr>
          <w:sz w:val="22"/>
          <w:szCs w:val="22"/>
        </w:rPr>
        <w:t>(for Schools Outside NYC)</w:t>
      </w:r>
      <w:r w:rsidR="007B768F">
        <w:rPr>
          <w:rStyle w:val="FootnoteReference"/>
          <w:sz w:val="22"/>
          <w:szCs w:val="22"/>
        </w:rPr>
        <w:footnoteReference w:id="1"/>
      </w:r>
    </w:p>
    <w:p w14:paraId="0BAC20A2" w14:textId="44D0897F" w:rsidR="00B31B69" w:rsidRPr="00B31B69" w:rsidRDefault="00B31B69" w:rsidP="00B31B69">
      <w:pPr>
        <w:rPr>
          <w:sz w:val="22"/>
          <w:szCs w:val="22"/>
        </w:rPr>
      </w:pPr>
      <w:r w:rsidRPr="00B31B69">
        <w:rPr>
          <w:sz w:val="22"/>
          <w:szCs w:val="22"/>
        </w:rPr>
        <w:t xml:space="preserve">A student may attend school while </w:t>
      </w:r>
      <w:r w:rsidR="0061473F">
        <w:rPr>
          <w:sz w:val="22"/>
          <w:szCs w:val="22"/>
        </w:rPr>
        <w:t xml:space="preserve">a request for </w:t>
      </w:r>
      <w:r w:rsidRPr="00B31B69">
        <w:rPr>
          <w:sz w:val="22"/>
          <w:szCs w:val="22"/>
        </w:rPr>
        <w:t>medical exemption is under review. The principal or person in charge of the school (or designee) reviews the request for medical exemption form.  Schools are strongly encouraged to have their director of school health services (a.k.a., medical director) review a request for medical exemption to immunization to ensure it meets the requirements outlined in</w:t>
      </w:r>
      <w:hyperlink r:id="rId13" w:history="1">
        <w:r w:rsidR="009D27E6">
          <w:rPr>
            <w:rStyle w:val="Hyperlink"/>
            <w:sz w:val="22"/>
            <w:szCs w:val="22"/>
          </w:rPr>
          <w:t xml:space="preserve"> NYCRR 10 Section 66-1.1(l)</w:t>
        </w:r>
      </w:hyperlink>
      <w:r w:rsidRPr="00B31B69">
        <w:rPr>
          <w:sz w:val="22"/>
          <w:szCs w:val="22"/>
        </w:rPr>
        <w:t>.</w:t>
      </w:r>
    </w:p>
    <w:p w14:paraId="13602CDE" w14:textId="5F158319" w:rsidR="00B31B69" w:rsidRDefault="00B31B69" w:rsidP="00D62DEA">
      <w:pPr>
        <w:spacing w:after="0"/>
        <w:rPr>
          <w:sz w:val="22"/>
          <w:szCs w:val="22"/>
        </w:rPr>
      </w:pPr>
      <w:r w:rsidRPr="00B31B69">
        <w:rPr>
          <w:sz w:val="22"/>
          <w:szCs w:val="22"/>
        </w:rPr>
        <w:t xml:space="preserve">School medical directors should consult </w:t>
      </w:r>
      <w:hyperlink r:id="rId14" w:history="1">
        <w:r w:rsidRPr="00B31B69">
          <w:rPr>
            <w:rStyle w:val="Hyperlink"/>
            <w:sz w:val="22"/>
            <w:szCs w:val="22"/>
          </w:rPr>
          <w:t>General Best Practice Guidelines for Immunization: Best Practices Guidance of the Advisory Committee on Immunization Practices (ACIP) Contraindications and Precautions and Centers for Disease Control and Prevention (CDC) guidance</w:t>
        </w:r>
      </w:hyperlink>
      <w:r w:rsidRPr="00B31B69">
        <w:rPr>
          <w:sz w:val="22"/>
          <w:szCs w:val="22"/>
        </w:rPr>
        <w:t xml:space="preserve"> when reviewing.  Most valid contraindications and precautions are temporary; vaccinations can often be administered later when the condition leading to a contraindication or precaution no longer exists. Schools are encouraged to review the following information from NYSDOH when reviewing the form:</w:t>
      </w:r>
    </w:p>
    <w:p w14:paraId="7FC60AFF" w14:textId="77777777" w:rsidR="00B31B69" w:rsidRPr="00B31B69" w:rsidRDefault="00B31B69" w:rsidP="00B31B69">
      <w:pPr>
        <w:pStyle w:val="ListParagraph"/>
        <w:numPr>
          <w:ilvl w:val="0"/>
          <w:numId w:val="2"/>
        </w:numPr>
        <w:rPr>
          <w:sz w:val="22"/>
          <w:szCs w:val="22"/>
        </w:rPr>
      </w:pPr>
      <w:hyperlink r:id="rId15" w:history="1">
        <w:r w:rsidRPr="00B31B69">
          <w:rPr>
            <w:rStyle w:val="Hyperlink"/>
            <w:sz w:val="22"/>
            <w:szCs w:val="22"/>
          </w:rPr>
          <w:t>Medical Exemption Review Procedures for Schools Outside New York City</w:t>
        </w:r>
      </w:hyperlink>
      <w:r w:rsidRPr="00B31B69">
        <w:rPr>
          <w:sz w:val="22"/>
          <w:szCs w:val="22"/>
        </w:rPr>
        <w:t> (PDF)</w:t>
      </w:r>
    </w:p>
    <w:p w14:paraId="27CF6464" w14:textId="0DFE5BCE" w:rsidR="00B31B69" w:rsidRPr="00B31B69" w:rsidRDefault="00B31B69" w:rsidP="00B31B69">
      <w:pPr>
        <w:pStyle w:val="ListParagraph"/>
        <w:numPr>
          <w:ilvl w:val="0"/>
          <w:numId w:val="2"/>
        </w:numPr>
        <w:rPr>
          <w:sz w:val="22"/>
          <w:szCs w:val="22"/>
        </w:rPr>
      </w:pPr>
      <w:hyperlink r:id="rId16" w:history="1">
        <w:r w:rsidRPr="00B31B69">
          <w:rPr>
            <w:rStyle w:val="Hyperlink"/>
            <w:sz w:val="22"/>
            <w:szCs w:val="22"/>
          </w:rPr>
          <w:t>Guidance on Immunization-Related Medical Exemptions for School-Aged Children</w:t>
        </w:r>
      </w:hyperlink>
      <w:r w:rsidRPr="00B31B69">
        <w:rPr>
          <w:sz w:val="22"/>
          <w:szCs w:val="22"/>
        </w:rPr>
        <w:t> (PDF)</w:t>
      </w:r>
    </w:p>
    <w:p w14:paraId="5D3A947E" w14:textId="0F37AE52" w:rsidR="00B31B69" w:rsidRPr="00B31B69" w:rsidRDefault="00B31B69" w:rsidP="007B768F">
      <w:pPr>
        <w:spacing w:after="0"/>
        <w:rPr>
          <w:sz w:val="22"/>
          <w:szCs w:val="22"/>
        </w:rPr>
      </w:pPr>
      <w:r w:rsidRPr="00B31B69">
        <w:rPr>
          <w:sz w:val="22"/>
          <w:szCs w:val="22"/>
        </w:rPr>
        <w:t>If questions remain about the validity of a medical exemption request, the school may request a review and recommendation from the NYSDOH by submitting a redacted (removal of student identifying information except date of birth) medical exemption form and the student’s redacted immunization record</w:t>
      </w:r>
      <w:r w:rsidR="0061473F">
        <w:rPr>
          <w:sz w:val="22"/>
          <w:szCs w:val="22"/>
        </w:rPr>
        <w:t>,</w:t>
      </w:r>
      <w:r w:rsidRPr="00B31B69">
        <w:rPr>
          <w:sz w:val="22"/>
          <w:szCs w:val="22"/>
        </w:rPr>
        <w:t xml:space="preserve"> New York State Immunization Information System (NYSIIS)</w:t>
      </w:r>
      <w:r w:rsidR="0061473F">
        <w:rPr>
          <w:sz w:val="22"/>
          <w:szCs w:val="22"/>
        </w:rPr>
        <w:t>,</w:t>
      </w:r>
      <w:r w:rsidRPr="00B31B69">
        <w:rPr>
          <w:sz w:val="22"/>
          <w:szCs w:val="22"/>
        </w:rPr>
        <w:t xml:space="preserve"> or Citywide Immunization Registry (CIR) record to determine the student’s current immunization status. Submit all documents to the NYSDOH School Assessment and Compliance Unit at the Bureau of Immunization via fax (518-474-5500) or email</w:t>
      </w:r>
      <w:hyperlink r:id="rId17">
        <w:r w:rsidRPr="00B31B69">
          <w:rPr>
            <w:rStyle w:val="Hyperlink"/>
            <w:sz w:val="22"/>
            <w:szCs w:val="22"/>
          </w:rPr>
          <w:t xml:space="preserve"> osas@health.ny.gov</w:t>
        </w:r>
      </w:hyperlink>
      <w:r w:rsidRPr="00B31B69">
        <w:rPr>
          <w:sz w:val="22"/>
          <w:szCs w:val="22"/>
        </w:rPr>
        <w:t>.</w:t>
      </w:r>
    </w:p>
    <w:p w14:paraId="7D4FF86D" w14:textId="7CEF77BC" w:rsidR="007B768F" w:rsidRDefault="00B31B69" w:rsidP="007B768F">
      <w:pPr>
        <w:spacing w:after="0"/>
        <w:rPr>
          <w:sz w:val="22"/>
          <w:szCs w:val="22"/>
        </w:rPr>
      </w:pPr>
      <w:r w:rsidRPr="00B31B69">
        <w:rPr>
          <w:sz w:val="22"/>
          <w:szCs w:val="22"/>
        </w:rPr>
        <w:t xml:space="preserve">Medical staff in the Bureau of Immunization will review the medical exemption request and may ask for additional information from the school.  NYSDOH will provide the school </w:t>
      </w:r>
      <w:r w:rsidR="007B768F">
        <w:rPr>
          <w:sz w:val="22"/>
          <w:szCs w:val="22"/>
        </w:rPr>
        <w:t xml:space="preserve">with </w:t>
      </w:r>
      <w:r w:rsidR="007B768F" w:rsidRPr="00B31B69">
        <w:rPr>
          <w:sz w:val="22"/>
          <w:szCs w:val="22"/>
        </w:rPr>
        <w:t>its</w:t>
      </w:r>
      <w:r w:rsidRPr="00B31B69">
        <w:rPr>
          <w:sz w:val="22"/>
          <w:szCs w:val="22"/>
        </w:rPr>
        <w:t xml:space="preserve"> recommendation in writing</w:t>
      </w:r>
      <w:r>
        <w:rPr>
          <w:sz w:val="22"/>
          <w:szCs w:val="22"/>
        </w:rPr>
        <w:t>,</w:t>
      </w:r>
      <w:r w:rsidRPr="00B31B69">
        <w:rPr>
          <w:sz w:val="22"/>
          <w:szCs w:val="22"/>
        </w:rPr>
        <w:t xml:space="preserve"> which may be utilized as a resource for the school in deciding whether to accept or deny the request for medical exemption. </w:t>
      </w:r>
      <w:r w:rsidR="007B768F">
        <w:rPr>
          <w:sz w:val="22"/>
          <w:szCs w:val="22"/>
        </w:rPr>
        <w:br w:type="page"/>
      </w:r>
    </w:p>
    <w:p w14:paraId="73B29080" w14:textId="7D694355" w:rsidR="007B768F" w:rsidRPr="007B768F" w:rsidRDefault="007B768F" w:rsidP="007B768F">
      <w:pPr>
        <w:spacing w:after="0"/>
        <w:rPr>
          <w:sz w:val="22"/>
          <w:szCs w:val="22"/>
        </w:rPr>
      </w:pPr>
      <w:r>
        <w:rPr>
          <w:noProof/>
          <w:sz w:val="22"/>
          <w:szCs w:val="22"/>
        </w:rPr>
        <w:lastRenderedPageBreak/>
        <w:drawing>
          <wp:anchor distT="0" distB="0" distL="114300" distR="114300" simplePos="0" relativeHeight="251663360" behindDoc="0" locked="0" layoutInCell="1" allowOverlap="1" wp14:anchorId="213D95F1" wp14:editId="67BAC2EB">
            <wp:simplePos x="0" y="0"/>
            <wp:positionH relativeFrom="margin">
              <wp:align>right</wp:align>
            </wp:positionH>
            <wp:positionV relativeFrom="paragraph">
              <wp:posOffset>0</wp:posOffset>
            </wp:positionV>
            <wp:extent cx="1475105" cy="262255"/>
            <wp:effectExtent l="0" t="0" r="0" b="4445"/>
            <wp:wrapSquare wrapText="bothSides"/>
            <wp:docPr id="14323191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5105" cy="262255"/>
                    </a:xfrm>
                    <a:prstGeom prst="rect">
                      <a:avLst/>
                    </a:prstGeom>
                    <a:noFill/>
                  </pic:spPr>
                </pic:pic>
              </a:graphicData>
            </a:graphic>
            <wp14:sizeRelH relativeFrom="page">
              <wp14:pctWidth>0</wp14:pctWidth>
            </wp14:sizeRelH>
            <wp14:sizeRelV relativeFrom="page">
              <wp14:pctHeight>0</wp14:pctHeight>
            </wp14:sizeRelV>
          </wp:anchor>
        </w:drawing>
      </w:r>
      <w:r>
        <w:rPr>
          <w:b/>
          <w:bCs/>
          <w:sz w:val="28"/>
          <w:szCs w:val="28"/>
        </w:rPr>
        <w:t>S</w:t>
      </w:r>
      <w:r w:rsidRPr="00212869">
        <w:rPr>
          <w:b/>
          <w:bCs/>
          <w:sz w:val="28"/>
          <w:szCs w:val="28"/>
        </w:rPr>
        <w:t xml:space="preserve">chool Guide: </w:t>
      </w:r>
      <w:r>
        <w:rPr>
          <w:b/>
          <w:bCs/>
          <w:sz w:val="28"/>
          <w:szCs w:val="28"/>
        </w:rPr>
        <w:br/>
      </w:r>
      <w:r w:rsidRPr="00212869">
        <w:rPr>
          <w:b/>
          <w:bCs/>
          <w:sz w:val="28"/>
          <w:szCs w:val="28"/>
        </w:rPr>
        <w:t>Requests for Medical Exemptions to Immunizations</w:t>
      </w:r>
    </w:p>
    <w:p w14:paraId="377F7C6E" w14:textId="0C47C274" w:rsidR="007B768F" w:rsidRPr="00B24CE9" w:rsidRDefault="007B768F" w:rsidP="0027543B">
      <w:pPr>
        <w:spacing w:before="240"/>
        <w:rPr>
          <w:w w:val="110"/>
          <w:sz w:val="22"/>
          <w:szCs w:val="22"/>
        </w:rPr>
      </w:pPr>
      <w:r>
        <w:rPr>
          <w:b/>
          <w:bCs/>
          <w:noProof/>
        </w:rPr>
        <mc:AlternateContent>
          <mc:Choice Requires="wps">
            <w:drawing>
              <wp:anchor distT="0" distB="0" distL="114300" distR="114300" simplePos="0" relativeHeight="251662336" behindDoc="0" locked="0" layoutInCell="1" allowOverlap="1" wp14:anchorId="09D975DF" wp14:editId="4974D9B1">
                <wp:simplePos x="0" y="0"/>
                <wp:positionH relativeFrom="column">
                  <wp:posOffset>-123825</wp:posOffset>
                </wp:positionH>
                <wp:positionV relativeFrom="paragraph">
                  <wp:posOffset>40640</wp:posOffset>
                </wp:positionV>
                <wp:extent cx="6858000" cy="0"/>
                <wp:effectExtent l="0" t="19050" r="19050" b="19050"/>
                <wp:wrapNone/>
                <wp:docPr id="1044713653"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E7779B"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3.2pt" to="530.2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" strokecolor="#156082 [3204]" strokeweight="2.25pt">
                <v:stroke joinstyle="miter"/>
              </v:line>
            </w:pict>
          </mc:Fallback>
        </mc:AlternateContent>
      </w:r>
      <w:r w:rsidRPr="007B768F">
        <w:rPr>
          <w:sz w:val="22"/>
          <w:szCs w:val="22"/>
        </w:rPr>
        <w:t>The school should do the following based on its decision to accept or deny the request for medical exemption to</w:t>
      </w:r>
      <w:r w:rsidRPr="007B768F">
        <w:rPr>
          <w:w w:val="110"/>
          <w:sz w:val="22"/>
          <w:szCs w:val="22"/>
        </w:rPr>
        <w:t xml:space="preserve"> Immunization.</w:t>
      </w:r>
    </w:p>
    <w:p w14:paraId="0C8B5AE9" w14:textId="5CD4E626" w:rsidR="007B768F" w:rsidRPr="007B768F" w:rsidRDefault="007B768F" w:rsidP="006C767F">
      <w:pPr>
        <w:pStyle w:val="BodyText"/>
        <w:numPr>
          <w:ilvl w:val="0"/>
          <w:numId w:val="3"/>
        </w:numPr>
        <w:spacing w:after="120"/>
        <w:jc w:val="both"/>
        <w:rPr>
          <w:rFonts w:asciiTheme="minorHAnsi" w:hAnsiTheme="minorHAnsi"/>
          <w:b/>
          <w:bCs/>
          <w:sz w:val="24"/>
          <w:szCs w:val="24"/>
        </w:rPr>
      </w:pPr>
      <w:r w:rsidRPr="007B768F">
        <w:rPr>
          <w:rFonts w:asciiTheme="minorHAnsi" w:hAnsiTheme="minorHAnsi"/>
          <w:b/>
          <w:bCs/>
          <w:sz w:val="24"/>
          <w:szCs w:val="24"/>
        </w:rPr>
        <w:t>Accepted Medical Exemption</w:t>
      </w:r>
    </w:p>
    <w:p w14:paraId="2AC9EB8F" w14:textId="0192BF49" w:rsidR="007B768F" w:rsidRDefault="007B768F" w:rsidP="0027543B">
      <w:pPr>
        <w:spacing w:after="240"/>
        <w:rPr>
          <w:sz w:val="22"/>
          <w:szCs w:val="22"/>
        </w:rPr>
      </w:pPr>
      <w:r>
        <w:rPr>
          <w:sz w:val="22"/>
          <w:szCs w:val="22"/>
        </w:rPr>
        <w:t xml:space="preserve">The school should provide a written letter to the </w:t>
      </w:r>
      <w:r w:rsidR="00757C4D">
        <w:rPr>
          <w:sz w:val="22"/>
          <w:szCs w:val="22"/>
        </w:rPr>
        <w:t>parent/guardian</w:t>
      </w:r>
      <w:r>
        <w:rPr>
          <w:sz w:val="22"/>
          <w:szCs w:val="22"/>
        </w:rPr>
        <w:t xml:space="preserve"> indicating the acceptance of the request for medical exemption. The letter must indicate the date the exemption will expire</w:t>
      </w:r>
      <w:r w:rsidR="00D62DEA">
        <w:rPr>
          <w:sz w:val="22"/>
          <w:szCs w:val="22"/>
        </w:rPr>
        <w:t xml:space="preserve"> </w:t>
      </w:r>
      <w:r>
        <w:rPr>
          <w:sz w:val="22"/>
          <w:szCs w:val="22"/>
        </w:rPr>
        <w:t>and the school’s policy and procedures for the exclusion of students with medical exemptions as ordered by the Commissioner of Health during the outbreak of a vaccine-preventable disease</w:t>
      </w:r>
      <w:r>
        <w:rPr>
          <w:rStyle w:val="FootnoteReference"/>
          <w:sz w:val="22"/>
          <w:szCs w:val="22"/>
        </w:rPr>
        <w:footnoteReference w:id="2"/>
      </w:r>
      <w:r>
        <w:rPr>
          <w:sz w:val="22"/>
          <w:szCs w:val="22"/>
        </w:rPr>
        <w:t xml:space="preserve"> for the vaccines (s) the student does not have</w:t>
      </w:r>
      <w:r w:rsidR="0061473F">
        <w:rPr>
          <w:sz w:val="22"/>
          <w:szCs w:val="22"/>
        </w:rPr>
        <w:t xml:space="preserve"> (10 NYCRR 66-1.10</w:t>
      </w:r>
      <w:r>
        <w:rPr>
          <w:sz w:val="22"/>
          <w:szCs w:val="22"/>
        </w:rPr>
        <w:t>.</w:t>
      </w:r>
      <w:r w:rsidR="0061473F">
        <w:rPr>
          <w:sz w:val="22"/>
          <w:szCs w:val="22"/>
        </w:rPr>
        <w:t>)</w:t>
      </w:r>
      <w:r>
        <w:rPr>
          <w:sz w:val="22"/>
          <w:szCs w:val="22"/>
        </w:rPr>
        <w:t xml:space="preserve"> </w:t>
      </w:r>
      <w:r w:rsidR="0061473F">
        <w:rPr>
          <w:sz w:val="22"/>
          <w:szCs w:val="22"/>
        </w:rPr>
        <w:t xml:space="preserve"> </w:t>
      </w:r>
      <w:r>
        <w:rPr>
          <w:sz w:val="22"/>
          <w:szCs w:val="22"/>
        </w:rPr>
        <w:t xml:space="preserve">A copy of the letter is kept in the student’s cumulative health record (CHR). </w:t>
      </w:r>
    </w:p>
    <w:p w14:paraId="1C1132B9" w14:textId="25D6CBEE" w:rsidR="007B768F" w:rsidRDefault="007B768F" w:rsidP="003137E3">
      <w:pPr>
        <w:pStyle w:val="ListParagraph"/>
        <w:numPr>
          <w:ilvl w:val="0"/>
          <w:numId w:val="3"/>
        </w:numPr>
        <w:spacing w:after="120" w:line="240" w:lineRule="auto"/>
        <w:contextualSpacing w:val="0"/>
        <w:jc w:val="both"/>
        <w:rPr>
          <w:b/>
          <w:bCs/>
        </w:rPr>
      </w:pPr>
      <w:r w:rsidRPr="007B768F">
        <w:rPr>
          <w:b/>
          <w:bCs/>
        </w:rPr>
        <w:t>Denied Medical Exemption</w:t>
      </w:r>
    </w:p>
    <w:p w14:paraId="052B1165" w14:textId="09083862" w:rsidR="007B768F" w:rsidRDefault="007B768F" w:rsidP="0027543B">
      <w:pPr>
        <w:pStyle w:val="ListParagraph"/>
        <w:spacing w:before="120" w:after="120"/>
        <w:ind w:left="0"/>
        <w:rPr>
          <w:sz w:val="22"/>
          <w:szCs w:val="22"/>
        </w:rPr>
      </w:pPr>
      <w:r>
        <w:rPr>
          <w:sz w:val="22"/>
          <w:szCs w:val="22"/>
        </w:rPr>
        <w:t>The school should provide a written letter to the parent/guardian indicating the denial of the request for medical exemption to immunization. The letter must indicate the reason for the denial, the date the student will be excluded, and the parents</w:t>
      </w:r>
      <w:r w:rsidR="00757C4D">
        <w:rPr>
          <w:sz w:val="22"/>
          <w:szCs w:val="22"/>
        </w:rPr>
        <w:t>’</w:t>
      </w:r>
      <w:r>
        <w:rPr>
          <w:sz w:val="22"/>
          <w:szCs w:val="22"/>
        </w:rPr>
        <w:t xml:space="preserve">/guardians’ right to file an appeal with the Commissioner of Education. Information on how to file an appeal is available at </w:t>
      </w:r>
      <w:hyperlink r:id="rId19" w:history="1">
        <w:r w:rsidRPr="00D62DEA">
          <w:rPr>
            <w:rStyle w:val="Hyperlink"/>
            <w:sz w:val="22"/>
            <w:szCs w:val="22"/>
          </w:rPr>
          <w:t>General Information | Office of Counsel</w:t>
        </w:r>
      </w:hyperlink>
      <w:r>
        <w:rPr>
          <w:sz w:val="22"/>
          <w:szCs w:val="22"/>
        </w:rPr>
        <w:t xml:space="preserve">. </w:t>
      </w:r>
      <w:r w:rsidR="0061473F">
        <w:rPr>
          <w:sz w:val="22"/>
          <w:szCs w:val="22"/>
        </w:rPr>
        <w:t xml:space="preserve"> </w:t>
      </w:r>
      <w:r>
        <w:rPr>
          <w:sz w:val="22"/>
          <w:szCs w:val="22"/>
        </w:rPr>
        <w:t>A copy of the letter is kept in the student’s cumulative health record (CHR).</w:t>
      </w:r>
    </w:p>
    <w:p w14:paraId="03FC722E" w14:textId="77777777" w:rsidR="007B768F" w:rsidRDefault="007B768F" w:rsidP="0061473F">
      <w:pPr>
        <w:pStyle w:val="ListParagraph"/>
        <w:spacing w:after="0"/>
        <w:ind w:left="0"/>
        <w:rPr>
          <w:sz w:val="22"/>
          <w:szCs w:val="22"/>
        </w:rPr>
      </w:pPr>
    </w:p>
    <w:sectPr w:rsidR="007B768F" w:rsidSect="007B768F">
      <w:footerReference w:type="default" r:id="rId20"/>
      <w:pgSz w:w="12240" w:h="15840"/>
      <w:pgMar w:top="450" w:right="720" w:bottom="16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19F0A" w14:textId="77777777" w:rsidR="00E826DC" w:rsidRDefault="00E826DC" w:rsidP="00B31B69">
      <w:pPr>
        <w:spacing w:after="0" w:line="240" w:lineRule="auto"/>
      </w:pPr>
      <w:r>
        <w:separator/>
      </w:r>
    </w:p>
  </w:endnote>
  <w:endnote w:type="continuationSeparator" w:id="0">
    <w:p w14:paraId="5F012F34" w14:textId="77777777" w:rsidR="00E826DC" w:rsidRDefault="00E826DC" w:rsidP="00B31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6BF1" w14:textId="77777777" w:rsidR="00511431" w:rsidRPr="00511431" w:rsidRDefault="00511431" w:rsidP="007B768F">
    <w:pPr>
      <w:spacing w:after="0" w:line="240" w:lineRule="auto"/>
      <w:jc w:val="center"/>
      <w:rPr>
        <w:sz w:val="20"/>
        <w:szCs w:val="20"/>
      </w:rPr>
    </w:pPr>
    <w:r w:rsidRPr="00511431">
      <w:rPr>
        <w:sz w:val="20"/>
        <w:szCs w:val="20"/>
      </w:rPr>
      <w:t>Developed in collaboration with the NYSCSH Medical Director Consultant</w:t>
    </w:r>
  </w:p>
  <w:p w14:paraId="6BA901B2" w14:textId="72E9375A" w:rsidR="00511431" w:rsidRPr="00511431" w:rsidRDefault="00511431" w:rsidP="007B768F">
    <w:pPr>
      <w:spacing w:after="0" w:line="240" w:lineRule="auto"/>
      <w:jc w:val="center"/>
      <w:rPr>
        <w:sz w:val="20"/>
        <w:szCs w:val="20"/>
      </w:rPr>
    </w:pPr>
    <w:r w:rsidRPr="00511431">
      <w:rPr>
        <w:sz w:val="20"/>
        <w:szCs w:val="20"/>
      </w:rPr>
      <w:t>This sample resource is located at</w:t>
    </w:r>
    <w:hyperlink r:id="rId1">
      <w:r w:rsidRPr="00511431">
        <w:rPr>
          <w:rStyle w:val="Hyperlink"/>
          <w:sz w:val="20"/>
          <w:szCs w:val="20"/>
        </w:rPr>
        <w:t xml:space="preserve"> www.schoolhealthny.com </w:t>
      </w:r>
    </w:hyperlink>
    <w:r w:rsidRPr="00511431">
      <w:rPr>
        <w:sz w:val="20"/>
        <w:szCs w:val="20"/>
      </w:rPr>
      <w:t xml:space="preserve">Immunization Resource Page </w:t>
    </w:r>
    <w:r w:rsidR="00EF13C2">
      <w:rPr>
        <w:sz w:val="20"/>
        <w:szCs w:val="20"/>
      </w:rPr>
      <w:t>8</w:t>
    </w:r>
    <w:r w:rsidRPr="00511431">
      <w:rPr>
        <w:sz w:val="20"/>
        <w:szCs w:val="20"/>
      </w:rPr>
      <w:t>/202</w:t>
    </w:r>
    <w:r w:rsidR="007B768F">
      <w:rPr>
        <w:sz w:val="20"/>
        <w:szCs w:val="20"/>
      </w:rPr>
      <w:t>5</w:t>
    </w:r>
  </w:p>
  <w:p w14:paraId="59C5489C" w14:textId="77777777" w:rsidR="00511431" w:rsidRDefault="00511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EAB5B" w14:textId="77777777" w:rsidR="00E826DC" w:rsidRDefault="00E826DC" w:rsidP="00B31B69">
      <w:pPr>
        <w:spacing w:after="0" w:line="240" w:lineRule="auto"/>
      </w:pPr>
      <w:r>
        <w:separator/>
      </w:r>
    </w:p>
  </w:footnote>
  <w:footnote w:type="continuationSeparator" w:id="0">
    <w:p w14:paraId="7C06403A" w14:textId="77777777" w:rsidR="00E826DC" w:rsidRDefault="00E826DC" w:rsidP="00B31B69">
      <w:pPr>
        <w:spacing w:after="0" w:line="240" w:lineRule="auto"/>
      </w:pPr>
      <w:r>
        <w:continuationSeparator/>
      </w:r>
    </w:p>
  </w:footnote>
  <w:footnote w:id="1">
    <w:p w14:paraId="5B5FEDAB" w14:textId="466CBB39" w:rsidR="007B768F" w:rsidRDefault="007B768F">
      <w:pPr>
        <w:pStyle w:val="FootnoteText"/>
      </w:pPr>
      <w:r>
        <w:rPr>
          <w:rStyle w:val="FootnoteReference"/>
        </w:rPr>
        <w:footnoteRef/>
      </w:r>
      <w:r>
        <w:t xml:space="preserve"> Schools in NYC should review the information on the NYCDOE website, </w:t>
      </w:r>
      <w:hyperlink r:id="rId1" w:history="1">
        <w:r w:rsidRPr="007B768F">
          <w:rPr>
            <w:rStyle w:val="Hyperlink"/>
          </w:rPr>
          <w:t>Immunizations</w:t>
        </w:r>
      </w:hyperlink>
      <w:r>
        <w:t>.</w:t>
      </w:r>
    </w:p>
    <w:p w14:paraId="01D7805B" w14:textId="1F4ABA3F" w:rsidR="007B768F" w:rsidRPr="007B768F" w:rsidRDefault="007B768F">
      <w:pPr>
        <w:pStyle w:val="FootnoteText"/>
        <w:rPr>
          <w14:textOutline w14:w="9525" w14:cap="rnd" w14:cmpd="sng" w14:algn="ctr">
            <w14:solidFill>
              <w14:schemeClr w14:val="accent1"/>
            </w14:solidFill>
            <w14:prstDash w14:val="solid"/>
            <w14:bevel/>
          </w14:textOutline>
        </w:rPr>
      </w:pPr>
    </w:p>
  </w:footnote>
  <w:footnote w:id="2">
    <w:p w14:paraId="71FDAF05" w14:textId="21431CF8" w:rsidR="007B768F" w:rsidRPr="007B768F" w:rsidRDefault="007B768F" w:rsidP="007B768F">
      <w:pPr>
        <w:pStyle w:val="BodyText"/>
        <w:ind w:left="0" w:right="144"/>
        <w:jc w:val="both"/>
        <w:rPr>
          <w:sz w:val="20"/>
          <w:szCs w:val="20"/>
        </w:rPr>
      </w:pPr>
      <w:r w:rsidRPr="007B768F">
        <w:rPr>
          <w:rStyle w:val="FootnoteReference"/>
          <w:sz w:val="20"/>
          <w:szCs w:val="20"/>
        </w:rPr>
        <w:footnoteRef/>
      </w:r>
      <w:r w:rsidRPr="007B768F">
        <w:rPr>
          <w:sz w:val="20"/>
          <w:szCs w:val="20"/>
        </w:rPr>
        <w:t xml:space="preserve"> </w:t>
      </w:r>
      <w:r w:rsidRPr="007B768F">
        <w:rPr>
          <w:w w:val="110"/>
          <w:sz w:val="20"/>
          <w:szCs w:val="20"/>
        </w:rPr>
        <w:t>Schools must maintain a list of susceptible students who should be excluded from attendance in the event of an outbreak of vaccine-preventable disease. This list must include all students who have been excused from immunization under section 66-1.3(c) of this Subpart and students who are in the process of completing immunization series or awaiting the results of serologic testing for any vaccine-preventable disease specified under section 66-1.3(b) of this Subpart. The list shall be updated each time a new student enrolls in the school or a student's immunization status changes. [10 NYCRR 66-1.10(c)]</w:t>
      </w:r>
    </w:p>
    <w:p w14:paraId="43C37A06" w14:textId="2C303E6A" w:rsidR="007B768F" w:rsidRDefault="007B768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16F"/>
    <w:multiLevelType w:val="hybridMultilevel"/>
    <w:tmpl w:val="BDA4A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B755F4"/>
    <w:multiLevelType w:val="hybridMultilevel"/>
    <w:tmpl w:val="E51020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8893B9F"/>
    <w:multiLevelType w:val="multilevel"/>
    <w:tmpl w:val="1024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494502">
    <w:abstractNumId w:val="2"/>
  </w:num>
  <w:num w:numId="2" w16cid:durableId="432090851">
    <w:abstractNumId w:val="0"/>
  </w:num>
  <w:num w:numId="3" w16cid:durableId="4565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69"/>
    <w:rsid w:val="000F5F3E"/>
    <w:rsid w:val="0017468A"/>
    <w:rsid w:val="00212869"/>
    <w:rsid w:val="002554D6"/>
    <w:rsid w:val="0027543B"/>
    <w:rsid w:val="003137E3"/>
    <w:rsid w:val="00314C59"/>
    <w:rsid w:val="00351687"/>
    <w:rsid w:val="00426535"/>
    <w:rsid w:val="00486EFE"/>
    <w:rsid w:val="004C1ED5"/>
    <w:rsid w:val="00511431"/>
    <w:rsid w:val="005F5E68"/>
    <w:rsid w:val="0061473F"/>
    <w:rsid w:val="0063600E"/>
    <w:rsid w:val="006A2F28"/>
    <w:rsid w:val="006C767F"/>
    <w:rsid w:val="006D4787"/>
    <w:rsid w:val="007312D9"/>
    <w:rsid w:val="00734340"/>
    <w:rsid w:val="00757C4D"/>
    <w:rsid w:val="007B768F"/>
    <w:rsid w:val="008E5D5C"/>
    <w:rsid w:val="008F738C"/>
    <w:rsid w:val="009977BD"/>
    <w:rsid w:val="009A794C"/>
    <w:rsid w:val="009D27E6"/>
    <w:rsid w:val="00A701AB"/>
    <w:rsid w:val="00B24CE9"/>
    <w:rsid w:val="00B31B69"/>
    <w:rsid w:val="00B8770C"/>
    <w:rsid w:val="00B90AEA"/>
    <w:rsid w:val="00CE6C29"/>
    <w:rsid w:val="00D168F8"/>
    <w:rsid w:val="00D336A1"/>
    <w:rsid w:val="00D579D6"/>
    <w:rsid w:val="00D6074C"/>
    <w:rsid w:val="00D62DEA"/>
    <w:rsid w:val="00D67768"/>
    <w:rsid w:val="00DC44C8"/>
    <w:rsid w:val="00E826DC"/>
    <w:rsid w:val="00EF13C2"/>
    <w:rsid w:val="00F0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449DD"/>
  <w15:chartTrackingRefBased/>
  <w15:docId w15:val="{342959D4-498B-4DBB-81C8-A6A0EB654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68F"/>
  </w:style>
  <w:style w:type="paragraph" w:styleId="Heading1">
    <w:name w:val="heading 1"/>
    <w:basedOn w:val="Normal"/>
    <w:next w:val="Normal"/>
    <w:link w:val="Heading1Char"/>
    <w:uiPriority w:val="9"/>
    <w:qFormat/>
    <w:rsid w:val="002128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8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8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8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8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8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8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8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8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8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8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869"/>
    <w:rPr>
      <w:rFonts w:eastAsiaTheme="majorEastAsia" w:cstheme="majorBidi"/>
      <w:color w:val="272727" w:themeColor="text1" w:themeTint="D8"/>
    </w:rPr>
  </w:style>
  <w:style w:type="paragraph" w:styleId="Title">
    <w:name w:val="Title"/>
    <w:basedOn w:val="Normal"/>
    <w:next w:val="Normal"/>
    <w:link w:val="TitleChar"/>
    <w:uiPriority w:val="10"/>
    <w:qFormat/>
    <w:rsid w:val="00212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8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869"/>
    <w:pPr>
      <w:spacing w:before="160"/>
      <w:jc w:val="center"/>
    </w:pPr>
    <w:rPr>
      <w:i/>
      <w:iCs/>
      <w:color w:val="404040" w:themeColor="text1" w:themeTint="BF"/>
    </w:rPr>
  </w:style>
  <w:style w:type="character" w:customStyle="1" w:styleId="QuoteChar">
    <w:name w:val="Quote Char"/>
    <w:basedOn w:val="DefaultParagraphFont"/>
    <w:link w:val="Quote"/>
    <w:uiPriority w:val="29"/>
    <w:rsid w:val="00212869"/>
    <w:rPr>
      <w:i/>
      <w:iCs/>
      <w:color w:val="404040" w:themeColor="text1" w:themeTint="BF"/>
    </w:rPr>
  </w:style>
  <w:style w:type="paragraph" w:styleId="ListParagraph">
    <w:name w:val="List Paragraph"/>
    <w:basedOn w:val="Normal"/>
    <w:uiPriority w:val="34"/>
    <w:qFormat/>
    <w:rsid w:val="00212869"/>
    <w:pPr>
      <w:ind w:left="720"/>
      <w:contextualSpacing/>
    </w:pPr>
  </w:style>
  <w:style w:type="character" w:styleId="IntenseEmphasis">
    <w:name w:val="Intense Emphasis"/>
    <w:basedOn w:val="DefaultParagraphFont"/>
    <w:uiPriority w:val="21"/>
    <w:qFormat/>
    <w:rsid w:val="00212869"/>
    <w:rPr>
      <w:i/>
      <w:iCs/>
      <w:color w:val="0F4761" w:themeColor="accent1" w:themeShade="BF"/>
    </w:rPr>
  </w:style>
  <w:style w:type="paragraph" w:styleId="IntenseQuote">
    <w:name w:val="Intense Quote"/>
    <w:basedOn w:val="Normal"/>
    <w:next w:val="Normal"/>
    <w:link w:val="IntenseQuoteChar"/>
    <w:uiPriority w:val="30"/>
    <w:qFormat/>
    <w:rsid w:val="00212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869"/>
    <w:rPr>
      <w:i/>
      <w:iCs/>
      <w:color w:val="0F4761" w:themeColor="accent1" w:themeShade="BF"/>
    </w:rPr>
  </w:style>
  <w:style w:type="character" w:styleId="IntenseReference">
    <w:name w:val="Intense Reference"/>
    <w:basedOn w:val="DefaultParagraphFont"/>
    <w:uiPriority w:val="32"/>
    <w:qFormat/>
    <w:rsid w:val="00212869"/>
    <w:rPr>
      <w:b/>
      <w:bCs/>
      <w:smallCaps/>
      <w:color w:val="0F4761" w:themeColor="accent1" w:themeShade="BF"/>
      <w:spacing w:val="5"/>
    </w:rPr>
  </w:style>
  <w:style w:type="character" w:styleId="Hyperlink">
    <w:name w:val="Hyperlink"/>
    <w:basedOn w:val="DefaultParagraphFont"/>
    <w:uiPriority w:val="99"/>
    <w:unhideWhenUsed/>
    <w:rsid w:val="00212869"/>
    <w:rPr>
      <w:color w:val="467886" w:themeColor="hyperlink"/>
      <w:u w:val="single"/>
    </w:rPr>
  </w:style>
  <w:style w:type="character" w:styleId="UnresolvedMention">
    <w:name w:val="Unresolved Mention"/>
    <w:basedOn w:val="DefaultParagraphFont"/>
    <w:uiPriority w:val="99"/>
    <w:semiHidden/>
    <w:unhideWhenUsed/>
    <w:rsid w:val="00212869"/>
    <w:rPr>
      <w:color w:val="605E5C"/>
      <w:shd w:val="clear" w:color="auto" w:fill="E1DFDD"/>
    </w:rPr>
  </w:style>
  <w:style w:type="character" w:styleId="CommentReference">
    <w:name w:val="annotation reference"/>
    <w:basedOn w:val="DefaultParagraphFont"/>
    <w:uiPriority w:val="99"/>
    <w:semiHidden/>
    <w:unhideWhenUsed/>
    <w:rsid w:val="00212869"/>
    <w:rPr>
      <w:sz w:val="16"/>
      <w:szCs w:val="16"/>
    </w:rPr>
  </w:style>
  <w:style w:type="paragraph" w:styleId="CommentText">
    <w:name w:val="annotation text"/>
    <w:basedOn w:val="Normal"/>
    <w:link w:val="CommentTextChar"/>
    <w:uiPriority w:val="99"/>
    <w:unhideWhenUsed/>
    <w:rsid w:val="00212869"/>
    <w:pPr>
      <w:widowControl w:val="0"/>
      <w:autoSpaceDE w:val="0"/>
      <w:autoSpaceDN w:val="0"/>
      <w:spacing w:after="0" w:line="240" w:lineRule="auto"/>
    </w:pPr>
    <w:rPr>
      <w:rFonts w:ascii="Gill Sans MT" w:eastAsia="Gill Sans MT" w:hAnsi="Gill Sans MT" w:cs="Gill Sans MT"/>
      <w:kern w:val="0"/>
      <w:sz w:val="20"/>
      <w:szCs w:val="20"/>
      <w:lang w:bidi="en-US"/>
      <w14:ligatures w14:val="none"/>
    </w:rPr>
  </w:style>
  <w:style w:type="character" w:customStyle="1" w:styleId="CommentTextChar">
    <w:name w:val="Comment Text Char"/>
    <w:basedOn w:val="DefaultParagraphFont"/>
    <w:link w:val="CommentText"/>
    <w:uiPriority w:val="99"/>
    <w:rsid w:val="00212869"/>
    <w:rPr>
      <w:rFonts w:ascii="Gill Sans MT" w:eastAsia="Gill Sans MT" w:hAnsi="Gill Sans MT" w:cs="Gill Sans MT"/>
      <w:kern w:val="0"/>
      <w:sz w:val="20"/>
      <w:szCs w:val="20"/>
      <w:lang w:bidi="en-US"/>
      <w14:ligatures w14:val="none"/>
    </w:rPr>
  </w:style>
  <w:style w:type="paragraph" w:styleId="BodyText">
    <w:name w:val="Body Text"/>
    <w:basedOn w:val="Normal"/>
    <w:link w:val="BodyTextChar"/>
    <w:uiPriority w:val="1"/>
    <w:qFormat/>
    <w:rsid w:val="00B31B69"/>
    <w:pPr>
      <w:widowControl w:val="0"/>
      <w:autoSpaceDE w:val="0"/>
      <w:autoSpaceDN w:val="0"/>
      <w:spacing w:after="0" w:line="240" w:lineRule="auto"/>
      <w:ind w:left="100"/>
    </w:pPr>
    <w:rPr>
      <w:rFonts w:ascii="Gill Sans MT" w:eastAsia="Gill Sans MT" w:hAnsi="Gill Sans MT" w:cs="Gill Sans MT"/>
      <w:kern w:val="0"/>
      <w:sz w:val="22"/>
      <w:szCs w:val="22"/>
      <w:lang w:bidi="en-US"/>
      <w14:ligatures w14:val="none"/>
    </w:rPr>
  </w:style>
  <w:style w:type="character" w:customStyle="1" w:styleId="BodyTextChar">
    <w:name w:val="Body Text Char"/>
    <w:basedOn w:val="DefaultParagraphFont"/>
    <w:link w:val="BodyText"/>
    <w:uiPriority w:val="1"/>
    <w:rsid w:val="00B31B69"/>
    <w:rPr>
      <w:rFonts w:ascii="Gill Sans MT" w:eastAsia="Gill Sans MT" w:hAnsi="Gill Sans MT" w:cs="Gill Sans MT"/>
      <w:kern w:val="0"/>
      <w:sz w:val="22"/>
      <w:szCs w:val="22"/>
      <w:lang w:bidi="en-US"/>
      <w14:ligatures w14:val="none"/>
    </w:rPr>
  </w:style>
  <w:style w:type="paragraph" w:styleId="FootnoteText">
    <w:name w:val="footnote text"/>
    <w:basedOn w:val="Normal"/>
    <w:link w:val="FootnoteTextChar"/>
    <w:uiPriority w:val="99"/>
    <w:semiHidden/>
    <w:unhideWhenUsed/>
    <w:rsid w:val="00B31B69"/>
    <w:pPr>
      <w:widowControl w:val="0"/>
      <w:autoSpaceDE w:val="0"/>
      <w:autoSpaceDN w:val="0"/>
      <w:spacing w:after="0" w:line="240" w:lineRule="auto"/>
    </w:pPr>
    <w:rPr>
      <w:rFonts w:ascii="Gill Sans MT" w:eastAsia="Gill Sans MT" w:hAnsi="Gill Sans MT" w:cs="Gill Sans MT"/>
      <w:kern w:val="0"/>
      <w:sz w:val="20"/>
      <w:szCs w:val="20"/>
      <w:lang w:bidi="en-US"/>
      <w14:ligatures w14:val="none"/>
    </w:rPr>
  </w:style>
  <w:style w:type="character" w:customStyle="1" w:styleId="FootnoteTextChar">
    <w:name w:val="Footnote Text Char"/>
    <w:basedOn w:val="DefaultParagraphFont"/>
    <w:link w:val="FootnoteText"/>
    <w:uiPriority w:val="99"/>
    <w:semiHidden/>
    <w:rsid w:val="00B31B69"/>
    <w:rPr>
      <w:rFonts w:ascii="Gill Sans MT" w:eastAsia="Gill Sans MT" w:hAnsi="Gill Sans MT" w:cs="Gill Sans MT"/>
      <w:kern w:val="0"/>
      <w:sz w:val="20"/>
      <w:szCs w:val="20"/>
      <w:lang w:bidi="en-US"/>
      <w14:ligatures w14:val="none"/>
    </w:rPr>
  </w:style>
  <w:style w:type="character" w:styleId="FootnoteReference">
    <w:name w:val="footnote reference"/>
    <w:basedOn w:val="DefaultParagraphFont"/>
    <w:uiPriority w:val="99"/>
    <w:semiHidden/>
    <w:unhideWhenUsed/>
    <w:rsid w:val="00B31B69"/>
    <w:rPr>
      <w:vertAlign w:val="superscript"/>
    </w:rPr>
  </w:style>
  <w:style w:type="paragraph" w:styleId="Header">
    <w:name w:val="header"/>
    <w:basedOn w:val="Normal"/>
    <w:link w:val="HeaderChar"/>
    <w:uiPriority w:val="99"/>
    <w:unhideWhenUsed/>
    <w:rsid w:val="00511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431"/>
  </w:style>
  <w:style w:type="paragraph" w:styleId="Footer">
    <w:name w:val="footer"/>
    <w:basedOn w:val="Normal"/>
    <w:link w:val="FooterChar"/>
    <w:uiPriority w:val="99"/>
    <w:unhideWhenUsed/>
    <w:rsid w:val="00511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431"/>
  </w:style>
  <w:style w:type="character" w:styleId="FollowedHyperlink">
    <w:name w:val="FollowedHyperlink"/>
    <w:basedOn w:val="DefaultParagraphFont"/>
    <w:uiPriority w:val="99"/>
    <w:semiHidden/>
    <w:unhideWhenUsed/>
    <w:rsid w:val="006D4787"/>
    <w:rPr>
      <w:color w:val="96607D" w:themeColor="followedHyperlink"/>
      <w:u w:val="single"/>
    </w:rPr>
  </w:style>
  <w:style w:type="paragraph" w:styleId="Revision">
    <w:name w:val="Revision"/>
    <w:hidden/>
    <w:uiPriority w:val="99"/>
    <w:semiHidden/>
    <w:rsid w:val="008F738C"/>
    <w:pPr>
      <w:spacing w:after="0" w:line="240" w:lineRule="auto"/>
    </w:pPr>
  </w:style>
  <w:style w:type="paragraph" w:styleId="CommentSubject">
    <w:name w:val="annotation subject"/>
    <w:basedOn w:val="CommentText"/>
    <w:next w:val="CommentText"/>
    <w:link w:val="CommentSubjectChar"/>
    <w:uiPriority w:val="99"/>
    <w:semiHidden/>
    <w:unhideWhenUsed/>
    <w:rsid w:val="0061473F"/>
    <w:pPr>
      <w:widowControl/>
      <w:autoSpaceDE/>
      <w:autoSpaceDN/>
      <w:spacing w:after="160"/>
    </w:pPr>
    <w:rPr>
      <w:rFonts w:asciiTheme="minorHAnsi" w:eastAsiaTheme="minorHAnsi" w:hAnsiTheme="minorHAnsi" w:cstheme="minorBidi"/>
      <w:b/>
      <w:bCs/>
      <w:kern w:val="2"/>
      <w:lang w:bidi="ar-SA"/>
      <w14:ligatures w14:val="standardContextual"/>
    </w:rPr>
  </w:style>
  <w:style w:type="character" w:customStyle="1" w:styleId="CommentSubjectChar">
    <w:name w:val="Comment Subject Char"/>
    <w:basedOn w:val="CommentTextChar"/>
    <w:link w:val="CommentSubject"/>
    <w:uiPriority w:val="99"/>
    <w:semiHidden/>
    <w:rsid w:val="0061473F"/>
    <w:rPr>
      <w:rFonts w:ascii="Gill Sans MT" w:eastAsia="Gill Sans MT" w:hAnsi="Gill Sans MT" w:cs="Gill Sans MT"/>
      <w:b/>
      <w:bCs/>
      <w:kern w:val="0"/>
      <w:sz w:val="20"/>
      <w:szCs w:val="2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gs.health.ny.gov/content/section-66-11-definitions"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chools.nyc.gov/docs/default-source/default-document-library/medical-request-for-immunization-exemption-english.pdf" TargetMode="External"/><Relationship Id="rId17" Type="http://schemas.openxmlformats.org/officeDocument/2006/relationships/hyperlink" Target="mailto:osas@health.ny.gov" TargetMode="External"/><Relationship Id="rId2" Type="http://schemas.openxmlformats.org/officeDocument/2006/relationships/numbering" Target="numbering.xml"/><Relationship Id="rId16" Type="http://schemas.openxmlformats.org/officeDocument/2006/relationships/hyperlink" Target="https://www.health.ny.gov/professionals/doctors/conduct/docs/medical_exemptions_guidlin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ny.gov/forms/doh-5077.pdf" TargetMode="External"/><Relationship Id="rId5" Type="http://schemas.openxmlformats.org/officeDocument/2006/relationships/webSettings" Target="webSettings.xml"/><Relationship Id="rId15" Type="http://schemas.openxmlformats.org/officeDocument/2006/relationships/hyperlink" Target="https://www.health.ny.gov/professionals/doctors/conduct/docs/medical_exemption_review_procedures_for_schools.pdf" TargetMode="External"/><Relationship Id="rId10" Type="http://schemas.openxmlformats.org/officeDocument/2006/relationships/hyperlink" Target="https://regs.health.ny.gov/content/section-66-13-requirements-school-admission" TargetMode="External"/><Relationship Id="rId19" Type="http://schemas.openxmlformats.org/officeDocument/2006/relationships/hyperlink" Target="https://www.counsel.nysed.gov/generalinformation" TargetMode="External"/><Relationship Id="rId4" Type="http://schemas.openxmlformats.org/officeDocument/2006/relationships/settings" Target="settings.xml"/><Relationship Id="rId9" Type="http://schemas.openxmlformats.org/officeDocument/2006/relationships/hyperlink" Target="https://www.health.ny.gov/prevention/immunization/schools/docs/phl_title_vi.pdf" TargetMode="External"/><Relationship Id="rId14" Type="http://schemas.openxmlformats.org/officeDocument/2006/relationships/hyperlink" Target="https://www.cdc.gov/vaccines/hcp/imz-best-practices/contraindications-precautions.htm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chools.nyc.gov/school-life/health-and-wellness/immuniz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769C3-66CF-43EC-B8FB-6D9107AA7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713</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Fitzpatrick</dc:creator>
  <cp:keywords/>
  <dc:description/>
  <cp:lastModifiedBy>Melissa Trau</cp:lastModifiedBy>
  <cp:revision>3</cp:revision>
  <cp:lastPrinted>2025-07-01T12:28:00Z</cp:lastPrinted>
  <dcterms:created xsi:type="dcterms:W3CDTF">2025-08-21T15:40:00Z</dcterms:created>
  <dcterms:modified xsi:type="dcterms:W3CDTF">2025-08-21T15:45:00Z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a2d00f78-b470-4239-b67a-722b08c56734</vt:lpwstr>
  </property>
</Properties>
</file>